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7CDA95" w14:textId="77777777" w:rsidR="0087094E" w:rsidRPr="005509EC" w:rsidRDefault="0087094E" w:rsidP="0087094E">
      <w:pPr>
        <w:pStyle w:val="Manuscriptheading2"/>
        <w:spacing w:line="480" w:lineRule="auto"/>
        <w:rPr>
          <w:lang w:val="en-GB"/>
        </w:rPr>
      </w:pPr>
      <w:r w:rsidRPr="005509EC">
        <w:rPr>
          <w:lang w:val="en-GB"/>
        </w:rPr>
        <w:t>Legend</w:t>
      </w:r>
      <w:r>
        <w:rPr>
          <w:lang w:val="en-GB"/>
        </w:rPr>
        <w:t>s</w:t>
      </w:r>
      <w:r w:rsidRPr="005509EC">
        <w:rPr>
          <w:lang w:val="en-GB"/>
        </w:rPr>
        <w:t xml:space="preserve"> of </w:t>
      </w:r>
      <w:r>
        <w:rPr>
          <w:lang w:val="en-GB"/>
        </w:rPr>
        <w:t>s</w:t>
      </w:r>
      <w:r w:rsidRPr="005509EC">
        <w:rPr>
          <w:lang w:val="en-GB"/>
        </w:rPr>
        <w:t>upplementary material</w:t>
      </w:r>
    </w:p>
    <w:p w14:paraId="4CDA484A" w14:textId="77777777" w:rsidR="0087094E" w:rsidRPr="005509EC" w:rsidRDefault="0087094E" w:rsidP="0087094E">
      <w:pPr>
        <w:suppressAutoHyphens w:val="0"/>
        <w:spacing w:after="120" w:line="480" w:lineRule="auto"/>
        <w:rPr>
          <w:lang w:val="en-GB"/>
        </w:rPr>
      </w:pPr>
      <w:r w:rsidRPr="005509EC">
        <w:rPr>
          <w:b/>
          <w:bCs/>
          <w:lang w:val="en-GB"/>
        </w:rPr>
        <w:t xml:space="preserve">Supplementary results. </w:t>
      </w:r>
      <w:r w:rsidRPr="005509EC">
        <w:rPr>
          <w:lang w:val="en-GB"/>
        </w:rPr>
        <w:t>Worsening of CKD stage from baseline</w:t>
      </w:r>
    </w:p>
    <w:p w14:paraId="6D1427A1" w14:textId="77777777" w:rsidR="0087094E" w:rsidRPr="00AE4353" w:rsidRDefault="0087094E" w:rsidP="0087094E">
      <w:pPr>
        <w:suppressAutoHyphens w:val="0"/>
        <w:spacing w:after="120" w:line="480" w:lineRule="auto"/>
        <w:rPr>
          <w:lang w:val="en-GB"/>
        </w:rPr>
      </w:pPr>
      <w:r w:rsidRPr="005509EC">
        <w:rPr>
          <w:b/>
          <w:bCs/>
          <w:lang w:val="en-GB"/>
        </w:rPr>
        <w:t>Supplementary Table 1.</w:t>
      </w:r>
      <w:r w:rsidRPr="00AE4353">
        <w:rPr>
          <w:lang w:val="en-GB"/>
        </w:rPr>
        <w:t xml:space="preserve"> Patient inclusion and exclusion criteria</w:t>
      </w:r>
    </w:p>
    <w:p w14:paraId="39414925" w14:textId="77777777" w:rsidR="0087094E" w:rsidRPr="00E14345" w:rsidRDefault="0087094E" w:rsidP="0087094E">
      <w:pPr>
        <w:suppressAutoHyphens w:val="0"/>
        <w:spacing w:after="120" w:line="480" w:lineRule="auto"/>
        <w:rPr>
          <w:szCs w:val="22"/>
          <w:lang w:val="en-GB"/>
        </w:rPr>
      </w:pPr>
      <w:r w:rsidRPr="00AE4353">
        <w:rPr>
          <w:b/>
          <w:bCs/>
          <w:lang w:val="en-GB"/>
        </w:rPr>
        <w:t>Supplementary Table 2.</w:t>
      </w:r>
      <w:r w:rsidRPr="00E14345">
        <w:rPr>
          <w:szCs w:val="22"/>
          <w:lang w:val="en-GB"/>
        </w:rPr>
        <w:t xml:space="preserve"> Demographic and clinical data, baseline comorbidities, and baseline medication use for the main cohort</w:t>
      </w:r>
    </w:p>
    <w:p w14:paraId="189FDB73" w14:textId="77777777" w:rsidR="0087094E" w:rsidRPr="009056A5" w:rsidRDefault="0087094E" w:rsidP="0087094E">
      <w:pPr>
        <w:pStyle w:val="Text"/>
        <w:spacing w:after="120" w:line="480" w:lineRule="auto"/>
        <w:rPr>
          <w:lang w:val="en-GB"/>
        </w:rPr>
      </w:pPr>
      <w:r w:rsidRPr="009056A5">
        <w:rPr>
          <w:b/>
          <w:bCs/>
          <w:lang w:val="en-GB"/>
        </w:rPr>
        <w:t>Supplementary Figure 1.</w:t>
      </w:r>
      <w:r w:rsidRPr="009056A5">
        <w:rPr>
          <w:lang w:val="en-GB"/>
        </w:rPr>
        <w:t xml:space="preserve"> Patient flow chart</w:t>
      </w:r>
    </w:p>
    <w:p w14:paraId="47B2776F" w14:textId="77777777" w:rsidR="0087094E" w:rsidRPr="00775567" w:rsidRDefault="0087094E" w:rsidP="0087094E">
      <w:pPr>
        <w:pStyle w:val="Text"/>
        <w:spacing w:after="120" w:line="480" w:lineRule="auto"/>
        <w:rPr>
          <w:lang w:val="en-GB"/>
        </w:rPr>
      </w:pPr>
      <w:r w:rsidRPr="009056A5">
        <w:rPr>
          <w:b/>
          <w:bCs/>
          <w:lang w:val="en-GB"/>
        </w:rPr>
        <w:t>Supplementary Figure 2.</w:t>
      </w:r>
      <w:r w:rsidRPr="00F41173">
        <w:rPr>
          <w:lang w:val="en-GB"/>
        </w:rPr>
        <w:t xml:space="preserve"> </w:t>
      </w:r>
      <w:r w:rsidRPr="00F41173">
        <w:rPr>
          <w:rFonts w:cs="Arial"/>
          <w:szCs w:val="22"/>
          <w:lang w:val="en-GB"/>
        </w:rPr>
        <w:t>Worsening of CKD stage</w:t>
      </w:r>
      <w:r w:rsidRPr="00775567">
        <w:rPr>
          <w:rFonts w:cs="Arial"/>
          <w:szCs w:val="22"/>
          <w:lang w:val="en-GB"/>
        </w:rPr>
        <w:t xml:space="preserve"> from baseline in patients with non-diabetic CKD stage 3 or 4 A) Risk prediction model; B) </w:t>
      </w:r>
      <w:r w:rsidRPr="00775567">
        <w:rPr>
          <w:lang w:val="en-GB"/>
        </w:rPr>
        <w:t>Kaplan–Meier plots for non-diabetic CKD population stratified across five risk categories</w:t>
      </w:r>
      <w:r w:rsidRPr="00775567" w:rsidDel="00F32BA9">
        <w:rPr>
          <w:lang w:val="en-GB"/>
        </w:rPr>
        <w:t xml:space="preserve"> </w:t>
      </w:r>
    </w:p>
    <w:p w14:paraId="249CC10E" w14:textId="77777777" w:rsidR="0087094E" w:rsidRPr="00775567" w:rsidRDefault="0087094E" w:rsidP="0087094E">
      <w:pPr>
        <w:suppressAutoHyphens w:val="0"/>
        <w:spacing w:after="120" w:line="480" w:lineRule="auto"/>
        <w:rPr>
          <w:lang w:val="en-GB" w:eastAsia="en-US"/>
        </w:rPr>
      </w:pPr>
    </w:p>
    <w:p w14:paraId="2CA706DC" w14:textId="77777777" w:rsidR="0087094E" w:rsidRPr="00775567" w:rsidRDefault="0087094E" w:rsidP="0087094E">
      <w:pPr>
        <w:pStyle w:val="Text"/>
        <w:spacing w:after="120" w:line="480" w:lineRule="auto"/>
        <w:rPr>
          <w:rFonts w:cs="Arial"/>
          <w:b/>
          <w:bCs/>
          <w:szCs w:val="22"/>
          <w:lang w:val="en-GB"/>
        </w:rPr>
      </w:pPr>
      <w:r w:rsidRPr="00775567">
        <w:rPr>
          <w:rFonts w:cs="Arial"/>
          <w:b/>
          <w:bCs/>
          <w:szCs w:val="22"/>
          <w:lang w:val="en-GB"/>
        </w:rPr>
        <w:br w:type="page"/>
      </w:r>
    </w:p>
    <w:p w14:paraId="1EBEF86C" w14:textId="77777777" w:rsidR="0087094E" w:rsidRPr="00775567" w:rsidRDefault="0087094E" w:rsidP="0087094E">
      <w:pPr>
        <w:suppressAutoHyphens w:val="0"/>
        <w:spacing w:line="480" w:lineRule="auto"/>
        <w:rPr>
          <w:b/>
          <w:bCs/>
          <w:lang w:val="en-GB"/>
        </w:rPr>
      </w:pPr>
      <w:r w:rsidRPr="00775567">
        <w:rPr>
          <w:b/>
          <w:bCs/>
          <w:lang w:val="en-GB"/>
        </w:rPr>
        <w:lastRenderedPageBreak/>
        <w:t>Supplementary results</w:t>
      </w:r>
    </w:p>
    <w:p w14:paraId="1F4CFA30" w14:textId="77777777" w:rsidR="0087094E" w:rsidRPr="00775567" w:rsidRDefault="0087094E" w:rsidP="0087094E">
      <w:pPr>
        <w:pStyle w:val="Manuscriptheading4"/>
        <w:spacing w:line="480" w:lineRule="auto"/>
        <w:rPr>
          <w:lang w:val="en-GB"/>
        </w:rPr>
      </w:pPr>
      <w:r w:rsidRPr="00775567">
        <w:rPr>
          <w:lang w:val="en-GB"/>
        </w:rPr>
        <w:t>Worsening of CKD stage from baseline</w:t>
      </w:r>
    </w:p>
    <w:p w14:paraId="6726CAB1" w14:textId="77777777" w:rsidR="0087094E" w:rsidRPr="00775567" w:rsidRDefault="0087094E" w:rsidP="0087094E">
      <w:pPr>
        <w:pStyle w:val="ListBullet5"/>
        <w:numPr>
          <w:ilvl w:val="0"/>
          <w:numId w:val="0"/>
        </w:numPr>
        <w:spacing w:line="480" w:lineRule="auto"/>
        <w:rPr>
          <w:lang w:val="en-GB" w:eastAsia="en-US"/>
        </w:rPr>
      </w:pPr>
      <w:r w:rsidRPr="00775567">
        <w:rPr>
          <w:lang w:val="en-GB" w:eastAsia="en-US"/>
        </w:rPr>
        <w:t xml:space="preserve">The top progressive and protective factors linked to worsening of CKD stage are shown in </w:t>
      </w:r>
      <w:r w:rsidRPr="00775567">
        <w:rPr>
          <w:b/>
          <w:bCs/>
          <w:lang w:val="en-GB" w:eastAsia="en-US"/>
        </w:rPr>
        <w:t xml:space="preserve">Figure S2A. </w:t>
      </w:r>
      <w:r w:rsidRPr="00775567">
        <w:rPr>
          <w:lang w:val="en-GB" w:eastAsia="en-US"/>
        </w:rPr>
        <w:t xml:space="preserve">According to the developed risk prediction model, stage 4 CKD (HR=2.90, 95% CI=2.83–2.97), severely increased albuminuria-A3 (HR=2.30, 95% CI=2.09–2.53), stage 3 CKD (HR=1.74, 95% CI=1.71–1.77), polycystic kidney disease (HR=1.68, 95% CI=1.60–1.76), and proteinuria (HR=1.55, 95% CI=1.50–1.60) were the top </w:t>
      </w:r>
      <w:r>
        <w:rPr>
          <w:lang w:val="en-GB" w:eastAsia="en-US"/>
        </w:rPr>
        <w:t>five</w:t>
      </w:r>
      <w:r w:rsidRPr="00775567">
        <w:rPr>
          <w:lang w:val="en-GB" w:eastAsia="en-US"/>
        </w:rPr>
        <w:t xml:space="preserve"> greatest risk factors that could lead to worsening of CKD stage from baseline. The influential protective factors against worsening of CKD stage included normal to mildly increased albuminuria-A1 (HR=0.64, 95% CI=0.60–0.68), annual medical examination (HR=0.79, 95% CI=0.78–0.81), and female gender (HR=0.84, 95% CI=0.82–0.85). The Kaplan</w:t>
      </w:r>
      <w:r w:rsidRPr="00775567">
        <w:rPr>
          <w:lang w:val="en-GB"/>
        </w:rPr>
        <w:t>–</w:t>
      </w:r>
      <w:r w:rsidRPr="00775567">
        <w:rPr>
          <w:lang w:val="en-GB" w:eastAsia="en-US"/>
        </w:rPr>
        <w:t xml:space="preserve">Meier curves demonstrate </w:t>
      </w:r>
      <w:r w:rsidRPr="00775567">
        <w:rPr>
          <w:rFonts w:cs="Arial"/>
          <w:lang w:val="en-GB" w:eastAsia="en-US"/>
        </w:rPr>
        <w:t xml:space="preserve">clear separation between the predicted risk groups, suggesting good performance of the model </w:t>
      </w:r>
      <w:r w:rsidRPr="00775567">
        <w:rPr>
          <w:lang w:val="en-GB" w:eastAsia="en-US"/>
        </w:rPr>
        <w:t>(</w:t>
      </w:r>
      <w:r w:rsidRPr="00775567">
        <w:rPr>
          <w:b/>
          <w:bCs/>
          <w:lang w:val="en-GB" w:eastAsia="en-US"/>
        </w:rPr>
        <w:t>Figure S2B</w:t>
      </w:r>
      <w:r w:rsidRPr="00775567">
        <w:rPr>
          <w:lang w:val="en-GB" w:eastAsia="en-US"/>
        </w:rPr>
        <w:t>). The α value for worsening of CKD stage from baseline is 0.029</w:t>
      </w:r>
      <w:r>
        <w:rPr>
          <w:lang w:val="en-GB" w:eastAsia="en-US"/>
        </w:rPr>
        <w:t>,</w:t>
      </w:r>
      <w:r w:rsidRPr="00775567">
        <w:rPr>
          <w:lang w:val="en-GB" w:eastAsia="en-US"/>
        </w:rPr>
        <w:t xml:space="preserve"> indicating annual risk.</w:t>
      </w:r>
    </w:p>
    <w:p w14:paraId="563ADE89" w14:textId="77777777" w:rsidR="0087094E" w:rsidRPr="00775567" w:rsidRDefault="0087094E" w:rsidP="0087094E">
      <w:pPr>
        <w:suppressAutoHyphens w:val="0"/>
        <w:spacing w:line="480" w:lineRule="auto"/>
        <w:rPr>
          <w:b/>
          <w:bCs/>
          <w:lang w:val="en-GB"/>
        </w:rPr>
      </w:pPr>
      <w:r w:rsidRPr="00775567">
        <w:rPr>
          <w:b/>
          <w:bCs/>
          <w:lang w:val="en-GB"/>
        </w:rPr>
        <w:br w:type="page"/>
      </w:r>
    </w:p>
    <w:p w14:paraId="2B781FBD" w14:textId="77777777" w:rsidR="0087094E" w:rsidRPr="00775567" w:rsidRDefault="0087094E" w:rsidP="0087094E">
      <w:pPr>
        <w:suppressAutoHyphens w:val="0"/>
        <w:spacing w:line="480" w:lineRule="auto"/>
        <w:rPr>
          <w:lang w:val="en-GB"/>
        </w:rPr>
      </w:pPr>
      <w:r w:rsidRPr="00775567">
        <w:rPr>
          <w:b/>
          <w:bCs/>
          <w:lang w:val="en-GB"/>
        </w:rPr>
        <w:lastRenderedPageBreak/>
        <w:t xml:space="preserve">Supplementary Table 1. </w:t>
      </w:r>
      <w:r w:rsidRPr="00775567">
        <w:rPr>
          <w:lang w:val="en-GB"/>
        </w:rPr>
        <w:t>Patient inclusion and exclusion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29"/>
      </w:tblGrid>
      <w:tr w:rsidR="0087094E" w:rsidRPr="00E91A8B" w14:paraId="310822F0" w14:textId="77777777" w:rsidTr="00EA54D2">
        <w:tc>
          <w:tcPr>
            <w:tcW w:w="4531" w:type="dxa"/>
          </w:tcPr>
          <w:p w14:paraId="3A6653B4" w14:textId="77777777" w:rsidR="0087094E" w:rsidRPr="00775567" w:rsidRDefault="0087094E" w:rsidP="00EA54D2">
            <w:pPr>
              <w:spacing w:line="480" w:lineRule="auto"/>
              <w:jc w:val="center"/>
              <w:rPr>
                <w:rFonts w:cs="Arial"/>
                <w:b/>
                <w:bCs/>
                <w:sz w:val="24"/>
                <w:szCs w:val="24"/>
                <w:lang w:val="en-GB"/>
              </w:rPr>
            </w:pPr>
            <w:r w:rsidRPr="00775567">
              <w:rPr>
                <w:rFonts w:cs="Arial"/>
                <w:b/>
                <w:bCs/>
                <w:sz w:val="24"/>
                <w:szCs w:val="24"/>
                <w:lang w:val="en-GB"/>
              </w:rPr>
              <w:t xml:space="preserve">Inclusion </w:t>
            </w:r>
            <w:r>
              <w:rPr>
                <w:rFonts w:cs="Arial"/>
                <w:b/>
                <w:bCs/>
                <w:sz w:val="24"/>
                <w:szCs w:val="24"/>
                <w:lang w:val="en-GB"/>
              </w:rPr>
              <w:t>c</w:t>
            </w:r>
            <w:r w:rsidRPr="00775567">
              <w:rPr>
                <w:rFonts w:cs="Arial"/>
                <w:b/>
                <w:bCs/>
                <w:sz w:val="24"/>
                <w:szCs w:val="24"/>
                <w:lang w:val="en-GB"/>
              </w:rPr>
              <w:t>riteria</w:t>
            </w:r>
          </w:p>
        </w:tc>
        <w:tc>
          <w:tcPr>
            <w:tcW w:w="4529" w:type="dxa"/>
          </w:tcPr>
          <w:p w14:paraId="02A5E328" w14:textId="77777777" w:rsidR="0087094E" w:rsidRPr="00775567" w:rsidRDefault="0087094E" w:rsidP="00EA54D2">
            <w:pPr>
              <w:spacing w:line="48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 w:rsidRPr="00775567">
              <w:rPr>
                <w:rFonts w:cs="Arial"/>
                <w:b/>
                <w:sz w:val="24"/>
                <w:szCs w:val="24"/>
                <w:lang w:val="en-GB"/>
              </w:rPr>
              <w:t xml:space="preserve">Exclusion </w:t>
            </w:r>
            <w:r>
              <w:rPr>
                <w:rFonts w:cs="Arial"/>
                <w:b/>
                <w:sz w:val="24"/>
                <w:szCs w:val="24"/>
                <w:lang w:val="en-GB"/>
              </w:rPr>
              <w:t>c</w:t>
            </w:r>
            <w:r w:rsidRPr="00775567">
              <w:rPr>
                <w:rFonts w:cs="Arial"/>
                <w:b/>
                <w:sz w:val="24"/>
                <w:szCs w:val="24"/>
                <w:lang w:val="en-GB"/>
              </w:rPr>
              <w:t>riteria</w:t>
            </w:r>
          </w:p>
        </w:tc>
      </w:tr>
      <w:tr w:rsidR="0087094E" w:rsidRPr="00E91A8B" w14:paraId="2BCE40E0" w14:textId="77777777" w:rsidTr="00EA54D2">
        <w:tc>
          <w:tcPr>
            <w:tcW w:w="4531" w:type="dxa"/>
          </w:tcPr>
          <w:p w14:paraId="20312DE1" w14:textId="77777777" w:rsidR="0087094E" w:rsidRPr="000C5BC3" w:rsidRDefault="0087094E" w:rsidP="0087094E">
            <w:pPr>
              <w:pStyle w:val="ListBullet5"/>
              <w:numPr>
                <w:ilvl w:val="0"/>
                <w:numId w:val="2"/>
              </w:numPr>
              <w:autoSpaceDN/>
              <w:spacing w:line="480" w:lineRule="auto"/>
              <w:textAlignment w:val="auto"/>
              <w:rPr>
                <w:lang w:val="en-GB"/>
              </w:rPr>
            </w:pPr>
            <w:r w:rsidRPr="000C5BC3">
              <w:rPr>
                <w:lang w:val="en-GB"/>
              </w:rPr>
              <w:t>Age ≥18 years at index</w:t>
            </w:r>
          </w:p>
          <w:p w14:paraId="19B9CF4E" w14:textId="77777777" w:rsidR="0087094E" w:rsidRPr="00333A20" w:rsidRDefault="0087094E" w:rsidP="0087094E">
            <w:pPr>
              <w:pStyle w:val="ListBullet5"/>
              <w:numPr>
                <w:ilvl w:val="0"/>
                <w:numId w:val="2"/>
              </w:numPr>
              <w:autoSpaceDN/>
              <w:spacing w:line="480" w:lineRule="auto"/>
              <w:textAlignment w:val="auto"/>
              <w:rPr>
                <w:lang w:val="en-GB"/>
              </w:rPr>
            </w:pPr>
            <w:r w:rsidRPr="00EF7FD6">
              <w:rPr>
                <w:lang w:val="en-GB"/>
              </w:rPr>
              <w:t xml:space="preserve">CKD stage 3 or 4, identified using ICD codes for CKD and/or by laboratory values </w:t>
            </w:r>
            <w:r w:rsidRPr="00333A20">
              <w:rPr>
                <w:lang w:val="en-GB"/>
              </w:rPr>
              <w:t>(eGFR 15–59 ml/min/1.73 m</w:t>
            </w:r>
            <w:r w:rsidRPr="00333A20">
              <w:rPr>
                <w:vertAlign w:val="superscript"/>
                <w:lang w:val="en-GB"/>
              </w:rPr>
              <w:t>2</w:t>
            </w:r>
            <w:r w:rsidRPr="00333A20">
              <w:rPr>
                <w:lang w:val="en-GB"/>
              </w:rPr>
              <w:t>), confirmed by a second ICD code or eGFR value &gt;90 days but &lt;365 days apart (index date); lab test results were available for 30% of the patients in the database</w:t>
            </w:r>
          </w:p>
          <w:p w14:paraId="0852B084" w14:textId="77777777" w:rsidR="0087094E" w:rsidRPr="005509EC" w:rsidRDefault="0087094E" w:rsidP="0087094E">
            <w:pPr>
              <w:pStyle w:val="ListBullet5"/>
              <w:numPr>
                <w:ilvl w:val="0"/>
                <w:numId w:val="2"/>
              </w:numPr>
              <w:autoSpaceDN/>
              <w:spacing w:line="480" w:lineRule="auto"/>
              <w:textAlignment w:val="auto"/>
              <w:rPr>
                <w:lang w:val="en-GB"/>
              </w:rPr>
            </w:pPr>
            <w:r w:rsidRPr="00053698">
              <w:rPr>
                <w:lang w:val="en-GB"/>
              </w:rPr>
              <w:t>At least 365 days of continuous insurance coverage prior to the index event (baseline period)</w:t>
            </w:r>
          </w:p>
        </w:tc>
        <w:tc>
          <w:tcPr>
            <w:tcW w:w="4529" w:type="dxa"/>
          </w:tcPr>
          <w:p w14:paraId="674A6EE0" w14:textId="77777777" w:rsidR="0087094E" w:rsidRPr="00E14345" w:rsidRDefault="0087094E" w:rsidP="0087094E">
            <w:pPr>
              <w:pStyle w:val="ListBullet5"/>
              <w:numPr>
                <w:ilvl w:val="0"/>
                <w:numId w:val="2"/>
              </w:numPr>
              <w:autoSpaceDN/>
              <w:spacing w:line="480" w:lineRule="auto"/>
              <w:textAlignment w:val="auto"/>
              <w:rPr>
                <w:lang w:val="en-GB"/>
              </w:rPr>
            </w:pPr>
            <w:r w:rsidRPr="005509EC">
              <w:rPr>
                <w:lang w:val="en-GB"/>
              </w:rPr>
              <w:t>Any of the following, identified by ICD codes (ICD-9-CM or ICD-10-CM) or procedural codes (ICD-9-CM</w:t>
            </w:r>
            <w:r w:rsidRPr="00AE4353">
              <w:rPr>
                <w:lang w:val="en-GB"/>
              </w:rPr>
              <w:t>, ICD-10-CM or CPT-4) prior to the index CKD diagnosis:</w:t>
            </w:r>
          </w:p>
          <w:p w14:paraId="2D8C66AF" w14:textId="77777777" w:rsidR="0087094E" w:rsidRPr="009056A5" w:rsidRDefault="0087094E" w:rsidP="0087094E">
            <w:pPr>
              <w:pStyle w:val="ListBullet5"/>
              <w:numPr>
                <w:ilvl w:val="1"/>
                <w:numId w:val="1"/>
              </w:numPr>
              <w:spacing w:line="480" w:lineRule="auto"/>
              <w:rPr>
                <w:lang w:val="en-GB"/>
              </w:rPr>
            </w:pPr>
            <w:r w:rsidRPr="009056A5">
              <w:rPr>
                <w:lang w:val="en-GB"/>
              </w:rPr>
              <w:t>Diabetes</w:t>
            </w:r>
          </w:p>
          <w:p w14:paraId="7E4C2335" w14:textId="77777777" w:rsidR="0087094E" w:rsidRPr="00F41173" w:rsidRDefault="0087094E" w:rsidP="0087094E">
            <w:pPr>
              <w:pStyle w:val="ListBullet5"/>
              <w:numPr>
                <w:ilvl w:val="1"/>
                <w:numId w:val="1"/>
              </w:numPr>
              <w:spacing w:line="480" w:lineRule="auto"/>
              <w:rPr>
                <w:lang w:val="en-GB"/>
              </w:rPr>
            </w:pPr>
            <w:r w:rsidRPr="009056A5">
              <w:rPr>
                <w:lang w:val="en-GB"/>
              </w:rPr>
              <w:t>CKD stage 5</w:t>
            </w:r>
          </w:p>
          <w:p w14:paraId="49EFAE13" w14:textId="77777777" w:rsidR="0087094E" w:rsidRPr="00775567" w:rsidRDefault="0087094E" w:rsidP="0087094E">
            <w:pPr>
              <w:pStyle w:val="ListBullet5"/>
              <w:numPr>
                <w:ilvl w:val="1"/>
                <w:numId w:val="1"/>
              </w:numPr>
              <w:spacing w:line="480" w:lineRule="auto"/>
              <w:rPr>
                <w:lang w:val="en-GB"/>
              </w:rPr>
            </w:pPr>
            <w:r w:rsidRPr="00775567">
              <w:rPr>
                <w:lang w:val="en-GB"/>
              </w:rPr>
              <w:t>ESKD</w:t>
            </w:r>
          </w:p>
          <w:p w14:paraId="0AF5F8A1" w14:textId="77777777" w:rsidR="0087094E" w:rsidRPr="00775567" w:rsidRDefault="0087094E" w:rsidP="00EA54D2">
            <w:pPr>
              <w:pStyle w:val="ListBullet5"/>
              <w:spacing w:line="480" w:lineRule="auto"/>
              <w:rPr>
                <w:lang w:val="en-GB"/>
              </w:rPr>
            </w:pPr>
            <w:r w:rsidRPr="00775567">
              <w:rPr>
                <w:lang w:val="en-GB"/>
              </w:rPr>
              <w:t>Patients were also excluded if they had a kidney transplant, kidney failure (acute or unspecified)</w:t>
            </w:r>
            <w:r>
              <w:rPr>
                <w:lang w:val="en-GB"/>
              </w:rPr>
              <w:t>,</w:t>
            </w:r>
            <w:r w:rsidRPr="00775567">
              <w:rPr>
                <w:lang w:val="en-GB"/>
              </w:rPr>
              <w:t xml:space="preserve"> or dialysis in the 365</w:t>
            </w:r>
            <w:r>
              <w:rPr>
                <w:lang w:val="en-GB"/>
              </w:rPr>
              <w:noBreakHyphen/>
            </w:r>
            <w:r w:rsidRPr="00775567">
              <w:rPr>
                <w:lang w:val="en-GB"/>
              </w:rPr>
              <w:t>day baseline period (rather than prior to index diagnosis)</w:t>
            </w:r>
          </w:p>
          <w:p w14:paraId="194FF748" w14:textId="77777777" w:rsidR="0087094E" w:rsidRPr="00775567" w:rsidRDefault="0087094E" w:rsidP="00EA54D2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</w:p>
        </w:tc>
      </w:tr>
    </w:tbl>
    <w:p w14:paraId="229BA24D" w14:textId="77777777" w:rsidR="0087094E" w:rsidRPr="00333A20" w:rsidRDefault="0087094E" w:rsidP="0087094E">
      <w:pPr>
        <w:suppressAutoHyphens w:val="0"/>
        <w:spacing w:line="480" w:lineRule="auto"/>
        <w:rPr>
          <w:b/>
          <w:bCs/>
          <w:lang w:val="en-GB"/>
        </w:rPr>
      </w:pPr>
      <w:r w:rsidRPr="000C5BC3">
        <w:rPr>
          <w:lang w:val="en-GB"/>
        </w:rPr>
        <w:t>CKD, chronic kidney disease; CPT-4, Current Procedural Terminology 4; eGFR, estimated glomerular filtration rate; ESKD, end-stage kidney disease; ICD, International Classification of Diseases</w:t>
      </w:r>
      <w:r w:rsidRPr="00EF7FD6">
        <w:rPr>
          <w:b/>
          <w:bCs/>
          <w:lang w:val="en-GB"/>
        </w:rPr>
        <w:br w:type="page"/>
      </w:r>
    </w:p>
    <w:p w14:paraId="47AE1E0B" w14:textId="77777777" w:rsidR="0087094E" w:rsidRPr="00333A20" w:rsidRDefault="0087094E" w:rsidP="0087094E">
      <w:pPr>
        <w:suppressAutoHyphens w:val="0"/>
        <w:spacing w:line="480" w:lineRule="auto"/>
        <w:rPr>
          <w:rFonts w:cs="Arial"/>
          <w:b/>
          <w:bCs/>
          <w:szCs w:val="22"/>
          <w:lang w:val="en-GB" w:eastAsia="en-US"/>
        </w:rPr>
      </w:pPr>
      <w:bookmarkStart w:id="0" w:name="_Hlk167350620"/>
      <w:r w:rsidRPr="00333A20">
        <w:rPr>
          <w:b/>
          <w:bCs/>
          <w:lang w:val="en-GB"/>
        </w:rPr>
        <w:lastRenderedPageBreak/>
        <w:t>Supplementary Table 2</w:t>
      </w:r>
      <w:bookmarkEnd w:id="0"/>
      <w:r w:rsidRPr="00333A20">
        <w:rPr>
          <w:b/>
          <w:bCs/>
          <w:lang w:val="en-GB"/>
        </w:rPr>
        <w:t>.</w:t>
      </w:r>
      <w:r w:rsidRPr="00333A20">
        <w:rPr>
          <w:szCs w:val="22"/>
          <w:lang w:val="en-GB"/>
        </w:rPr>
        <w:t xml:space="preserve"> Demographic and clinical data, baseline comorbidities, and baseline medication use for the main cohort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4"/>
        <w:gridCol w:w="3766"/>
      </w:tblGrid>
      <w:tr w:rsidR="0087094E" w:rsidRPr="00E91A8B" w14:paraId="18EA1AC4" w14:textId="77777777" w:rsidTr="00EA54D2">
        <w:tc>
          <w:tcPr>
            <w:tcW w:w="0" w:type="auto"/>
          </w:tcPr>
          <w:p w14:paraId="7DC35D11" w14:textId="77777777" w:rsidR="0087094E" w:rsidRPr="00333A20" w:rsidRDefault="0087094E" w:rsidP="00EA54D2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bookmarkStart w:id="1" w:name="_Hlk167350661"/>
          </w:p>
        </w:tc>
        <w:tc>
          <w:tcPr>
            <w:tcW w:w="0" w:type="auto"/>
          </w:tcPr>
          <w:p w14:paraId="4AD6438B" w14:textId="77777777" w:rsidR="0087094E" w:rsidRPr="005509EC" w:rsidRDefault="0087094E" w:rsidP="00EA54D2">
            <w:pPr>
              <w:spacing w:line="48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 w:rsidRPr="00053698">
              <w:rPr>
                <w:rFonts w:cs="Arial"/>
                <w:b/>
                <w:sz w:val="24"/>
                <w:szCs w:val="24"/>
                <w:lang w:val="en-GB"/>
              </w:rPr>
              <w:t xml:space="preserve">Moderate-to-severe </w:t>
            </w:r>
            <w:r w:rsidRPr="00053698">
              <w:rPr>
                <w:rFonts w:cs="Arial"/>
                <w:b/>
                <w:sz w:val="24"/>
                <w:szCs w:val="24"/>
                <w:lang w:val="en-GB"/>
              </w:rPr>
              <w:br/>
              <w:t>non-diabetic CKD (main</w:t>
            </w:r>
            <w:r>
              <w:rPr>
                <w:rFonts w:cs="Arial"/>
                <w:b/>
                <w:sz w:val="24"/>
                <w:szCs w:val="24"/>
                <w:lang w:val="en-GB"/>
              </w:rPr>
              <w:t> </w:t>
            </w:r>
            <w:r w:rsidRPr="00053698">
              <w:rPr>
                <w:rFonts w:cs="Arial"/>
                <w:b/>
                <w:sz w:val="24"/>
                <w:szCs w:val="24"/>
                <w:lang w:val="en-GB"/>
              </w:rPr>
              <w:t>cohort)</w:t>
            </w:r>
            <w:r w:rsidRPr="00053698">
              <w:rPr>
                <w:rFonts w:cs="Arial"/>
                <w:b/>
                <w:sz w:val="24"/>
                <w:szCs w:val="24"/>
                <w:lang w:val="en-GB"/>
              </w:rPr>
              <w:br/>
              <w:t>N=504,924</w:t>
            </w:r>
          </w:p>
        </w:tc>
      </w:tr>
      <w:tr w:rsidR="0087094E" w:rsidRPr="00E91A8B" w14:paraId="440E2045" w14:textId="77777777" w:rsidTr="00EA54D2">
        <w:tc>
          <w:tcPr>
            <w:tcW w:w="0" w:type="auto"/>
          </w:tcPr>
          <w:p w14:paraId="6811A0ED" w14:textId="77777777" w:rsidR="0087094E" w:rsidRPr="000C5BC3" w:rsidRDefault="0087094E" w:rsidP="00EA54D2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Age, years, median (IQR)</w:t>
            </w:r>
          </w:p>
        </w:tc>
        <w:tc>
          <w:tcPr>
            <w:tcW w:w="0" w:type="auto"/>
          </w:tcPr>
          <w:p w14:paraId="07578821" w14:textId="77777777" w:rsidR="0087094E" w:rsidRPr="00333A20" w:rsidRDefault="0087094E" w:rsidP="00EA54D2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75.0 (68.0–81.0)</w:t>
            </w:r>
          </w:p>
        </w:tc>
      </w:tr>
      <w:tr w:rsidR="0087094E" w:rsidRPr="00E91A8B" w14:paraId="0DE019D2" w14:textId="77777777" w:rsidTr="00EA54D2">
        <w:tc>
          <w:tcPr>
            <w:tcW w:w="0" w:type="auto"/>
          </w:tcPr>
          <w:p w14:paraId="6CF8DF70" w14:textId="77777777" w:rsidR="0087094E" w:rsidRPr="000C5BC3" w:rsidRDefault="0087094E" w:rsidP="00EA54D2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Sex, n (%)</w:t>
            </w:r>
          </w:p>
        </w:tc>
        <w:tc>
          <w:tcPr>
            <w:tcW w:w="0" w:type="auto"/>
          </w:tcPr>
          <w:p w14:paraId="22A0CCDE" w14:textId="77777777" w:rsidR="0087094E" w:rsidRPr="00EF7FD6" w:rsidRDefault="0087094E" w:rsidP="00EA54D2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</w:p>
        </w:tc>
      </w:tr>
      <w:tr w:rsidR="0087094E" w:rsidRPr="00E91A8B" w14:paraId="3C4E6FA3" w14:textId="77777777" w:rsidTr="00EA54D2">
        <w:tc>
          <w:tcPr>
            <w:tcW w:w="0" w:type="auto"/>
          </w:tcPr>
          <w:p w14:paraId="694B5777" w14:textId="77777777" w:rsidR="0087094E" w:rsidRPr="000C5BC3" w:rsidRDefault="0087094E" w:rsidP="00EA54D2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0" w:type="auto"/>
          </w:tcPr>
          <w:p w14:paraId="0A6769B1" w14:textId="77777777" w:rsidR="0087094E" w:rsidRPr="00333A20" w:rsidRDefault="0087094E" w:rsidP="00EA54D2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305,297 (60.5)</w:t>
            </w:r>
          </w:p>
        </w:tc>
      </w:tr>
      <w:tr w:rsidR="0087094E" w:rsidRPr="00E91A8B" w14:paraId="15D80B1D" w14:textId="77777777" w:rsidTr="00EA54D2">
        <w:tc>
          <w:tcPr>
            <w:tcW w:w="0" w:type="auto"/>
          </w:tcPr>
          <w:p w14:paraId="281D8CDE" w14:textId="77777777" w:rsidR="0087094E" w:rsidRPr="000C5BC3" w:rsidRDefault="0087094E" w:rsidP="00EA54D2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0" w:type="auto"/>
          </w:tcPr>
          <w:p w14:paraId="10B1F386" w14:textId="77777777" w:rsidR="0087094E" w:rsidRPr="00333A20" w:rsidRDefault="0087094E" w:rsidP="00EA54D2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73 (&lt;0.1)</w:t>
            </w:r>
          </w:p>
        </w:tc>
      </w:tr>
      <w:tr w:rsidR="0030476A" w:rsidRPr="00E91A8B" w14:paraId="3B1BDC6F" w14:textId="77777777" w:rsidTr="00EA54D2">
        <w:tc>
          <w:tcPr>
            <w:tcW w:w="0" w:type="auto"/>
          </w:tcPr>
          <w:p w14:paraId="1C2F0A30" w14:textId="7652B836" w:rsidR="0030476A" w:rsidRPr="000C5BC3" w:rsidRDefault="0030476A" w:rsidP="0030476A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DB05C9">
              <w:rPr>
                <w:rFonts w:cs="Arial"/>
                <w:sz w:val="24"/>
                <w:szCs w:val="24"/>
                <w:lang w:val="en-GB"/>
              </w:rPr>
              <w:t>Race, n (%)</w:t>
            </w:r>
          </w:p>
        </w:tc>
        <w:tc>
          <w:tcPr>
            <w:tcW w:w="0" w:type="auto"/>
          </w:tcPr>
          <w:p w14:paraId="53A6A52F" w14:textId="77777777" w:rsidR="0030476A" w:rsidRPr="00EF7FD6" w:rsidRDefault="0030476A" w:rsidP="0030476A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</w:p>
        </w:tc>
      </w:tr>
      <w:tr w:rsidR="0030476A" w:rsidRPr="00E91A8B" w14:paraId="23A47AD0" w14:textId="77777777" w:rsidTr="00EA54D2">
        <w:tc>
          <w:tcPr>
            <w:tcW w:w="0" w:type="auto"/>
          </w:tcPr>
          <w:p w14:paraId="36E4586E" w14:textId="77777777" w:rsidR="0030476A" w:rsidRPr="000C5BC3" w:rsidRDefault="0030476A" w:rsidP="0030476A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Asian</w:t>
            </w:r>
          </w:p>
        </w:tc>
        <w:tc>
          <w:tcPr>
            <w:tcW w:w="0" w:type="auto"/>
          </w:tcPr>
          <w:p w14:paraId="71214016" w14:textId="77777777" w:rsidR="0030476A" w:rsidRPr="00333A20" w:rsidRDefault="0030476A" w:rsidP="0030476A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9435 (1.9)</w:t>
            </w:r>
          </w:p>
        </w:tc>
      </w:tr>
      <w:bookmarkEnd w:id="1"/>
      <w:tr w:rsidR="00B26170" w:rsidRPr="00E91A8B" w14:paraId="691D2AEF" w14:textId="77777777" w:rsidTr="00EA54D2">
        <w:tc>
          <w:tcPr>
            <w:tcW w:w="0" w:type="auto"/>
          </w:tcPr>
          <w:p w14:paraId="56D3BE24" w14:textId="5D99EAF1" w:rsidR="00B26170" w:rsidRPr="000C5BC3" w:rsidRDefault="00B26170" w:rsidP="00B26170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B26170">
              <w:rPr>
                <w:rFonts w:cs="Arial"/>
                <w:sz w:val="24"/>
                <w:szCs w:val="24"/>
                <w:lang w:val="en-GB"/>
              </w:rPr>
              <w:t>Hispanic</w:t>
            </w:r>
          </w:p>
        </w:tc>
        <w:tc>
          <w:tcPr>
            <w:tcW w:w="0" w:type="auto"/>
          </w:tcPr>
          <w:p w14:paraId="14324F69" w14:textId="74D70F91" w:rsidR="00B26170" w:rsidRPr="00EF7FD6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B26170">
              <w:rPr>
                <w:rFonts w:cs="Arial"/>
                <w:sz w:val="24"/>
                <w:szCs w:val="24"/>
                <w:lang w:val="en-GB"/>
              </w:rPr>
              <w:t>35,163 (7.0)</w:t>
            </w:r>
          </w:p>
        </w:tc>
      </w:tr>
      <w:tr w:rsidR="00B26170" w:rsidRPr="00E91A8B" w14:paraId="6C3EC393" w14:textId="77777777" w:rsidTr="00EA54D2">
        <w:tc>
          <w:tcPr>
            <w:tcW w:w="0" w:type="auto"/>
          </w:tcPr>
          <w:p w14:paraId="780849E9" w14:textId="77777777" w:rsidR="00B26170" w:rsidRPr="000C5BC3" w:rsidRDefault="00B26170" w:rsidP="00B26170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Black</w:t>
            </w:r>
          </w:p>
        </w:tc>
        <w:tc>
          <w:tcPr>
            <w:tcW w:w="0" w:type="auto"/>
          </w:tcPr>
          <w:p w14:paraId="7108735E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47,947 (9.5)</w:t>
            </w:r>
          </w:p>
        </w:tc>
      </w:tr>
      <w:tr w:rsidR="00B26170" w:rsidRPr="00E91A8B" w14:paraId="51437EF5" w14:textId="77777777" w:rsidTr="00EA54D2">
        <w:tc>
          <w:tcPr>
            <w:tcW w:w="0" w:type="auto"/>
          </w:tcPr>
          <w:p w14:paraId="1C678E7C" w14:textId="77777777" w:rsidR="00B26170" w:rsidRPr="000C5BC3" w:rsidRDefault="00B26170" w:rsidP="00B26170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0" w:type="auto"/>
          </w:tcPr>
          <w:p w14:paraId="4BD1F8D2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54,329 (10.8)</w:t>
            </w:r>
          </w:p>
        </w:tc>
      </w:tr>
      <w:tr w:rsidR="00B26170" w:rsidRPr="00E91A8B" w14:paraId="317A2E9D" w14:textId="77777777" w:rsidTr="00EA54D2">
        <w:tc>
          <w:tcPr>
            <w:tcW w:w="0" w:type="auto"/>
          </w:tcPr>
          <w:p w14:paraId="256A61B6" w14:textId="77777777" w:rsidR="00B26170" w:rsidRPr="000C5BC3" w:rsidRDefault="00B26170" w:rsidP="00B26170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Unknown</w:t>
            </w:r>
          </w:p>
        </w:tc>
        <w:tc>
          <w:tcPr>
            <w:tcW w:w="0" w:type="auto"/>
          </w:tcPr>
          <w:p w14:paraId="7D333B63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42,339 (8.4)</w:t>
            </w:r>
          </w:p>
        </w:tc>
      </w:tr>
      <w:tr w:rsidR="00B26170" w:rsidRPr="00E91A8B" w14:paraId="55DDB430" w14:textId="77777777" w:rsidTr="00EA54D2">
        <w:tc>
          <w:tcPr>
            <w:tcW w:w="0" w:type="auto"/>
          </w:tcPr>
          <w:p w14:paraId="375B1B5F" w14:textId="77777777" w:rsidR="00B26170" w:rsidRPr="000C5BC3" w:rsidRDefault="00B26170" w:rsidP="00B26170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White</w:t>
            </w:r>
          </w:p>
        </w:tc>
        <w:tc>
          <w:tcPr>
            <w:tcW w:w="0" w:type="auto"/>
          </w:tcPr>
          <w:p w14:paraId="3D35D94A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315,711 (62.5)</w:t>
            </w:r>
          </w:p>
        </w:tc>
      </w:tr>
      <w:tr w:rsidR="00B26170" w:rsidRPr="00E91A8B" w14:paraId="65B450C4" w14:textId="77777777" w:rsidTr="00EA54D2">
        <w:tc>
          <w:tcPr>
            <w:tcW w:w="0" w:type="auto"/>
          </w:tcPr>
          <w:p w14:paraId="35567A24" w14:textId="77777777" w:rsidR="00B26170" w:rsidRPr="000C5BC3" w:rsidRDefault="00B26170" w:rsidP="00B26170">
            <w:pPr>
              <w:spacing w:line="480" w:lineRule="auto"/>
              <w:ind w:left="167" w:hanging="142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Index CKD stage, n (%)</w:t>
            </w:r>
          </w:p>
        </w:tc>
        <w:tc>
          <w:tcPr>
            <w:tcW w:w="0" w:type="auto"/>
          </w:tcPr>
          <w:p w14:paraId="519895B6" w14:textId="77777777" w:rsidR="00B26170" w:rsidRPr="00EF7FD6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</w:p>
        </w:tc>
      </w:tr>
      <w:tr w:rsidR="00B26170" w:rsidRPr="00E91A8B" w14:paraId="6347032B" w14:textId="77777777" w:rsidTr="00EA54D2">
        <w:tc>
          <w:tcPr>
            <w:tcW w:w="0" w:type="auto"/>
          </w:tcPr>
          <w:p w14:paraId="518B4D63" w14:textId="77777777" w:rsidR="00B26170" w:rsidRPr="000C5BC3" w:rsidRDefault="00B26170" w:rsidP="00B26170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CKD 3</w:t>
            </w:r>
          </w:p>
        </w:tc>
        <w:tc>
          <w:tcPr>
            <w:tcW w:w="0" w:type="auto"/>
          </w:tcPr>
          <w:p w14:paraId="6824B52A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478,415 (94.7)</w:t>
            </w:r>
          </w:p>
        </w:tc>
      </w:tr>
      <w:tr w:rsidR="00B26170" w:rsidRPr="00E91A8B" w14:paraId="7C97D0C2" w14:textId="77777777" w:rsidTr="00EA54D2">
        <w:tc>
          <w:tcPr>
            <w:tcW w:w="0" w:type="auto"/>
          </w:tcPr>
          <w:p w14:paraId="36516C94" w14:textId="77777777" w:rsidR="00B26170" w:rsidRPr="000C5BC3" w:rsidRDefault="00B26170" w:rsidP="00B26170">
            <w:pPr>
              <w:spacing w:line="480" w:lineRule="auto"/>
              <w:ind w:left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CKD 4</w:t>
            </w:r>
          </w:p>
        </w:tc>
        <w:tc>
          <w:tcPr>
            <w:tcW w:w="0" w:type="auto"/>
          </w:tcPr>
          <w:p w14:paraId="6CBF2914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26,509 (5.3)</w:t>
            </w:r>
          </w:p>
        </w:tc>
      </w:tr>
      <w:tr w:rsidR="00B26170" w:rsidRPr="00E91A8B" w14:paraId="7B26EC7C" w14:textId="77777777" w:rsidTr="00EA54D2">
        <w:tc>
          <w:tcPr>
            <w:tcW w:w="0" w:type="auto"/>
          </w:tcPr>
          <w:p w14:paraId="6730A347" w14:textId="77777777" w:rsidR="00B26170" w:rsidRPr="00333A20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Baseline eGFR, ml/min/1.73 m</w:t>
            </w:r>
            <w:r w:rsidRPr="000C5BC3">
              <w:rPr>
                <w:rFonts w:cs="Arial"/>
                <w:sz w:val="24"/>
                <w:szCs w:val="24"/>
                <w:vertAlign w:val="superscript"/>
                <w:lang w:val="en-GB"/>
              </w:rPr>
              <w:t>2</w:t>
            </w:r>
            <w:r w:rsidRPr="00EF7FD6">
              <w:rPr>
                <w:rFonts w:cs="Arial"/>
                <w:sz w:val="24"/>
                <w:szCs w:val="24"/>
                <w:lang w:val="en-GB"/>
              </w:rPr>
              <w:t>,</w:t>
            </w:r>
            <w:r w:rsidRPr="00333A20">
              <w:rPr>
                <w:rFonts w:cs="Arial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Pr="00333A20">
              <w:rPr>
                <w:rFonts w:cs="Arial"/>
                <w:sz w:val="24"/>
                <w:szCs w:val="24"/>
                <w:lang w:val="en-GB"/>
              </w:rPr>
              <w:t>median (IQR)</w:t>
            </w:r>
          </w:p>
        </w:tc>
        <w:tc>
          <w:tcPr>
            <w:tcW w:w="0" w:type="auto"/>
          </w:tcPr>
          <w:p w14:paraId="4FF4BDEC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333A20">
              <w:rPr>
                <w:rFonts w:cs="Arial"/>
                <w:sz w:val="24"/>
                <w:szCs w:val="24"/>
                <w:lang w:val="en-GB"/>
              </w:rPr>
              <w:t>53.0 (47.1–57.0)</w:t>
            </w:r>
            <w:r w:rsidRPr="00333A20">
              <w:rPr>
                <w:rFonts w:cs="Arial"/>
                <w:sz w:val="24"/>
                <w:szCs w:val="24"/>
                <w:lang w:val="en-GB"/>
              </w:rPr>
              <w:br/>
              <w:t>(n=313,367)</w:t>
            </w:r>
          </w:p>
        </w:tc>
      </w:tr>
      <w:tr w:rsidR="00B26170" w:rsidRPr="00E91A8B" w14:paraId="26F42695" w14:textId="77777777" w:rsidTr="00EA54D2">
        <w:tc>
          <w:tcPr>
            <w:tcW w:w="0" w:type="auto"/>
          </w:tcPr>
          <w:p w14:paraId="1F4B4484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Baseline UACR, mg/g, median (IQR)</w:t>
            </w:r>
          </w:p>
        </w:tc>
        <w:tc>
          <w:tcPr>
            <w:tcW w:w="0" w:type="auto"/>
          </w:tcPr>
          <w:p w14:paraId="25902BFC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9.7 (3.0–33.0)</w:t>
            </w:r>
            <w:r w:rsidRPr="00EF7FD6">
              <w:rPr>
                <w:rFonts w:cs="Arial"/>
                <w:sz w:val="24"/>
                <w:szCs w:val="24"/>
                <w:lang w:val="en-GB"/>
              </w:rPr>
              <w:br/>
              <w:t>(n=30,793)</w:t>
            </w:r>
          </w:p>
        </w:tc>
      </w:tr>
      <w:tr w:rsidR="00B26170" w:rsidRPr="00402153" w14:paraId="11F996AF" w14:textId="77777777" w:rsidTr="00EA54D2">
        <w:tc>
          <w:tcPr>
            <w:tcW w:w="0" w:type="auto"/>
          </w:tcPr>
          <w:p w14:paraId="7F78F944" w14:textId="77777777" w:rsidR="00B26170" w:rsidRPr="00910BB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da-DK"/>
              </w:rPr>
            </w:pPr>
            <w:r w:rsidRPr="00910BB3">
              <w:rPr>
                <w:rFonts w:cs="Arial"/>
                <w:sz w:val="24"/>
                <w:szCs w:val="24"/>
                <w:lang w:val="da-DK"/>
              </w:rPr>
              <w:t>Baseline UACR, mg/g, n (%)</w:t>
            </w:r>
          </w:p>
        </w:tc>
        <w:tc>
          <w:tcPr>
            <w:tcW w:w="0" w:type="auto"/>
          </w:tcPr>
          <w:p w14:paraId="5EFFAF6B" w14:textId="77777777" w:rsidR="00B26170" w:rsidRPr="00910BB3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da-DK"/>
              </w:rPr>
            </w:pPr>
          </w:p>
        </w:tc>
      </w:tr>
      <w:tr w:rsidR="00B26170" w:rsidRPr="00E91A8B" w14:paraId="4C2E915F" w14:textId="77777777" w:rsidTr="00EA54D2">
        <w:tc>
          <w:tcPr>
            <w:tcW w:w="0" w:type="auto"/>
          </w:tcPr>
          <w:p w14:paraId="2F165FE3" w14:textId="77777777" w:rsidR="00B26170" w:rsidRPr="000C5BC3" w:rsidRDefault="00B26170" w:rsidP="00B26170">
            <w:pPr>
              <w:spacing w:line="480" w:lineRule="auto"/>
              <w:ind w:firstLine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lastRenderedPageBreak/>
              <w:t>&lt;30</w:t>
            </w:r>
          </w:p>
        </w:tc>
        <w:tc>
          <w:tcPr>
            <w:tcW w:w="0" w:type="auto"/>
          </w:tcPr>
          <w:p w14:paraId="086956AB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22,621 (4.5)</w:t>
            </w:r>
          </w:p>
        </w:tc>
      </w:tr>
      <w:tr w:rsidR="00B26170" w:rsidRPr="00E91A8B" w14:paraId="580BAAFB" w14:textId="77777777" w:rsidTr="00EA54D2">
        <w:tc>
          <w:tcPr>
            <w:tcW w:w="0" w:type="auto"/>
          </w:tcPr>
          <w:p w14:paraId="318BCCA5" w14:textId="77777777" w:rsidR="00B26170" w:rsidRPr="000C5BC3" w:rsidRDefault="00B26170" w:rsidP="00B26170">
            <w:pPr>
              <w:spacing w:line="480" w:lineRule="auto"/>
              <w:ind w:firstLine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30–&lt;300</w:t>
            </w:r>
          </w:p>
        </w:tc>
        <w:tc>
          <w:tcPr>
            <w:tcW w:w="0" w:type="auto"/>
          </w:tcPr>
          <w:p w14:paraId="5B369554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6376 (1.3)</w:t>
            </w:r>
          </w:p>
        </w:tc>
      </w:tr>
      <w:tr w:rsidR="00B26170" w:rsidRPr="00E91A8B" w14:paraId="11EA4FBA" w14:textId="77777777" w:rsidTr="00EA54D2">
        <w:tc>
          <w:tcPr>
            <w:tcW w:w="0" w:type="auto"/>
          </w:tcPr>
          <w:p w14:paraId="52AB3580" w14:textId="77777777" w:rsidR="00B26170" w:rsidRPr="000C5BC3" w:rsidRDefault="00B26170" w:rsidP="00B26170">
            <w:pPr>
              <w:spacing w:line="480" w:lineRule="auto"/>
              <w:ind w:firstLine="318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≥300</w:t>
            </w:r>
          </w:p>
        </w:tc>
        <w:tc>
          <w:tcPr>
            <w:tcW w:w="0" w:type="auto"/>
          </w:tcPr>
          <w:p w14:paraId="0D3052EF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 xml:space="preserve">1796 </w:t>
            </w:r>
            <w:r w:rsidRPr="00333A20">
              <w:rPr>
                <w:rFonts w:cs="Arial"/>
                <w:sz w:val="24"/>
                <w:szCs w:val="24"/>
                <w:lang w:val="en-GB"/>
              </w:rPr>
              <w:t>(0.4)</w:t>
            </w:r>
          </w:p>
        </w:tc>
      </w:tr>
      <w:tr w:rsidR="00B26170" w:rsidRPr="00E91A8B" w14:paraId="210DDEF5" w14:textId="77777777" w:rsidTr="00EA54D2">
        <w:tc>
          <w:tcPr>
            <w:tcW w:w="0" w:type="auto"/>
          </w:tcPr>
          <w:p w14:paraId="65014F2F" w14:textId="77777777" w:rsidR="00B26170" w:rsidRPr="000C5BC3" w:rsidRDefault="00B26170" w:rsidP="00B26170">
            <w:pPr>
              <w:spacing w:line="480" w:lineRule="auto"/>
              <w:ind w:left="357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Missing</w:t>
            </w:r>
          </w:p>
        </w:tc>
        <w:tc>
          <w:tcPr>
            <w:tcW w:w="0" w:type="auto"/>
          </w:tcPr>
          <w:p w14:paraId="7E47BC40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474,131 (93.9)</w:t>
            </w:r>
          </w:p>
        </w:tc>
      </w:tr>
      <w:tr w:rsidR="00B26170" w:rsidRPr="00E91A8B" w14:paraId="6624EA97" w14:textId="77777777" w:rsidTr="00EA54D2">
        <w:tc>
          <w:tcPr>
            <w:tcW w:w="0" w:type="auto"/>
          </w:tcPr>
          <w:p w14:paraId="2C2F32A6" w14:textId="77777777" w:rsidR="00B26170" w:rsidRPr="00EF7FD6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Serum potassium, mmol/l, median (IQR)</w:t>
            </w:r>
          </w:p>
        </w:tc>
        <w:tc>
          <w:tcPr>
            <w:tcW w:w="0" w:type="auto"/>
          </w:tcPr>
          <w:p w14:paraId="29B6D562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333A20">
              <w:rPr>
                <w:rFonts w:cs="Arial"/>
                <w:sz w:val="24"/>
                <w:szCs w:val="24"/>
                <w:lang w:val="en-GB"/>
              </w:rPr>
              <w:t>4.0 (3.8–4.0)</w:t>
            </w:r>
            <w:r w:rsidRPr="00333A20">
              <w:rPr>
                <w:rFonts w:cs="Arial"/>
                <w:sz w:val="24"/>
                <w:szCs w:val="24"/>
                <w:lang w:val="en-GB"/>
              </w:rPr>
              <w:br/>
              <w:t>(n=317,505)</w:t>
            </w:r>
          </w:p>
        </w:tc>
      </w:tr>
      <w:tr w:rsidR="00B26170" w:rsidRPr="00E91A8B" w14:paraId="45C1E061" w14:textId="77777777" w:rsidTr="00EA54D2">
        <w:tc>
          <w:tcPr>
            <w:tcW w:w="0" w:type="auto"/>
            <w:gridSpan w:val="2"/>
          </w:tcPr>
          <w:p w14:paraId="31488277" w14:textId="77777777" w:rsidR="00B26170" w:rsidRPr="000C5BC3" w:rsidRDefault="00B26170" w:rsidP="00B26170">
            <w:pPr>
              <w:spacing w:line="480" w:lineRule="auto"/>
              <w:rPr>
                <w:rFonts w:cs="Arial"/>
                <w:b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b/>
                <w:sz w:val="24"/>
                <w:szCs w:val="24"/>
                <w:lang w:val="en-GB"/>
              </w:rPr>
              <w:t>Most common comorbidities at baseline, n (%)</w:t>
            </w:r>
          </w:p>
        </w:tc>
      </w:tr>
      <w:tr w:rsidR="00B26170" w:rsidRPr="00E91A8B" w14:paraId="244E816F" w14:textId="77777777" w:rsidTr="00EA54D2">
        <w:tc>
          <w:tcPr>
            <w:tcW w:w="0" w:type="auto"/>
          </w:tcPr>
          <w:p w14:paraId="39C9B837" w14:textId="77777777" w:rsidR="00B26170" w:rsidRPr="00EF7FD6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highlight w:val="yellow"/>
                <w:lang w:val="en-GB"/>
              </w:rPr>
            </w:pPr>
            <w:r w:rsidRPr="000C5BC3">
              <w:rPr>
                <w:sz w:val="24"/>
                <w:szCs w:val="24"/>
                <w:lang w:val="en-GB"/>
              </w:rPr>
              <w:t>Charlson-Deyo Comorbidity Index</w:t>
            </w:r>
            <w:r w:rsidRPr="000C5BC3">
              <w:rPr>
                <w:rFonts w:cs="Arial"/>
                <w:sz w:val="24"/>
                <w:szCs w:val="24"/>
                <w:lang w:val="en-GB"/>
              </w:rPr>
              <w:t>, median (IQR)</w:t>
            </w:r>
          </w:p>
        </w:tc>
        <w:tc>
          <w:tcPr>
            <w:tcW w:w="0" w:type="auto"/>
          </w:tcPr>
          <w:p w14:paraId="0AACDAB1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highlight w:val="yellow"/>
                <w:lang w:val="en-GB"/>
              </w:rPr>
            </w:pPr>
            <w:r w:rsidRPr="00333A20">
              <w:rPr>
                <w:rFonts w:cs="Arial"/>
                <w:sz w:val="24"/>
                <w:szCs w:val="24"/>
                <w:lang w:val="en-GB"/>
              </w:rPr>
              <w:t>3.0 (2.0–4.0)</w:t>
            </w:r>
          </w:p>
        </w:tc>
      </w:tr>
      <w:tr w:rsidR="00B26170" w:rsidRPr="00E91A8B" w14:paraId="3214593D" w14:textId="77777777" w:rsidTr="00EA54D2">
        <w:tc>
          <w:tcPr>
            <w:tcW w:w="0" w:type="auto"/>
          </w:tcPr>
          <w:p w14:paraId="72C83D96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Hypertension</w:t>
            </w:r>
          </w:p>
        </w:tc>
        <w:tc>
          <w:tcPr>
            <w:tcW w:w="0" w:type="auto"/>
          </w:tcPr>
          <w:p w14:paraId="06EFA187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428,867 (84.9)</w:t>
            </w:r>
          </w:p>
        </w:tc>
      </w:tr>
      <w:tr w:rsidR="00B26170" w:rsidRPr="00E91A8B" w14:paraId="7A75CBB8" w14:textId="77777777" w:rsidTr="00EA54D2">
        <w:tc>
          <w:tcPr>
            <w:tcW w:w="0" w:type="auto"/>
          </w:tcPr>
          <w:p w14:paraId="51B03E8B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Hyperlipidaemia</w:t>
            </w:r>
          </w:p>
        </w:tc>
        <w:tc>
          <w:tcPr>
            <w:tcW w:w="0" w:type="auto"/>
          </w:tcPr>
          <w:p w14:paraId="715C3BFA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344,610 (68.3)</w:t>
            </w:r>
          </w:p>
        </w:tc>
      </w:tr>
      <w:tr w:rsidR="00B26170" w:rsidRPr="00E91A8B" w14:paraId="2F82526B" w14:textId="77777777" w:rsidTr="00EA54D2">
        <w:tc>
          <w:tcPr>
            <w:tcW w:w="0" w:type="auto"/>
          </w:tcPr>
          <w:p w14:paraId="1415533F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Hypothyroidism</w:t>
            </w:r>
          </w:p>
        </w:tc>
        <w:tc>
          <w:tcPr>
            <w:tcW w:w="0" w:type="auto"/>
          </w:tcPr>
          <w:p w14:paraId="1127660A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 xml:space="preserve">129,616 </w:t>
            </w:r>
            <w:r w:rsidRPr="00333A20">
              <w:rPr>
                <w:rFonts w:cs="Arial"/>
                <w:sz w:val="24"/>
                <w:szCs w:val="24"/>
                <w:lang w:val="en-GB"/>
              </w:rPr>
              <w:t>(25.7)</w:t>
            </w:r>
          </w:p>
        </w:tc>
      </w:tr>
      <w:tr w:rsidR="00B26170" w:rsidRPr="00E91A8B" w14:paraId="7A86BFFC" w14:textId="77777777" w:rsidTr="00EA54D2">
        <w:tc>
          <w:tcPr>
            <w:tcW w:w="0" w:type="auto"/>
          </w:tcPr>
          <w:p w14:paraId="35A0A2F8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Anaemia</w:t>
            </w:r>
          </w:p>
        </w:tc>
        <w:tc>
          <w:tcPr>
            <w:tcW w:w="0" w:type="auto"/>
          </w:tcPr>
          <w:p w14:paraId="6E98E499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127,423 (25.2)</w:t>
            </w:r>
          </w:p>
        </w:tc>
      </w:tr>
      <w:tr w:rsidR="00B26170" w:rsidRPr="00E91A8B" w14:paraId="4600D16C" w14:textId="77777777" w:rsidTr="00EA54D2">
        <w:tc>
          <w:tcPr>
            <w:tcW w:w="0" w:type="auto"/>
          </w:tcPr>
          <w:p w14:paraId="1E8010DF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Pulmonary disease</w:t>
            </w:r>
          </w:p>
        </w:tc>
        <w:tc>
          <w:tcPr>
            <w:tcW w:w="0" w:type="auto"/>
          </w:tcPr>
          <w:p w14:paraId="32140B43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122,012 (24.2)</w:t>
            </w:r>
          </w:p>
        </w:tc>
      </w:tr>
      <w:tr w:rsidR="00B26170" w:rsidRPr="00E91A8B" w14:paraId="3EF15B71" w14:textId="77777777" w:rsidTr="00EA54D2">
        <w:tc>
          <w:tcPr>
            <w:tcW w:w="0" w:type="auto"/>
          </w:tcPr>
          <w:p w14:paraId="286EEC09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CAD</w:t>
            </w:r>
          </w:p>
        </w:tc>
        <w:tc>
          <w:tcPr>
            <w:tcW w:w="0" w:type="auto"/>
          </w:tcPr>
          <w:p w14:paraId="4261D9E7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121,368 (24.0)</w:t>
            </w:r>
          </w:p>
        </w:tc>
      </w:tr>
      <w:tr w:rsidR="00B26170" w:rsidRPr="00E91A8B" w14:paraId="772EB321" w14:textId="77777777" w:rsidTr="00EA54D2">
        <w:tc>
          <w:tcPr>
            <w:tcW w:w="0" w:type="auto"/>
          </w:tcPr>
          <w:p w14:paraId="4C4DE6CD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Heart failure</w:t>
            </w:r>
          </w:p>
        </w:tc>
        <w:tc>
          <w:tcPr>
            <w:tcW w:w="0" w:type="auto"/>
          </w:tcPr>
          <w:p w14:paraId="639C1DC3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79,935 (15.8)</w:t>
            </w:r>
          </w:p>
        </w:tc>
      </w:tr>
      <w:tr w:rsidR="00B26170" w:rsidRPr="00E91A8B" w14:paraId="14712557" w14:textId="77777777" w:rsidTr="00EA54D2">
        <w:tc>
          <w:tcPr>
            <w:tcW w:w="0" w:type="auto"/>
          </w:tcPr>
          <w:p w14:paraId="559AEB67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Depression and other mood affective disorders</w:t>
            </w:r>
          </w:p>
        </w:tc>
        <w:tc>
          <w:tcPr>
            <w:tcW w:w="0" w:type="auto"/>
          </w:tcPr>
          <w:p w14:paraId="3345B658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78,353 (15.5)</w:t>
            </w:r>
          </w:p>
        </w:tc>
      </w:tr>
      <w:tr w:rsidR="00B26170" w:rsidRPr="00E91A8B" w14:paraId="3A4363F4" w14:textId="77777777" w:rsidTr="00EA54D2">
        <w:tc>
          <w:tcPr>
            <w:tcW w:w="0" w:type="auto"/>
          </w:tcPr>
          <w:p w14:paraId="53B22623" w14:textId="77777777" w:rsidR="00B26170" w:rsidRPr="00EF7FD6" w:rsidRDefault="00B26170" w:rsidP="00B26170">
            <w:pPr>
              <w:spacing w:line="480" w:lineRule="auto"/>
              <w:rPr>
                <w:rFonts w:cs="Arial"/>
                <w:b/>
                <w:bCs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b/>
                <w:bCs/>
                <w:sz w:val="24"/>
                <w:szCs w:val="24"/>
                <w:lang w:val="en-GB"/>
              </w:rPr>
              <w:t>Specific kidney disease diagnoses</w:t>
            </w:r>
            <w:r w:rsidRPr="000C5BC3">
              <w:rPr>
                <w:rFonts w:cs="Arial"/>
                <w:b/>
                <w:sz w:val="24"/>
                <w:szCs w:val="24"/>
                <w:lang w:val="en-GB"/>
              </w:rPr>
              <w:t>, n (%)</w:t>
            </w:r>
          </w:p>
        </w:tc>
        <w:tc>
          <w:tcPr>
            <w:tcW w:w="0" w:type="auto"/>
          </w:tcPr>
          <w:p w14:paraId="746DFB02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</w:p>
        </w:tc>
      </w:tr>
      <w:tr w:rsidR="00B26170" w:rsidRPr="00E91A8B" w14:paraId="4E5CC041" w14:textId="77777777" w:rsidTr="00EA54D2">
        <w:tc>
          <w:tcPr>
            <w:tcW w:w="0" w:type="auto"/>
          </w:tcPr>
          <w:p w14:paraId="465E5498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Tubulo-interstitial kidney disease</w:t>
            </w:r>
          </w:p>
        </w:tc>
        <w:tc>
          <w:tcPr>
            <w:tcW w:w="0" w:type="auto"/>
          </w:tcPr>
          <w:p w14:paraId="2BE0139A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64,135 (12.7)</w:t>
            </w:r>
          </w:p>
        </w:tc>
      </w:tr>
      <w:tr w:rsidR="00B26170" w:rsidRPr="00E91A8B" w14:paraId="2A3793F8" w14:textId="77777777" w:rsidTr="00EA54D2">
        <w:tc>
          <w:tcPr>
            <w:tcW w:w="0" w:type="auto"/>
          </w:tcPr>
          <w:p w14:paraId="57485820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Glomerulonephritis (chronic or unspecified)</w:t>
            </w:r>
          </w:p>
        </w:tc>
        <w:tc>
          <w:tcPr>
            <w:tcW w:w="0" w:type="auto"/>
          </w:tcPr>
          <w:p w14:paraId="0D69ADA7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24,728 (4.9)</w:t>
            </w:r>
          </w:p>
        </w:tc>
      </w:tr>
      <w:tr w:rsidR="00B26170" w:rsidRPr="00E91A8B" w14:paraId="3BFE758E" w14:textId="77777777" w:rsidTr="00EA54D2">
        <w:tc>
          <w:tcPr>
            <w:tcW w:w="0" w:type="auto"/>
          </w:tcPr>
          <w:p w14:paraId="313462B1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Polycystic kidney disease</w:t>
            </w:r>
          </w:p>
        </w:tc>
        <w:tc>
          <w:tcPr>
            <w:tcW w:w="0" w:type="auto"/>
          </w:tcPr>
          <w:p w14:paraId="41BAF2B9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8299 (1.6)</w:t>
            </w:r>
          </w:p>
        </w:tc>
      </w:tr>
      <w:tr w:rsidR="00B26170" w:rsidRPr="00E91A8B" w14:paraId="2AEBB88F" w14:textId="77777777" w:rsidTr="00EA54D2">
        <w:tc>
          <w:tcPr>
            <w:tcW w:w="0" w:type="auto"/>
          </w:tcPr>
          <w:p w14:paraId="2BF093F7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Acute glomerulonephritis</w:t>
            </w:r>
          </w:p>
        </w:tc>
        <w:tc>
          <w:tcPr>
            <w:tcW w:w="0" w:type="auto"/>
          </w:tcPr>
          <w:p w14:paraId="47693A3B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539 (0.1)</w:t>
            </w:r>
          </w:p>
        </w:tc>
      </w:tr>
      <w:tr w:rsidR="00B26170" w:rsidRPr="00E91A8B" w14:paraId="4067EEF9" w14:textId="77777777" w:rsidTr="00EA54D2">
        <w:tc>
          <w:tcPr>
            <w:tcW w:w="0" w:type="auto"/>
          </w:tcPr>
          <w:p w14:paraId="30141899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IgA nephropathy (Berger’s disease)</w:t>
            </w:r>
          </w:p>
        </w:tc>
        <w:tc>
          <w:tcPr>
            <w:tcW w:w="0" w:type="auto"/>
          </w:tcPr>
          <w:p w14:paraId="0E006679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423 (0.1)</w:t>
            </w:r>
          </w:p>
        </w:tc>
      </w:tr>
      <w:tr w:rsidR="00B26170" w:rsidRPr="00E91A8B" w14:paraId="4B7BC530" w14:textId="77777777" w:rsidTr="00EA54D2">
        <w:tc>
          <w:tcPr>
            <w:tcW w:w="0" w:type="auto"/>
            <w:gridSpan w:val="2"/>
          </w:tcPr>
          <w:p w14:paraId="6E479714" w14:textId="77777777" w:rsidR="00B26170" w:rsidRPr="00EF7FD6" w:rsidRDefault="00B26170" w:rsidP="00B26170">
            <w:pPr>
              <w:spacing w:line="480" w:lineRule="auto"/>
              <w:rPr>
                <w:rFonts w:cs="Arial"/>
                <w:b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b/>
                <w:sz w:val="24"/>
                <w:szCs w:val="24"/>
                <w:lang w:val="en-GB"/>
              </w:rPr>
              <w:t>Most frequently used medications at baseline, n (%)</w:t>
            </w:r>
          </w:p>
        </w:tc>
      </w:tr>
      <w:tr w:rsidR="00B26170" w:rsidRPr="00E91A8B" w14:paraId="08CBB041" w14:textId="77777777" w:rsidTr="00EA54D2">
        <w:tc>
          <w:tcPr>
            <w:tcW w:w="0" w:type="auto"/>
          </w:tcPr>
          <w:p w14:paraId="6648A411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lastRenderedPageBreak/>
              <w:t>Centrally acting hypertensives</w:t>
            </w:r>
          </w:p>
        </w:tc>
        <w:tc>
          <w:tcPr>
            <w:tcW w:w="0" w:type="auto"/>
          </w:tcPr>
          <w:p w14:paraId="0BCB1405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361,000 (71.5)</w:t>
            </w:r>
          </w:p>
        </w:tc>
      </w:tr>
      <w:tr w:rsidR="00B26170" w:rsidRPr="00E91A8B" w14:paraId="0A25F502" w14:textId="77777777" w:rsidTr="00EA54D2">
        <w:tc>
          <w:tcPr>
            <w:tcW w:w="0" w:type="auto"/>
          </w:tcPr>
          <w:p w14:paraId="09355614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Statins</w:t>
            </w:r>
          </w:p>
        </w:tc>
        <w:tc>
          <w:tcPr>
            <w:tcW w:w="0" w:type="auto"/>
          </w:tcPr>
          <w:p w14:paraId="5E33F409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239,015 (47.3)</w:t>
            </w:r>
          </w:p>
        </w:tc>
      </w:tr>
      <w:tr w:rsidR="00B26170" w:rsidRPr="00E91A8B" w14:paraId="58FD500D" w14:textId="77777777" w:rsidTr="00EA54D2">
        <w:tc>
          <w:tcPr>
            <w:tcW w:w="0" w:type="auto"/>
          </w:tcPr>
          <w:p w14:paraId="6D350B3E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Beta-blockers</w:t>
            </w:r>
          </w:p>
        </w:tc>
        <w:tc>
          <w:tcPr>
            <w:tcW w:w="0" w:type="auto"/>
          </w:tcPr>
          <w:p w14:paraId="26FD283C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222,183 (44.0)</w:t>
            </w:r>
          </w:p>
        </w:tc>
      </w:tr>
      <w:tr w:rsidR="00B26170" w:rsidRPr="00E91A8B" w14:paraId="4F2F479C" w14:textId="77777777" w:rsidTr="00EA54D2">
        <w:tc>
          <w:tcPr>
            <w:tcW w:w="0" w:type="auto"/>
          </w:tcPr>
          <w:p w14:paraId="08F4DCCA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NSAIDs</w:t>
            </w:r>
          </w:p>
        </w:tc>
        <w:tc>
          <w:tcPr>
            <w:tcW w:w="0" w:type="auto"/>
          </w:tcPr>
          <w:p w14:paraId="34C6F199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179,762 (35.6)</w:t>
            </w:r>
          </w:p>
        </w:tc>
      </w:tr>
      <w:tr w:rsidR="00B26170" w:rsidRPr="00E91A8B" w14:paraId="4D18AF09" w14:textId="77777777" w:rsidTr="00EA54D2">
        <w:tc>
          <w:tcPr>
            <w:tcW w:w="0" w:type="auto"/>
          </w:tcPr>
          <w:p w14:paraId="63DAFB05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ACE inhibitors</w:t>
            </w:r>
          </w:p>
        </w:tc>
        <w:tc>
          <w:tcPr>
            <w:tcW w:w="0" w:type="auto"/>
          </w:tcPr>
          <w:p w14:paraId="62DCD65E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174,059 (34.5)</w:t>
            </w:r>
          </w:p>
        </w:tc>
      </w:tr>
      <w:tr w:rsidR="00B26170" w:rsidRPr="00E91A8B" w14:paraId="1149AC62" w14:textId="77777777" w:rsidTr="00EA54D2">
        <w:tc>
          <w:tcPr>
            <w:tcW w:w="0" w:type="auto"/>
          </w:tcPr>
          <w:p w14:paraId="46FFD2C5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Antidepressants</w:t>
            </w:r>
          </w:p>
        </w:tc>
        <w:tc>
          <w:tcPr>
            <w:tcW w:w="0" w:type="auto"/>
          </w:tcPr>
          <w:p w14:paraId="5F45BBFC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169,682 (33.6)</w:t>
            </w:r>
          </w:p>
        </w:tc>
      </w:tr>
      <w:tr w:rsidR="00B26170" w:rsidRPr="00E91A8B" w14:paraId="7C2D181D" w14:textId="77777777" w:rsidTr="00EA54D2">
        <w:tc>
          <w:tcPr>
            <w:tcW w:w="0" w:type="auto"/>
          </w:tcPr>
          <w:p w14:paraId="5266EC6A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Thiazide diuretics</w:t>
            </w:r>
          </w:p>
        </w:tc>
        <w:tc>
          <w:tcPr>
            <w:tcW w:w="0" w:type="auto"/>
          </w:tcPr>
          <w:p w14:paraId="51887CEB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 xml:space="preserve">117,301 </w:t>
            </w:r>
            <w:r w:rsidRPr="00333A20">
              <w:rPr>
                <w:rFonts w:cs="Arial"/>
                <w:sz w:val="24"/>
                <w:szCs w:val="24"/>
                <w:lang w:val="en-GB"/>
              </w:rPr>
              <w:t>(23.2)</w:t>
            </w:r>
          </w:p>
        </w:tc>
      </w:tr>
      <w:tr w:rsidR="00B26170" w:rsidRPr="00E91A8B" w14:paraId="3D236F9C" w14:textId="77777777" w:rsidTr="00EA54D2">
        <w:tc>
          <w:tcPr>
            <w:tcW w:w="0" w:type="auto"/>
          </w:tcPr>
          <w:p w14:paraId="6902FB15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Calcium channel blockers</w:t>
            </w:r>
          </w:p>
        </w:tc>
        <w:tc>
          <w:tcPr>
            <w:tcW w:w="0" w:type="auto"/>
          </w:tcPr>
          <w:p w14:paraId="326739DC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108,535 (21.5)</w:t>
            </w:r>
          </w:p>
        </w:tc>
      </w:tr>
      <w:tr w:rsidR="00B26170" w:rsidRPr="00E91A8B" w14:paraId="04C366C2" w14:textId="77777777" w:rsidTr="00EA54D2">
        <w:tc>
          <w:tcPr>
            <w:tcW w:w="0" w:type="auto"/>
          </w:tcPr>
          <w:p w14:paraId="137D807A" w14:textId="77777777" w:rsidR="00B26170" w:rsidRPr="000C5BC3" w:rsidRDefault="00B26170" w:rsidP="00B26170">
            <w:pPr>
              <w:spacing w:line="480" w:lineRule="auto"/>
              <w:rPr>
                <w:rFonts w:cs="Arial"/>
                <w:sz w:val="24"/>
                <w:szCs w:val="24"/>
                <w:lang w:val="en-GB"/>
              </w:rPr>
            </w:pPr>
            <w:r w:rsidRPr="000C5BC3">
              <w:rPr>
                <w:rFonts w:cs="Arial"/>
                <w:sz w:val="24"/>
                <w:szCs w:val="24"/>
                <w:lang w:val="en-GB"/>
              </w:rPr>
              <w:t>ARBs</w:t>
            </w:r>
          </w:p>
        </w:tc>
        <w:tc>
          <w:tcPr>
            <w:tcW w:w="0" w:type="auto"/>
          </w:tcPr>
          <w:p w14:paraId="50B682C4" w14:textId="77777777" w:rsidR="00B26170" w:rsidRPr="00333A20" w:rsidRDefault="00B26170" w:rsidP="00B26170">
            <w:pPr>
              <w:spacing w:line="48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EF7FD6">
              <w:rPr>
                <w:rFonts w:cs="Arial"/>
                <w:sz w:val="24"/>
                <w:szCs w:val="24"/>
                <w:lang w:val="en-GB"/>
              </w:rPr>
              <w:t>103,871 (20.6)</w:t>
            </w:r>
          </w:p>
        </w:tc>
      </w:tr>
    </w:tbl>
    <w:p w14:paraId="5749D3E0" w14:textId="77777777" w:rsidR="0087094E" w:rsidRPr="000C5BC3" w:rsidRDefault="0087094E" w:rsidP="0087094E">
      <w:pPr>
        <w:suppressAutoHyphens w:val="0"/>
        <w:spacing w:line="480" w:lineRule="auto"/>
        <w:rPr>
          <w:rFonts w:cs="Arial"/>
          <w:b/>
          <w:bCs/>
          <w:szCs w:val="22"/>
          <w:lang w:val="en-GB" w:eastAsia="en-US"/>
        </w:rPr>
      </w:pPr>
    </w:p>
    <w:p w14:paraId="46522971" w14:textId="77777777" w:rsidR="0087094E" w:rsidRPr="00333A20" w:rsidRDefault="0087094E" w:rsidP="0087094E">
      <w:pPr>
        <w:spacing w:line="480" w:lineRule="auto"/>
        <w:rPr>
          <w:iCs/>
          <w:szCs w:val="22"/>
          <w:lang w:val="en-GB" w:eastAsia="en-US"/>
        </w:rPr>
      </w:pPr>
      <w:r w:rsidRPr="00EF7FD6">
        <w:rPr>
          <w:iCs/>
          <w:szCs w:val="22"/>
          <w:lang w:val="en-GB" w:eastAsia="en-US"/>
        </w:rPr>
        <w:t>ACE, angiotensin-converting enzyme; ARB, angiotensin receptor blocker; CAD, coronary artery disease; CKD, chronic kidney disease; eGFR, estimated glomerular filtration rate; IgA, immunoglobulin A; IQR, interquartile range; NSAID, nonsteroidal anti-inflamma</w:t>
      </w:r>
      <w:r w:rsidRPr="00333A20">
        <w:rPr>
          <w:iCs/>
          <w:szCs w:val="22"/>
          <w:lang w:val="en-GB" w:eastAsia="en-US"/>
        </w:rPr>
        <w:t xml:space="preserve">tory drug; UACR, </w:t>
      </w:r>
      <w:bookmarkStart w:id="2" w:name="_Hlk125362097"/>
      <w:r w:rsidRPr="00333A20">
        <w:rPr>
          <w:iCs/>
          <w:szCs w:val="22"/>
          <w:lang w:val="en-GB" w:eastAsia="en-US"/>
        </w:rPr>
        <w:t>urine albumin-to-creatinine ratio</w:t>
      </w:r>
      <w:bookmarkEnd w:id="2"/>
    </w:p>
    <w:p w14:paraId="590CB18F" w14:textId="77777777" w:rsidR="0087094E" w:rsidRPr="00333A20" w:rsidRDefault="0087094E" w:rsidP="0087094E">
      <w:pPr>
        <w:suppressAutoHyphens w:val="0"/>
        <w:spacing w:line="480" w:lineRule="auto"/>
        <w:rPr>
          <w:b/>
          <w:bCs/>
          <w:sz w:val="20"/>
          <w:szCs w:val="18"/>
          <w:lang w:val="en-GB"/>
        </w:rPr>
      </w:pPr>
      <w:r w:rsidRPr="00333A20">
        <w:rPr>
          <w:b/>
          <w:bCs/>
          <w:sz w:val="20"/>
          <w:szCs w:val="18"/>
          <w:lang w:val="en-GB"/>
        </w:rPr>
        <w:br w:type="page"/>
      </w:r>
    </w:p>
    <w:p w14:paraId="5704AF29" w14:textId="77777777" w:rsidR="0087094E" w:rsidRPr="00053698" w:rsidRDefault="0087094E" w:rsidP="0087094E">
      <w:pPr>
        <w:suppressAutoHyphens w:val="0"/>
        <w:spacing w:line="480" w:lineRule="auto"/>
        <w:rPr>
          <w:rFonts w:cs="Arial"/>
          <w:szCs w:val="22"/>
          <w:lang w:val="en-GB" w:eastAsia="en-US"/>
        </w:rPr>
      </w:pPr>
      <w:r w:rsidRPr="00333A20">
        <w:rPr>
          <w:b/>
          <w:bCs/>
          <w:lang w:val="en-GB"/>
        </w:rPr>
        <w:lastRenderedPageBreak/>
        <w:t xml:space="preserve">Supplementary Figure 1. </w:t>
      </w:r>
      <w:r w:rsidRPr="00333A20">
        <w:rPr>
          <w:rFonts w:cs="Arial"/>
          <w:szCs w:val="22"/>
          <w:lang w:val="en-GB" w:eastAsia="en-US"/>
        </w:rPr>
        <w:t>Patient flow chart</w:t>
      </w:r>
    </w:p>
    <w:p w14:paraId="69C0AD88" w14:textId="77777777" w:rsidR="0087094E" w:rsidRPr="00053698" w:rsidRDefault="0087094E" w:rsidP="0087094E">
      <w:pPr>
        <w:suppressAutoHyphens w:val="0"/>
        <w:spacing w:line="480" w:lineRule="auto"/>
        <w:rPr>
          <w:rFonts w:cs="Arial"/>
          <w:szCs w:val="22"/>
          <w:lang w:val="en-GB" w:eastAsia="en-US"/>
        </w:rPr>
      </w:pPr>
    </w:p>
    <w:p w14:paraId="1FCE1AFE" w14:textId="77777777" w:rsidR="0087094E" w:rsidRPr="000C5BC3" w:rsidRDefault="0087094E" w:rsidP="0087094E">
      <w:pPr>
        <w:suppressAutoHyphens w:val="0"/>
        <w:spacing w:line="480" w:lineRule="auto"/>
        <w:rPr>
          <w:rFonts w:cs="Arial"/>
          <w:sz w:val="24"/>
          <w:szCs w:val="24"/>
          <w:lang w:val="en-GB" w:eastAsia="en-US"/>
        </w:rPr>
      </w:pPr>
      <w:r w:rsidRPr="00A35516">
        <w:rPr>
          <w:noProof/>
          <w:color w:val="2B579A"/>
          <w:shd w:val="clear" w:color="auto" w:fill="E6E6E6"/>
          <w:lang w:val="en-GB"/>
        </w:rPr>
        <w:drawing>
          <wp:inline distT="0" distB="0" distL="0" distR="0" wp14:anchorId="41FE823A" wp14:editId="5BD6B03A">
            <wp:extent cx="4933507" cy="4580155"/>
            <wp:effectExtent l="0" t="0" r="635" b="0"/>
            <wp:docPr id="19" name="Picture 19" descr="A picture containing text, screenshot, fon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, screenshot, font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215" cy="4603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EE3AEB" w14:textId="77777777" w:rsidR="0087094E" w:rsidRPr="00333A20" w:rsidRDefault="0087094E" w:rsidP="0087094E">
      <w:pPr>
        <w:pStyle w:val="Text"/>
        <w:spacing w:line="480" w:lineRule="auto"/>
        <w:rPr>
          <w:lang w:val="en-GB"/>
        </w:rPr>
      </w:pPr>
      <w:r w:rsidRPr="00EF7FD6">
        <w:rPr>
          <w:lang w:val="en-GB"/>
        </w:rPr>
        <w:t>CKD, chronic kidney disease</w:t>
      </w:r>
    </w:p>
    <w:p w14:paraId="0E572F80" w14:textId="77777777" w:rsidR="0087094E" w:rsidRPr="00333A20" w:rsidRDefault="0087094E" w:rsidP="0087094E">
      <w:pPr>
        <w:suppressAutoHyphens w:val="0"/>
        <w:spacing w:line="480" w:lineRule="auto"/>
        <w:rPr>
          <w:lang w:val="en-GB"/>
        </w:rPr>
      </w:pPr>
    </w:p>
    <w:p w14:paraId="41C60B14" w14:textId="77777777" w:rsidR="0087094E" w:rsidRPr="00775567" w:rsidRDefault="0087094E" w:rsidP="0087094E">
      <w:pPr>
        <w:suppressAutoHyphens w:val="0"/>
        <w:spacing w:line="480" w:lineRule="auto"/>
        <w:rPr>
          <w:lang w:val="en-GB"/>
        </w:rPr>
      </w:pPr>
      <w:r w:rsidRPr="00775567">
        <w:rPr>
          <w:b/>
          <w:bCs/>
          <w:lang w:val="en-GB"/>
        </w:rPr>
        <w:br w:type="page"/>
      </w:r>
      <w:r w:rsidRPr="00775567">
        <w:rPr>
          <w:rFonts w:cs="Arial"/>
          <w:b/>
          <w:bCs/>
          <w:szCs w:val="22"/>
          <w:lang w:val="en-GB" w:eastAsia="en-US"/>
        </w:rPr>
        <w:lastRenderedPageBreak/>
        <w:t>Supplementary Figure 2.</w:t>
      </w:r>
      <w:r w:rsidRPr="00775567">
        <w:rPr>
          <w:rFonts w:cs="Arial"/>
          <w:szCs w:val="22"/>
          <w:lang w:val="en-GB" w:eastAsia="en-US"/>
        </w:rPr>
        <w:t xml:space="preserve"> Worsening of CKD stage</w:t>
      </w:r>
      <w:r>
        <w:rPr>
          <w:rFonts w:cs="Arial"/>
          <w:szCs w:val="22"/>
          <w:lang w:val="en-GB" w:eastAsia="en-US"/>
        </w:rPr>
        <w:t xml:space="preserve"> from baseline</w:t>
      </w:r>
      <w:r w:rsidRPr="00775567">
        <w:rPr>
          <w:rFonts w:cs="Arial"/>
          <w:szCs w:val="22"/>
          <w:lang w:val="en-GB" w:eastAsia="en-US"/>
        </w:rPr>
        <w:t xml:space="preserve"> in non-diabetic CKD stage 3</w:t>
      </w:r>
      <w:r>
        <w:rPr>
          <w:rFonts w:cs="Arial"/>
          <w:szCs w:val="22"/>
          <w:lang w:val="en-GB" w:eastAsia="en-US"/>
        </w:rPr>
        <w:t xml:space="preserve"> or </w:t>
      </w:r>
      <w:r w:rsidRPr="00775567">
        <w:rPr>
          <w:rFonts w:cs="Arial"/>
          <w:szCs w:val="22"/>
          <w:lang w:val="en-GB" w:eastAsia="en-US"/>
        </w:rPr>
        <w:t xml:space="preserve">4 A) Risk prediction model; B) </w:t>
      </w:r>
      <w:r w:rsidRPr="00775567">
        <w:rPr>
          <w:lang w:val="en-GB"/>
        </w:rPr>
        <w:t xml:space="preserve">Kaplan–Meier </w:t>
      </w:r>
      <w:r>
        <w:rPr>
          <w:lang w:val="en-GB"/>
        </w:rPr>
        <w:t>plot</w:t>
      </w:r>
      <w:r w:rsidRPr="00775567">
        <w:rPr>
          <w:lang w:val="en-GB"/>
        </w:rPr>
        <w:t xml:space="preserve">s for </w:t>
      </w:r>
      <w:r>
        <w:rPr>
          <w:lang w:val="en-GB"/>
        </w:rPr>
        <w:t>non-diabetic CKD population stratified across five risk categories</w:t>
      </w:r>
    </w:p>
    <w:p w14:paraId="65A3E657" w14:textId="77777777" w:rsidR="0087094E" w:rsidRPr="00775567" w:rsidRDefault="0087094E" w:rsidP="0087094E">
      <w:pPr>
        <w:suppressAutoHyphens w:val="0"/>
        <w:spacing w:line="480" w:lineRule="auto"/>
        <w:rPr>
          <w:rFonts w:cs="Arial"/>
          <w:szCs w:val="22"/>
          <w:lang w:val="en-GB" w:eastAsia="en-US"/>
        </w:rPr>
      </w:pPr>
      <w:r w:rsidRPr="00775567">
        <w:rPr>
          <w:lang w:val="en-GB"/>
        </w:rPr>
        <w:t>A)</w:t>
      </w:r>
    </w:p>
    <w:p w14:paraId="5BC87CE8" w14:textId="77777777" w:rsidR="0087094E" w:rsidRPr="000C5BC3" w:rsidRDefault="0087094E" w:rsidP="0087094E">
      <w:pPr>
        <w:suppressAutoHyphens w:val="0"/>
        <w:spacing w:line="480" w:lineRule="auto"/>
        <w:rPr>
          <w:b/>
          <w:bCs/>
          <w:lang w:val="en-GB"/>
        </w:rPr>
      </w:pPr>
      <w:r>
        <w:rPr>
          <w:noProof/>
        </w:rPr>
        <w:drawing>
          <wp:inline distT="0" distB="0" distL="0" distR="0" wp14:anchorId="56339402" wp14:editId="13C202FF">
            <wp:extent cx="5759450" cy="4277995"/>
            <wp:effectExtent l="0" t="0" r="0" b="8255"/>
            <wp:docPr id="5" name="Picture 5" descr="A screenshot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graph&#10;&#10;Description automatically generated with low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2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35B2C" w14:textId="77777777" w:rsidR="00402153" w:rsidRDefault="00402153">
      <w:pPr>
        <w:suppressAutoHyphens w:val="0"/>
        <w:autoSpaceDN/>
        <w:spacing w:after="160" w:line="259" w:lineRule="auto"/>
        <w:textAlignment w:val="auto"/>
        <w:rPr>
          <w:lang w:val="en-GB" w:eastAsia="en-US"/>
        </w:rPr>
      </w:pPr>
      <w:r>
        <w:rPr>
          <w:lang w:val="en-GB" w:eastAsia="en-US"/>
        </w:rPr>
        <w:br w:type="page"/>
      </w:r>
    </w:p>
    <w:p w14:paraId="356CC04D" w14:textId="28C7862E" w:rsidR="0087094E" w:rsidRPr="00333A20" w:rsidRDefault="0087094E" w:rsidP="0087094E">
      <w:pPr>
        <w:suppressAutoHyphens w:val="0"/>
        <w:spacing w:line="480" w:lineRule="auto"/>
        <w:rPr>
          <w:lang w:val="en-GB" w:eastAsia="en-US"/>
        </w:rPr>
      </w:pPr>
      <w:r w:rsidRPr="00EF7FD6">
        <w:rPr>
          <w:lang w:val="en-GB" w:eastAsia="en-US"/>
        </w:rPr>
        <w:lastRenderedPageBreak/>
        <w:t>B)</w:t>
      </w:r>
    </w:p>
    <w:p w14:paraId="281A12A8" w14:textId="77777777" w:rsidR="0087094E" w:rsidRPr="000C5BC3" w:rsidRDefault="0087094E" w:rsidP="0087094E">
      <w:pPr>
        <w:suppressAutoHyphens w:val="0"/>
        <w:spacing w:line="480" w:lineRule="auto"/>
        <w:rPr>
          <w:b/>
          <w:bCs/>
          <w:lang w:val="en-GB"/>
        </w:rPr>
      </w:pPr>
      <w:r w:rsidRPr="00964BFC">
        <w:rPr>
          <w:noProof/>
          <w:lang w:val="en-GB"/>
        </w:rPr>
        <w:drawing>
          <wp:inline distT="0" distB="0" distL="0" distR="0" wp14:anchorId="14F9A431" wp14:editId="481C9E14">
            <wp:extent cx="3751420" cy="3304310"/>
            <wp:effectExtent l="0" t="0" r="1905" b="0"/>
            <wp:docPr id="3" name="Picture 3" descr="A picture containing text, line, screensho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line, screenshot, dia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58251" cy="331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A71DA" w14:textId="77777777" w:rsidR="0087094E" w:rsidRPr="00333A20" w:rsidRDefault="0087094E" w:rsidP="0087094E">
      <w:pPr>
        <w:suppressAutoHyphens w:val="0"/>
        <w:spacing w:line="480" w:lineRule="auto"/>
        <w:rPr>
          <w:b/>
          <w:bCs/>
          <w:lang w:val="en-GB"/>
        </w:rPr>
      </w:pPr>
      <w:r w:rsidRPr="00EF7FD6">
        <w:rPr>
          <w:lang w:val="en-GB" w:eastAsia="en-US"/>
        </w:rPr>
        <w:t>CI, confidence interval; CKD, chronic kidney disease; HR, hazard ratio</w:t>
      </w:r>
    </w:p>
    <w:p w14:paraId="3F8CB628" w14:textId="77777777" w:rsidR="007D3266" w:rsidRDefault="007D3266"/>
    <w:sectPr w:rsidR="007D3266" w:rsidSect="00587786">
      <w:headerReference w:type="default" r:id="rId10"/>
      <w:pgSz w:w="11906" w:h="16838"/>
      <w:pgMar w:top="1418" w:right="1418" w:bottom="1418" w:left="1418" w:header="284" w:footer="720" w:gutter="0"/>
      <w:lnNumType w:countBy="1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8BDEE" w14:textId="77777777" w:rsidR="004D64AD" w:rsidRDefault="004D64AD">
      <w:pPr>
        <w:spacing w:line="240" w:lineRule="auto"/>
      </w:pPr>
      <w:r>
        <w:separator/>
      </w:r>
    </w:p>
  </w:endnote>
  <w:endnote w:type="continuationSeparator" w:id="0">
    <w:p w14:paraId="02970ED4" w14:textId="77777777" w:rsidR="004D64AD" w:rsidRDefault="004D64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072C4" w14:textId="77777777" w:rsidR="004D64AD" w:rsidRDefault="004D64AD">
      <w:pPr>
        <w:spacing w:line="240" w:lineRule="auto"/>
      </w:pPr>
      <w:r>
        <w:separator/>
      </w:r>
    </w:p>
  </w:footnote>
  <w:footnote w:type="continuationSeparator" w:id="0">
    <w:p w14:paraId="32769BFD" w14:textId="77777777" w:rsidR="004D64AD" w:rsidRDefault="004D64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D3AAED3" w14:paraId="4E1A72C2" w14:textId="77777777" w:rsidTr="00C82317">
      <w:trPr>
        <w:trHeight w:val="300"/>
      </w:trPr>
      <w:tc>
        <w:tcPr>
          <w:tcW w:w="3020" w:type="dxa"/>
        </w:tcPr>
        <w:p w14:paraId="0CE93A8A" w14:textId="77777777" w:rsidR="007D3266" w:rsidRDefault="007D3266" w:rsidP="00C82317">
          <w:pPr>
            <w:pStyle w:val="Header"/>
            <w:ind w:left="-115"/>
          </w:pPr>
        </w:p>
      </w:tc>
      <w:tc>
        <w:tcPr>
          <w:tcW w:w="3020" w:type="dxa"/>
        </w:tcPr>
        <w:p w14:paraId="6A77685E" w14:textId="77777777" w:rsidR="007D3266" w:rsidRDefault="007D3266" w:rsidP="00C82317">
          <w:pPr>
            <w:pStyle w:val="Header"/>
            <w:jc w:val="center"/>
          </w:pPr>
        </w:p>
      </w:tc>
      <w:tc>
        <w:tcPr>
          <w:tcW w:w="3020" w:type="dxa"/>
        </w:tcPr>
        <w:p w14:paraId="01EBCCBF" w14:textId="77777777" w:rsidR="007D3266" w:rsidRDefault="007D3266" w:rsidP="00C82317">
          <w:pPr>
            <w:pStyle w:val="Header"/>
            <w:ind w:right="-115"/>
            <w:jc w:val="right"/>
          </w:pPr>
        </w:p>
      </w:tc>
    </w:tr>
  </w:tbl>
  <w:p w14:paraId="67B15F3B" w14:textId="77777777" w:rsidR="007D3266" w:rsidRDefault="007D3266" w:rsidP="00C823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9649C"/>
    <w:multiLevelType w:val="hybridMultilevel"/>
    <w:tmpl w:val="37B817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232CFB"/>
    <w:multiLevelType w:val="multilevel"/>
    <w:tmpl w:val="3C4462EC"/>
    <w:styleLink w:val="ListBullets"/>
    <w:lvl w:ilvl="0">
      <w:numFmt w:val="bullet"/>
      <w:pStyle w:val="ListBullet5"/>
      <w:lvlText w:val=""/>
      <w:lvlJc w:val="left"/>
      <w:pPr>
        <w:ind w:left="360" w:hanging="360"/>
      </w:pPr>
      <w:rPr>
        <w:rFonts w:ascii="Symbol" w:hAnsi="Symbol"/>
        <w:color w:val="auto"/>
      </w:rPr>
    </w:lvl>
    <w:lvl w:ilvl="1">
      <w:numFmt w:val="bullet"/>
      <w:lvlText w:val="–"/>
      <w:lvlJc w:val="left"/>
      <w:pPr>
        <w:ind w:left="714" w:hanging="354"/>
      </w:pPr>
      <w:rPr>
        <w:rFonts w:ascii="Arial" w:hAnsi="Arial"/>
        <w:color w:val="auto"/>
      </w:rPr>
    </w:lvl>
    <w:lvl w:ilvl="2">
      <w:numFmt w:val="bullet"/>
      <w:lvlText w:val=""/>
      <w:lvlJc w:val="left"/>
      <w:pPr>
        <w:ind w:left="1072" w:hanging="358"/>
      </w:pPr>
      <w:rPr>
        <w:rFonts w:ascii="Symbol" w:hAnsi="Symbol"/>
        <w:color w:val="auto"/>
      </w:rPr>
    </w:lvl>
    <w:lvl w:ilvl="3">
      <w:numFmt w:val="bullet"/>
      <w:lvlText w:val="–"/>
      <w:lvlJc w:val="left"/>
      <w:pPr>
        <w:ind w:left="1429" w:hanging="357"/>
      </w:pPr>
      <w:rPr>
        <w:rFonts w:ascii="Arial" w:hAnsi="Arial"/>
        <w:color w:val="auto"/>
      </w:rPr>
    </w:lvl>
    <w:lvl w:ilvl="4">
      <w:numFmt w:val="bullet"/>
      <w:lvlText w:val=""/>
      <w:lvlJc w:val="left"/>
      <w:pPr>
        <w:ind w:left="1786" w:hanging="357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09619595">
    <w:abstractNumId w:val="1"/>
  </w:num>
  <w:num w:numId="2" w16cid:durableId="1941334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94E"/>
    <w:rsid w:val="00002B58"/>
    <w:rsid w:val="000D1865"/>
    <w:rsid w:val="0013286A"/>
    <w:rsid w:val="002F0F7F"/>
    <w:rsid w:val="0030476A"/>
    <w:rsid w:val="00402153"/>
    <w:rsid w:val="004250D6"/>
    <w:rsid w:val="004D64AD"/>
    <w:rsid w:val="004E762F"/>
    <w:rsid w:val="005208D6"/>
    <w:rsid w:val="00590FE6"/>
    <w:rsid w:val="005A68DD"/>
    <w:rsid w:val="00636B7D"/>
    <w:rsid w:val="006828A3"/>
    <w:rsid w:val="00703800"/>
    <w:rsid w:val="00727DE4"/>
    <w:rsid w:val="00733617"/>
    <w:rsid w:val="00761340"/>
    <w:rsid w:val="007D3266"/>
    <w:rsid w:val="007E6DEA"/>
    <w:rsid w:val="00811DFF"/>
    <w:rsid w:val="0087094E"/>
    <w:rsid w:val="008C1B2B"/>
    <w:rsid w:val="00972BD2"/>
    <w:rsid w:val="009B0AAD"/>
    <w:rsid w:val="009C2C65"/>
    <w:rsid w:val="00B26170"/>
    <w:rsid w:val="00B46EE8"/>
    <w:rsid w:val="00C14108"/>
    <w:rsid w:val="00D150B3"/>
    <w:rsid w:val="00DB05C9"/>
    <w:rsid w:val="00E4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7EBAA"/>
  <w15:chartTrackingRefBased/>
  <w15:docId w15:val="{C4FEE8E3-77EF-4BF4-BD1F-0A5D05C3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94E"/>
    <w:pPr>
      <w:suppressAutoHyphens/>
      <w:autoSpaceDN w:val="0"/>
      <w:spacing w:after="0" w:line="360" w:lineRule="auto"/>
      <w:textAlignment w:val="baseline"/>
    </w:pPr>
    <w:rPr>
      <w:rFonts w:ascii="Arial" w:eastAsia="Times New Roman" w:hAnsi="Arial" w:cs="Times New Roman"/>
      <w:kern w:val="0"/>
      <w:szCs w:val="20"/>
      <w:lang w:val="en-US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9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94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094E"/>
    <w:pPr>
      <w:tabs>
        <w:tab w:val="center" w:pos="4536"/>
        <w:tab w:val="right" w:pos="9072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7094E"/>
    <w:rPr>
      <w:rFonts w:ascii="Arial" w:eastAsia="Times New Roman" w:hAnsi="Arial" w:cs="Times New Roman"/>
      <w:kern w:val="0"/>
      <w:sz w:val="20"/>
      <w:szCs w:val="20"/>
      <w:lang w:val="en-US"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87094E"/>
    <w:pPr>
      <w:tabs>
        <w:tab w:val="center" w:pos="4536"/>
        <w:tab w:val="right" w:pos="9072"/>
      </w:tabs>
    </w:pPr>
    <w:rPr>
      <w:sz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7094E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customStyle="1" w:styleId="Text">
    <w:name w:val="Text"/>
    <w:basedOn w:val="Normal"/>
    <w:link w:val="TextChar1"/>
    <w:qFormat/>
    <w:rsid w:val="0087094E"/>
    <w:rPr>
      <w:lang w:eastAsia="en-US"/>
    </w:rPr>
  </w:style>
  <w:style w:type="paragraph" w:customStyle="1" w:styleId="Manuscriptheading2">
    <w:name w:val="Manuscript heading 2"/>
    <w:basedOn w:val="Heading2"/>
    <w:next w:val="Text"/>
    <w:rsid w:val="0087094E"/>
    <w:pPr>
      <w:keepLines w:val="0"/>
      <w:tabs>
        <w:tab w:val="left" w:pos="1134"/>
      </w:tabs>
      <w:spacing w:before="240" w:after="60"/>
    </w:pPr>
    <w:rPr>
      <w:rFonts w:ascii="Arial" w:eastAsia="Times New Roman" w:hAnsi="Arial" w:cs="Arial"/>
      <w:b/>
      <w:bCs/>
      <w:color w:val="auto"/>
      <w:sz w:val="28"/>
      <w:szCs w:val="24"/>
      <w:lang w:eastAsia="en-US"/>
    </w:rPr>
  </w:style>
  <w:style w:type="paragraph" w:customStyle="1" w:styleId="Manuscriptheading4">
    <w:name w:val="Manuscript heading 4"/>
    <w:basedOn w:val="Heading4"/>
    <w:next w:val="Text"/>
    <w:rsid w:val="0087094E"/>
    <w:pPr>
      <w:keepLines w:val="0"/>
      <w:spacing w:before="240" w:after="60"/>
    </w:pPr>
    <w:rPr>
      <w:rFonts w:ascii="Arial" w:eastAsia="Times New Roman" w:hAnsi="Arial" w:cs="Times New Roman"/>
      <w:iCs w:val="0"/>
      <w:color w:val="auto"/>
      <w:sz w:val="24"/>
      <w:lang w:eastAsia="en-US"/>
    </w:rPr>
  </w:style>
  <w:style w:type="paragraph" w:styleId="ListBullet5">
    <w:name w:val="List Bullet 5"/>
    <w:basedOn w:val="Normal"/>
    <w:rsid w:val="0087094E"/>
    <w:pPr>
      <w:numPr>
        <w:numId w:val="1"/>
      </w:numPr>
    </w:pPr>
  </w:style>
  <w:style w:type="numbering" w:customStyle="1" w:styleId="ListBullets">
    <w:name w:val="ListBullets"/>
    <w:basedOn w:val="NoList"/>
    <w:rsid w:val="0087094E"/>
    <w:pPr>
      <w:numPr>
        <w:numId w:val="1"/>
      </w:numPr>
    </w:pPr>
  </w:style>
  <w:style w:type="character" w:customStyle="1" w:styleId="TextChar1">
    <w:name w:val="Text Char1"/>
    <w:basedOn w:val="DefaultParagraphFont"/>
    <w:link w:val="Text"/>
    <w:qFormat/>
    <w:locked/>
    <w:rsid w:val="0087094E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8709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87094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94E"/>
    <w:rPr>
      <w:rFonts w:asciiTheme="majorHAnsi" w:eastAsiaTheme="majorEastAsia" w:hAnsiTheme="majorHAnsi" w:cstheme="majorBidi"/>
      <w:i/>
      <w:iCs/>
      <w:color w:val="2F5496" w:themeColor="accent1" w:themeShade="BF"/>
      <w:kern w:val="0"/>
      <w:szCs w:val="20"/>
      <w:lang w:val="en-US"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7094E"/>
  </w:style>
  <w:style w:type="paragraph" w:styleId="Revision">
    <w:name w:val="Revision"/>
    <w:hidden/>
    <w:uiPriority w:val="99"/>
    <w:semiHidden/>
    <w:rsid w:val="00B26170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C1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B2B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B2B"/>
    <w:rPr>
      <w:rFonts w:ascii="Arial" w:eastAsia="Times New Roman" w:hAnsi="Arial" w:cs="Times New Roman"/>
      <w:kern w:val="0"/>
      <w:sz w:val="20"/>
      <w:szCs w:val="20"/>
      <w:lang w:val="en-US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B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B2B"/>
    <w:rPr>
      <w:rFonts w:ascii="Arial" w:eastAsia="Times New Roman" w:hAnsi="Arial" w:cs="Times New Roman"/>
      <w:b/>
      <w:bCs/>
      <w:kern w:val="0"/>
      <w:sz w:val="20"/>
      <w:szCs w:val="2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761</Words>
  <Characters>4339</Characters>
  <Application>Microsoft Office Word</Application>
  <DocSecurity>0</DocSecurity>
  <Lines>36</Lines>
  <Paragraphs>10</Paragraphs>
  <ScaleCrop>false</ScaleCrop>
  <Company>Omnicom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Jenner (HCG)</dc:creator>
  <cp:keywords/>
  <dc:description/>
  <cp:lastModifiedBy>Medical Writer</cp:lastModifiedBy>
  <cp:revision>2</cp:revision>
  <dcterms:created xsi:type="dcterms:W3CDTF">2024-06-26T13:01:00Z</dcterms:created>
  <dcterms:modified xsi:type="dcterms:W3CDTF">2024-06-26T13:01:00Z</dcterms:modified>
</cp:coreProperties>
</file>