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74C20B" w14:textId="77777777" w:rsidR="0094751E" w:rsidRPr="00F16CFE" w:rsidRDefault="0094751E" w:rsidP="005620CA">
      <w:pPr>
        <w:pStyle w:val="NoSpacing"/>
        <w:widowControl w:val="0"/>
        <w:rPr>
          <w:b/>
          <w:sz w:val="24"/>
          <w:szCs w:val="24"/>
        </w:rPr>
      </w:pPr>
      <w:bookmarkStart w:id="0" w:name="_GoBack"/>
      <w:proofErr w:type="gramStart"/>
      <w:r w:rsidRPr="00F16CFE">
        <w:rPr>
          <w:b/>
          <w:sz w:val="24"/>
          <w:szCs w:val="24"/>
        </w:rPr>
        <w:t>1.Titel</w:t>
      </w:r>
      <w:proofErr w:type="gramEnd"/>
      <w:r w:rsidRPr="00F16CFE">
        <w:rPr>
          <w:b/>
          <w:sz w:val="24"/>
          <w:szCs w:val="24"/>
        </w:rPr>
        <w:t xml:space="preserve"> </w:t>
      </w:r>
      <w:r w:rsidRPr="00F16CFE">
        <w:rPr>
          <w:b/>
          <w:sz w:val="24"/>
          <w:szCs w:val="24"/>
        </w:rPr>
        <w:tab/>
      </w:r>
    </w:p>
    <w:p w14:paraId="6307BA24" w14:textId="7D044968" w:rsidR="00B300DD" w:rsidRPr="00F16CFE" w:rsidRDefault="00F301CD" w:rsidP="005620CA">
      <w:pPr>
        <w:widowControl w:val="0"/>
        <w:jc w:val="both"/>
      </w:pPr>
      <w:bookmarkStart w:id="1" w:name="_Hlk44774646"/>
      <w:r w:rsidRPr="00F16CFE">
        <w:t xml:space="preserve">Different renal </w:t>
      </w:r>
      <w:proofErr w:type="spellStart"/>
      <w:r w:rsidRPr="00F16CFE">
        <w:t>REPLACEment</w:t>
      </w:r>
      <w:proofErr w:type="spellEnd"/>
      <w:r w:rsidRPr="00F16CFE">
        <w:t xml:space="preserve"> therap</w:t>
      </w:r>
      <w:r w:rsidR="00454A52" w:rsidRPr="00F16CFE">
        <w:t>ie</w:t>
      </w:r>
      <w:r w:rsidR="004776D1" w:rsidRPr="00F16CFE">
        <w:t>s</w:t>
      </w:r>
      <w:r w:rsidRPr="00F16CFE">
        <w:t xml:space="preserve"> in patients with acute kidney injury and </w:t>
      </w:r>
      <w:proofErr w:type="spellStart"/>
      <w:r w:rsidRPr="00F16CFE">
        <w:t>RHABDOmyolysis</w:t>
      </w:r>
      <w:proofErr w:type="spellEnd"/>
      <w:r w:rsidRPr="00F16CFE">
        <w:t xml:space="preserve"> (</w:t>
      </w:r>
      <w:proofErr w:type="spellStart"/>
      <w:r w:rsidRPr="00F16CFE">
        <w:t>ReplaceRhabdo</w:t>
      </w:r>
      <w:proofErr w:type="spellEnd"/>
      <w:r w:rsidR="00454A52" w:rsidRPr="00F16CFE">
        <w:t>): A pilot trial</w:t>
      </w:r>
    </w:p>
    <w:bookmarkEnd w:id="1"/>
    <w:p w14:paraId="55EEB8EF" w14:textId="31BF8021" w:rsidR="0094751E" w:rsidRPr="00F16CFE" w:rsidRDefault="0094751E" w:rsidP="005620CA">
      <w:pPr>
        <w:widowControl w:val="0"/>
        <w:rPr>
          <w:b/>
          <w:sz w:val="24"/>
          <w:szCs w:val="24"/>
        </w:rPr>
      </w:pPr>
      <w:r w:rsidRPr="00F16CFE">
        <w:rPr>
          <w:b/>
          <w:sz w:val="24"/>
          <w:szCs w:val="24"/>
        </w:rPr>
        <w:t xml:space="preserve">2. </w:t>
      </w:r>
      <w:r w:rsidR="00F301CD" w:rsidRPr="00F16CFE">
        <w:rPr>
          <w:b/>
          <w:sz w:val="24"/>
          <w:szCs w:val="24"/>
        </w:rPr>
        <w:t>Abstract</w:t>
      </w:r>
      <w:r w:rsidRPr="00F16CFE">
        <w:rPr>
          <w:b/>
          <w:sz w:val="24"/>
          <w:szCs w:val="24"/>
        </w:rPr>
        <w:t xml:space="preserve"> </w:t>
      </w:r>
    </w:p>
    <w:tbl>
      <w:tblPr>
        <w:tblStyle w:val="TableGrid"/>
        <w:tblW w:w="0" w:type="auto"/>
        <w:tblInd w:w="0" w:type="dxa"/>
        <w:tblLook w:val="04A0" w:firstRow="1" w:lastRow="0" w:firstColumn="1" w:lastColumn="0" w:noHBand="0" w:noVBand="1"/>
      </w:tblPr>
      <w:tblGrid>
        <w:gridCol w:w="2695"/>
        <w:gridCol w:w="6701"/>
      </w:tblGrid>
      <w:tr w:rsidR="0094751E" w:rsidRPr="00D169C2" w14:paraId="1F3EE759" w14:textId="77777777" w:rsidTr="007C73E3">
        <w:tc>
          <w:tcPr>
            <w:tcW w:w="2695" w:type="dxa"/>
            <w:tcBorders>
              <w:top w:val="single" w:sz="4" w:space="0" w:color="auto"/>
              <w:left w:val="single" w:sz="4" w:space="0" w:color="auto"/>
              <w:bottom w:val="single" w:sz="4" w:space="0" w:color="auto"/>
              <w:right w:val="single" w:sz="4" w:space="0" w:color="auto"/>
            </w:tcBorders>
            <w:hideMark/>
          </w:tcPr>
          <w:p w14:paraId="63E8B6BC" w14:textId="51CAC7D0" w:rsidR="0094751E" w:rsidRPr="00D169C2" w:rsidRDefault="00F301CD" w:rsidP="005620CA">
            <w:pPr>
              <w:widowControl w:val="0"/>
              <w:spacing w:beforeLines="60" w:before="144" w:afterLines="60" w:after="144"/>
              <w:rPr>
                <w:rFonts w:cstheme="minorHAnsi"/>
                <w:lang w:val="en-US"/>
              </w:rPr>
            </w:pPr>
            <w:proofErr w:type="spellStart"/>
            <w:r w:rsidRPr="00F16CFE">
              <w:rPr>
                <w:rFonts w:cstheme="minorHAnsi"/>
                <w:b/>
                <w:lang w:val="en-US"/>
              </w:rPr>
              <w:t>T</w:t>
            </w:r>
            <w:r w:rsidRPr="00D169C2">
              <w:rPr>
                <w:rFonts w:cstheme="minorHAnsi"/>
                <w:b/>
                <w:lang w:val="en-US"/>
              </w:rPr>
              <w:t>itel</w:t>
            </w:r>
            <w:proofErr w:type="spellEnd"/>
          </w:p>
        </w:tc>
        <w:tc>
          <w:tcPr>
            <w:tcW w:w="6701" w:type="dxa"/>
            <w:tcBorders>
              <w:top w:val="single" w:sz="4" w:space="0" w:color="auto"/>
              <w:left w:val="single" w:sz="4" w:space="0" w:color="auto"/>
              <w:bottom w:val="single" w:sz="4" w:space="0" w:color="auto"/>
              <w:right w:val="single" w:sz="4" w:space="0" w:color="auto"/>
            </w:tcBorders>
            <w:hideMark/>
          </w:tcPr>
          <w:p w14:paraId="71B74780" w14:textId="5FD94764" w:rsidR="0094751E" w:rsidRPr="00D169C2" w:rsidRDefault="00F301CD" w:rsidP="005620CA">
            <w:pPr>
              <w:widowControl w:val="0"/>
              <w:spacing w:beforeLines="60" w:before="144" w:afterLines="60" w:after="144"/>
              <w:jc w:val="both"/>
              <w:rPr>
                <w:rFonts w:eastAsia="Times New Roman" w:cstheme="minorHAnsi"/>
                <w:i/>
                <w:iCs/>
                <w:lang w:val="en-US"/>
              </w:rPr>
            </w:pPr>
            <w:r w:rsidRPr="00D169C2">
              <w:rPr>
                <w:lang w:val="en-US"/>
              </w:rPr>
              <w:t xml:space="preserve">Different renal </w:t>
            </w:r>
            <w:proofErr w:type="spellStart"/>
            <w:r w:rsidRPr="00D169C2">
              <w:rPr>
                <w:lang w:val="en-US"/>
              </w:rPr>
              <w:t>REPLACEment</w:t>
            </w:r>
            <w:proofErr w:type="spellEnd"/>
            <w:r w:rsidRPr="00D169C2">
              <w:rPr>
                <w:lang w:val="en-US"/>
              </w:rPr>
              <w:t xml:space="preserve"> therap</w:t>
            </w:r>
            <w:r w:rsidR="004705DE">
              <w:rPr>
                <w:lang w:val="en-US"/>
              </w:rPr>
              <w:t>ies</w:t>
            </w:r>
            <w:r w:rsidRPr="00D169C2">
              <w:rPr>
                <w:lang w:val="en-US"/>
              </w:rPr>
              <w:t xml:space="preserve"> in patients with acute kidney injury and </w:t>
            </w:r>
            <w:proofErr w:type="spellStart"/>
            <w:r w:rsidRPr="00D169C2">
              <w:rPr>
                <w:lang w:val="en-US"/>
              </w:rPr>
              <w:t>RHABDOmyolysis</w:t>
            </w:r>
            <w:proofErr w:type="spellEnd"/>
            <w:r w:rsidRPr="00D169C2">
              <w:rPr>
                <w:lang w:val="en-US"/>
              </w:rPr>
              <w:t xml:space="preserve"> (</w:t>
            </w:r>
            <w:proofErr w:type="spellStart"/>
            <w:r w:rsidRPr="00D169C2">
              <w:rPr>
                <w:lang w:val="en-US"/>
              </w:rPr>
              <w:t>ReplaceRhabdo</w:t>
            </w:r>
            <w:proofErr w:type="spellEnd"/>
            <w:r w:rsidRPr="00D169C2">
              <w:rPr>
                <w:lang w:val="en-US"/>
              </w:rPr>
              <w:t>)</w:t>
            </w:r>
            <w:r w:rsidR="004705DE">
              <w:rPr>
                <w:lang w:val="en-US"/>
              </w:rPr>
              <w:t>: A pilot trial</w:t>
            </w:r>
          </w:p>
        </w:tc>
      </w:tr>
      <w:tr w:rsidR="0094751E" w:rsidRPr="00D169C2" w14:paraId="54504ACB" w14:textId="77777777" w:rsidTr="007C73E3">
        <w:tc>
          <w:tcPr>
            <w:tcW w:w="2695" w:type="dxa"/>
            <w:tcBorders>
              <w:top w:val="single" w:sz="4" w:space="0" w:color="auto"/>
              <w:left w:val="single" w:sz="4" w:space="0" w:color="auto"/>
              <w:bottom w:val="single" w:sz="4" w:space="0" w:color="auto"/>
              <w:right w:val="single" w:sz="4" w:space="0" w:color="auto"/>
            </w:tcBorders>
            <w:hideMark/>
          </w:tcPr>
          <w:p w14:paraId="186019A8" w14:textId="5E485A38" w:rsidR="0094751E" w:rsidRPr="00D169C2" w:rsidRDefault="00F301CD" w:rsidP="005620CA">
            <w:pPr>
              <w:widowControl w:val="0"/>
              <w:spacing w:beforeLines="60" w:before="144" w:afterLines="60" w:after="144"/>
              <w:rPr>
                <w:rFonts w:cstheme="minorHAnsi"/>
                <w:b/>
                <w:lang w:val="en-US"/>
              </w:rPr>
            </w:pPr>
            <w:r w:rsidRPr="00D169C2">
              <w:rPr>
                <w:rFonts w:cstheme="minorHAnsi"/>
                <w:b/>
                <w:lang w:val="en-US"/>
              </w:rPr>
              <w:t>Investigator</w:t>
            </w:r>
          </w:p>
        </w:tc>
        <w:tc>
          <w:tcPr>
            <w:tcW w:w="6701" w:type="dxa"/>
            <w:tcBorders>
              <w:top w:val="single" w:sz="4" w:space="0" w:color="auto"/>
              <w:left w:val="single" w:sz="4" w:space="0" w:color="auto"/>
              <w:bottom w:val="single" w:sz="4" w:space="0" w:color="auto"/>
              <w:right w:val="single" w:sz="4" w:space="0" w:color="auto"/>
            </w:tcBorders>
            <w:hideMark/>
          </w:tcPr>
          <w:p w14:paraId="39C4F74E" w14:textId="18B9FB0D" w:rsidR="00F301CD" w:rsidRPr="00D169C2" w:rsidRDefault="00F301CD" w:rsidP="005620CA">
            <w:pPr>
              <w:widowControl w:val="0"/>
              <w:spacing w:beforeLines="60" w:before="144" w:afterLines="60" w:after="144"/>
              <w:rPr>
                <w:rFonts w:cstheme="minorHAnsi"/>
                <w:lang w:val="en-US"/>
              </w:rPr>
            </w:pPr>
            <w:r w:rsidRPr="00D169C2">
              <w:rPr>
                <w:rFonts w:cstheme="minorHAnsi"/>
                <w:lang w:val="en-US"/>
              </w:rPr>
              <w:t>Lorenz</w:t>
            </w:r>
            <w:r w:rsidR="00441BF8" w:rsidRPr="00D169C2">
              <w:rPr>
                <w:rFonts w:cstheme="minorHAnsi"/>
                <w:lang w:val="en-US"/>
              </w:rPr>
              <w:t xml:space="preserve"> </w:t>
            </w:r>
            <w:proofErr w:type="spellStart"/>
            <w:r w:rsidR="00441BF8" w:rsidRPr="00D169C2">
              <w:rPr>
                <w:rFonts w:cstheme="minorHAnsi"/>
                <w:lang w:val="en-US"/>
              </w:rPr>
              <w:t>Weidhase</w:t>
            </w:r>
            <w:proofErr w:type="spellEnd"/>
            <w:r w:rsidRPr="00D169C2">
              <w:rPr>
                <w:rFonts w:cstheme="minorHAnsi"/>
                <w:lang w:val="en-US"/>
              </w:rPr>
              <w:t xml:space="preserve"> MD (PI)</w:t>
            </w:r>
            <w:r w:rsidRPr="00D169C2">
              <w:rPr>
                <w:rFonts w:cstheme="minorHAnsi"/>
                <w:lang w:val="en-US"/>
              </w:rPr>
              <w:br/>
            </w:r>
            <w:r w:rsidR="00BB3888" w:rsidRPr="00D169C2">
              <w:rPr>
                <w:rFonts w:cstheme="minorHAnsi"/>
                <w:lang w:val="en-US"/>
              </w:rPr>
              <w:t xml:space="preserve">Jonathan de </w:t>
            </w:r>
            <w:proofErr w:type="spellStart"/>
            <w:r w:rsidR="00BB3888" w:rsidRPr="00D169C2">
              <w:rPr>
                <w:rFonts w:cstheme="minorHAnsi"/>
                <w:lang w:val="en-US"/>
              </w:rPr>
              <w:t>Fallois</w:t>
            </w:r>
            <w:proofErr w:type="spellEnd"/>
            <w:r w:rsidR="00BB3888" w:rsidRPr="00D169C2">
              <w:rPr>
                <w:rFonts w:cstheme="minorHAnsi"/>
                <w:lang w:val="en-US"/>
              </w:rPr>
              <w:t xml:space="preserve"> (Co-PI)</w:t>
            </w:r>
            <w:r w:rsidR="00BB3888" w:rsidRPr="00D169C2">
              <w:rPr>
                <w:rFonts w:cstheme="minorHAnsi"/>
                <w:lang w:val="en-US"/>
              </w:rPr>
              <w:br/>
            </w:r>
            <w:proofErr w:type="spellStart"/>
            <w:r w:rsidRPr="00D169C2">
              <w:rPr>
                <w:rFonts w:cstheme="minorHAnsi"/>
                <w:lang w:val="en-US"/>
              </w:rPr>
              <w:t>Sirak</w:t>
            </w:r>
            <w:proofErr w:type="spellEnd"/>
            <w:r w:rsidRPr="00D169C2">
              <w:rPr>
                <w:rFonts w:cstheme="minorHAnsi"/>
                <w:lang w:val="en-US"/>
              </w:rPr>
              <w:t xml:space="preserve"> </w:t>
            </w:r>
            <w:proofErr w:type="spellStart"/>
            <w:r w:rsidRPr="00D169C2">
              <w:rPr>
                <w:rFonts w:cstheme="minorHAnsi"/>
                <w:lang w:val="en-US"/>
              </w:rPr>
              <w:t>Petros</w:t>
            </w:r>
            <w:proofErr w:type="spellEnd"/>
            <w:r w:rsidRPr="00D169C2">
              <w:rPr>
                <w:rFonts w:cstheme="minorHAnsi"/>
                <w:lang w:val="en-US"/>
              </w:rPr>
              <w:t xml:space="preserve"> MD </w:t>
            </w:r>
          </w:p>
        </w:tc>
      </w:tr>
      <w:tr w:rsidR="0094751E" w:rsidRPr="00D169C2" w14:paraId="52F66654" w14:textId="77777777" w:rsidTr="007C73E3">
        <w:tc>
          <w:tcPr>
            <w:tcW w:w="2695" w:type="dxa"/>
            <w:tcBorders>
              <w:top w:val="single" w:sz="4" w:space="0" w:color="auto"/>
              <w:left w:val="single" w:sz="4" w:space="0" w:color="auto"/>
              <w:bottom w:val="single" w:sz="4" w:space="0" w:color="auto"/>
              <w:right w:val="single" w:sz="4" w:space="0" w:color="auto"/>
            </w:tcBorders>
            <w:hideMark/>
          </w:tcPr>
          <w:p w14:paraId="26F0FC1D" w14:textId="6B604F93" w:rsidR="0094751E" w:rsidRPr="00D169C2" w:rsidRDefault="00F301CD" w:rsidP="005620CA">
            <w:pPr>
              <w:widowControl w:val="0"/>
              <w:spacing w:beforeLines="60" w:before="144" w:afterLines="60" w:after="144"/>
              <w:rPr>
                <w:rFonts w:cstheme="minorHAnsi"/>
                <w:b/>
                <w:lang w:val="en-US"/>
              </w:rPr>
            </w:pPr>
            <w:r w:rsidRPr="00D169C2">
              <w:rPr>
                <w:rFonts w:cstheme="minorHAnsi"/>
                <w:b/>
                <w:lang w:val="en-US"/>
              </w:rPr>
              <w:t>Primary endpoint</w:t>
            </w:r>
          </w:p>
        </w:tc>
        <w:tc>
          <w:tcPr>
            <w:tcW w:w="6701" w:type="dxa"/>
            <w:tcBorders>
              <w:top w:val="single" w:sz="4" w:space="0" w:color="auto"/>
              <w:left w:val="single" w:sz="4" w:space="0" w:color="auto"/>
              <w:bottom w:val="single" w:sz="4" w:space="0" w:color="auto"/>
              <w:right w:val="single" w:sz="4" w:space="0" w:color="auto"/>
            </w:tcBorders>
            <w:hideMark/>
          </w:tcPr>
          <w:p w14:paraId="7B53A539" w14:textId="30F313AB" w:rsidR="00441BF8" w:rsidRPr="00D169C2" w:rsidRDefault="00AC53D5" w:rsidP="005620CA">
            <w:pPr>
              <w:pStyle w:val="ListParagraph"/>
              <w:widowControl w:val="0"/>
              <w:numPr>
                <w:ilvl w:val="0"/>
                <w:numId w:val="15"/>
              </w:numPr>
              <w:spacing w:beforeLines="60" w:before="144" w:afterLines="60" w:after="144" w:line="240" w:lineRule="auto"/>
              <w:rPr>
                <w:rFonts w:eastAsia="Times New Roman" w:cstheme="minorHAnsi"/>
                <w:lang w:val="en-US"/>
              </w:rPr>
            </w:pPr>
            <w:r w:rsidRPr="00AC53D5">
              <w:rPr>
                <w:rFonts w:eastAsia="Times New Roman" w:cstheme="minorHAnsi"/>
                <w:lang w:val="en-GB"/>
              </w:rPr>
              <w:t>Difference of marginal means in myoglobin clearance</w:t>
            </w:r>
          </w:p>
        </w:tc>
      </w:tr>
      <w:tr w:rsidR="0094751E" w:rsidRPr="00D169C2" w14:paraId="67AD886C" w14:textId="77777777" w:rsidTr="007C73E3">
        <w:tc>
          <w:tcPr>
            <w:tcW w:w="2695" w:type="dxa"/>
            <w:tcBorders>
              <w:top w:val="single" w:sz="4" w:space="0" w:color="auto"/>
              <w:left w:val="single" w:sz="4" w:space="0" w:color="auto"/>
              <w:bottom w:val="single" w:sz="4" w:space="0" w:color="auto"/>
              <w:right w:val="single" w:sz="4" w:space="0" w:color="auto"/>
            </w:tcBorders>
            <w:hideMark/>
          </w:tcPr>
          <w:p w14:paraId="51C090A3" w14:textId="0E480655" w:rsidR="0094751E" w:rsidRPr="00D169C2" w:rsidRDefault="0094751E" w:rsidP="005620CA">
            <w:pPr>
              <w:widowControl w:val="0"/>
              <w:spacing w:beforeLines="60" w:before="144" w:afterLines="60" w:after="144"/>
              <w:rPr>
                <w:rFonts w:cstheme="minorHAnsi"/>
                <w:b/>
                <w:lang w:val="en-US"/>
              </w:rPr>
            </w:pPr>
            <w:r w:rsidRPr="00D169C2">
              <w:rPr>
                <w:rFonts w:cstheme="minorHAnsi"/>
                <w:b/>
                <w:lang w:val="en-US"/>
              </w:rPr>
              <w:t>Se</w:t>
            </w:r>
            <w:r w:rsidR="00F2083C" w:rsidRPr="00D169C2">
              <w:rPr>
                <w:rFonts w:cstheme="minorHAnsi"/>
                <w:b/>
                <w:lang w:val="en-US"/>
              </w:rPr>
              <w:t>condary endpoints</w:t>
            </w:r>
          </w:p>
        </w:tc>
        <w:tc>
          <w:tcPr>
            <w:tcW w:w="6701" w:type="dxa"/>
            <w:tcBorders>
              <w:top w:val="single" w:sz="4" w:space="0" w:color="auto"/>
              <w:left w:val="single" w:sz="4" w:space="0" w:color="auto"/>
              <w:bottom w:val="single" w:sz="4" w:space="0" w:color="auto"/>
              <w:right w:val="single" w:sz="4" w:space="0" w:color="auto"/>
            </w:tcBorders>
            <w:hideMark/>
          </w:tcPr>
          <w:p w14:paraId="4DF73EE0" w14:textId="69B091D2" w:rsidR="001C2F0B" w:rsidRDefault="001C2F0B" w:rsidP="005620CA">
            <w:pPr>
              <w:pStyle w:val="ListParagraph"/>
              <w:widowControl w:val="0"/>
              <w:numPr>
                <w:ilvl w:val="0"/>
                <w:numId w:val="23"/>
              </w:numPr>
              <w:spacing w:before="0" w:after="0" w:line="240" w:lineRule="auto"/>
              <w:rPr>
                <w:rFonts w:eastAsia="Times New Roman" w:cstheme="minorHAnsi"/>
                <w:lang w:val="en-GB"/>
              </w:rPr>
            </w:pPr>
            <w:r w:rsidRPr="001C2F0B">
              <w:rPr>
                <w:rFonts w:eastAsia="Times New Roman" w:cstheme="minorHAnsi"/>
                <w:lang w:val="en-GB"/>
              </w:rPr>
              <w:t xml:space="preserve">Clearance of other molecules with different molecule weight (creatinine, urea, beta-2 </w:t>
            </w:r>
            <w:proofErr w:type="spellStart"/>
            <w:r w:rsidRPr="001C2F0B">
              <w:rPr>
                <w:rFonts w:eastAsia="Times New Roman" w:cstheme="minorHAnsi"/>
                <w:lang w:val="en-GB"/>
              </w:rPr>
              <w:t>microglobulin</w:t>
            </w:r>
            <w:proofErr w:type="spellEnd"/>
            <w:r w:rsidRPr="001C2F0B">
              <w:rPr>
                <w:rFonts w:eastAsia="Times New Roman" w:cstheme="minorHAnsi"/>
                <w:lang w:val="en-GB"/>
              </w:rPr>
              <w:t>, Il-6, albumin) after 1h, 6h, 12h and 24 hours</w:t>
            </w:r>
          </w:p>
          <w:p w14:paraId="2133F124" w14:textId="77777777" w:rsidR="001C2F0B" w:rsidRPr="001C2F0B" w:rsidRDefault="001C2F0B" w:rsidP="005620CA">
            <w:pPr>
              <w:pStyle w:val="ListParagraph"/>
              <w:widowControl w:val="0"/>
              <w:numPr>
                <w:ilvl w:val="0"/>
                <w:numId w:val="15"/>
              </w:numPr>
              <w:spacing w:before="0" w:after="0" w:line="240" w:lineRule="auto"/>
              <w:rPr>
                <w:rFonts w:eastAsia="Times New Roman" w:cstheme="minorHAnsi"/>
                <w:lang w:val="en-GB"/>
              </w:rPr>
            </w:pPr>
            <w:r w:rsidRPr="001C2F0B">
              <w:rPr>
                <w:rFonts w:eastAsia="Times New Roman" w:cstheme="minorHAnsi"/>
                <w:lang w:val="en-GB"/>
              </w:rPr>
              <w:t>Lifetime of extracorporeal circuit (filter lifetime)</w:t>
            </w:r>
          </w:p>
          <w:p w14:paraId="60B6BCC8" w14:textId="77777777" w:rsidR="001C2F0B" w:rsidRPr="001C2F0B" w:rsidRDefault="001C2F0B" w:rsidP="005620CA">
            <w:pPr>
              <w:pStyle w:val="ListParagraph"/>
              <w:widowControl w:val="0"/>
              <w:numPr>
                <w:ilvl w:val="0"/>
                <w:numId w:val="15"/>
              </w:numPr>
              <w:spacing w:before="0" w:after="0" w:line="240" w:lineRule="auto"/>
              <w:rPr>
                <w:rFonts w:eastAsia="Times New Roman" w:cstheme="minorHAnsi"/>
                <w:lang w:val="en-GB"/>
              </w:rPr>
            </w:pPr>
            <w:r w:rsidRPr="001C2F0B">
              <w:rPr>
                <w:rFonts w:eastAsia="Times New Roman" w:cstheme="minorHAnsi"/>
                <w:lang w:val="en-GB"/>
              </w:rPr>
              <w:t>90 day outcome: Composite endpoint of patient dead, persistent loss of renal function requiring dialysis or persistent decline in GFR (&gt;25% of baseline value)</w:t>
            </w:r>
          </w:p>
          <w:p w14:paraId="5D75222A" w14:textId="77777777" w:rsidR="001C2F0B" w:rsidRPr="001C2F0B" w:rsidRDefault="001C2F0B" w:rsidP="005620CA">
            <w:pPr>
              <w:pStyle w:val="ListParagraph"/>
              <w:widowControl w:val="0"/>
              <w:numPr>
                <w:ilvl w:val="0"/>
                <w:numId w:val="15"/>
              </w:numPr>
              <w:spacing w:before="0" w:after="0" w:line="240" w:lineRule="auto"/>
              <w:rPr>
                <w:rFonts w:eastAsia="Times New Roman" w:cstheme="minorHAnsi"/>
                <w:lang w:val="en-GB"/>
              </w:rPr>
            </w:pPr>
            <w:r w:rsidRPr="001C2F0B">
              <w:rPr>
                <w:rFonts w:eastAsia="Times New Roman" w:cstheme="minorHAnsi"/>
                <w:lang w:val="en-GB"/>
              </w:rPr>
              <w:t>Serum myoglobin before and after RRT</w:t>
            </w:r>
          </w:p>
          <w:p w14:paraId="71AC9978" w14:textId="77777777" w:rsidR="001C2F0B" w:rsidRPr="00D169C2" w:rsidRDefault="001C2F0B" w:rsidP="005620CA">
            <w:pPr>
              <w:pStyle w:val="ListParagraph"/>
              <w:widowControl w:val="0"/>
              <w:numPr>
                <w:ilvl w:val="0"/>
                <w:numId w:val="28"/>
              </w:numPr>
              <w:spacing w:before="0" w:after="0" w:line="240" w:lineRule="auto"/>
              <w:rPr>
                <w:rFonts w:eastAsia="Times New Roman" w:cstheme="minorHAnsi"/>
              </w:rPr>
            </w:pPr>
            <w:r w:rsidRPr="00D169C2">
              <w:rPr>
                <w:rFonts w:eastAsia="Times New Roman" w:cstheme="minorHAnsi"/>
              </w:rPr>
              <w:t xml:space="preserve">Clinical endpoints: </w:t>
            </w:r>
          </w:p>
          <w:p w14:paraId="0588863C" w14:textId="77777777" w:rsidR="001C2F0B" w:rsidRPr="001C2F0B" w:rsidRDefault="001C2F0B" w:rsidP="005620CA">
            <w:pPr>
              <w:pStyle w:val="ListParagraph"/>
              <w:widowControl w:val="0"/>
              <w:numPr>
                <w:ilvl w:val="1"/>
                <w:numId w:val="28"/>
              </w:numPr>
              <w:spacing w:before="0" w:after="0" w:line="240" w:lineRule="auto"/>
              <w:rPr>
                <w:rFonts w:eastAsia="Times New Roman" w:cstheme="minorHAnsi"/>
                <w:lang w:val="en-GB"/>
              </w:rPr>
            </w:pPr>
            <w:r w:rsidRPr="001C2F0B">
              <w:rPr>
                <w:rFonts w:eastAsia="Times New Roman" w:cstheme="minorHAnsi"/>
                <w:lang w:val="en-GB"/>
              </w:rPr>
              <w:t>ICU length of stay (days)</w:t>
            </w:r>
          </w:p>
          <w:p w14:paraId="6192662A" w14:textId="77777777" w:rsidR="001C2F0B" w:rsidRPr="00D169C2" w:rsidRDefault="001C2F0B" w:rsidP="005620CA">
            <w:pPr>
              <w:pStyle w:val="ListParagraph"/>
              <w:widowControl w:val="0"/>
              <w:numPr>
                <w:ilvl w:val="1"/>
                <w:numId w:val="28"/>
              </w:numPr>
              <w:spacing w:before="0" w:after="0" w:line="240" w:lineRule="auto"/>
              <w:rPr>
                <w:rFonts w:eastAsia="Times New Roman" w:cstheme="minorHAnsi"/>
              </w:rPr>
            </w:pPr>
            <w:r w:rsidRPr="00D169C2">
              <w:rPr>
                <w:rFonts w:eastAsia="Times New Roman" w:cstheme="minorHAnsi"/>
              </w:rPr>
              <w:t xml:space="preserve">ICU mortality </w:t>
            </w:r>
          </w:p>
          <w:p w14:paraId="48664634" w14:textId="77777777" w:rsidR="001C2F0B" w:rsidRPr="00D169C2" w:rsidRDefault="001C2F0B" w:rsidP="005620CA">
            <w:pPr>
              <w:pStyle w:val="ListParagraph"/>
              <w:widowControl w:val="0"/>
              <w:numPr>
                <w:ilvl w:val="1"/>
                <w:numId w:val="28"/>
              </w:numPr>
              <w:spacing w:before="0" w:after="0" w:line="240" w:lineRule="auto"/>
              <w:rPr>
                <w:rFonts w:eastAsia="Times New Roman" w:cstheme="minorHAnsi"/>
              </w:rPr>
            </w:pPr>
            <w:r w:rsidRPr="00D169C2">
              <w:rPr>
                <w:rFonts w:eastAsia="Times New Roman" w:cstheme="minorHAnsi"/>
              </w:rPr>
              <w:t xml:space="preserve">Hospital mortality </w:t>
            </w:r>
          </w:p>
          <w:p w14:paraId="16A016C7" w14:textId="77777777" w:rsidR="001C2F0B" w:rsidRPr="00D169C2" w:rsidRDefault="001C2F0B" w:rsidP="005620CA">
            <w:pPr>
              <w:pStyle w:val="ListParagraph"/>
              <w:widowControl w:val="0"/>
              <w:numPr>
                <w:ilvl w:val="1"/>
                <w:numId w:val="28"/>
              </w:numPr>
              <w:spacing w:before="0" w:after="0" w:line="240" w:lineRule="auto"/>
              <w:rPr>
                <w:rFonts w:eastAsia="Times New Roman" w:cstheme="minorHAnsi"/>
              </w:rPr>
            </w:pPr>
            <w:r w:rsidRPr="00D169C2">
              <w:rPr>
                <w:rFonts w:eastAsia="Times New Roman" w:cstheme="minorHAnsi"/>
              </w:rPr>
              <w:t xml:space="preserve">Mortality day 28 </w:t>
            </w:r>
          </w:p>
          <w:p w14:paraId="16969AA0" w14:textId="77777777" w:rsidR="001C2F0B" w:rsidRPr="00D169C2" w:rsidRDefault="001C2F0B" w:rsidP="005620CA">
            <w:pPr>
              <w:pStyle w:val="ListParagraph"/>
              <w:widowControl w:val="0"/>
              <w:numPr>
                <w:ilvl w:val="1"/>
                <w:numId w:val="28"/>
              </w:numPr>
              <w:spacing w:before="0" w:after="0" w:line="240" w:lineRule="auto"/>
              <w:rPr>
                <w:rFonts w:eastAsia="Times New Roman" w:cstheme="minorHAnsi"/>
              </w:rPr>
            </w:pPr>
            <w:r w:rsidRPr="00D169C2">
              <w:rPr>
                <w:rFonts w:eastAsia="Times New Roman" w:cstheme="minorHAnsi"/>
              </w:rPr>
              <w:t>Mortality day 90</w:t>
            </w:r>
          </w:p>
          <w:p w14:paraId="2AB6A6CC" w14:textId="77777777" w:rsidR="001C2F0B" w:rsidRPr="001C2F0B" w:rsidRDefault="001C2F0B" w:rsidP="005620CA">
            <w:pPr>
              <w:pStyle w:val="ListParagraph"/>
              <w:widowControl w:val="0"/>
              <w:numPr>
                <w:ilvl w:val="0"/>
                <w:numId w:val="28"/>
              </w:numPr>
              <w:spacing w:before="0" w:after="0" w:line="240" w:lineRule="auto"/>
              <w:rPr>
                <w:rFonts w:eastAsia="Times New Roman" w:cstheme="minorHAnsi"/>
                <w:lang w:val="en-GB"/>
              </w:rPr>
            </w:pPr>
            <w:r w:rsidRPr="001C2F0B">
              <w:rPr>
                <w:rFonts w:eastAsia="Times New Roman" w:cstheme="minorHAnsi"/>
                <w:lang w:val="en-GB"/>
              </w:rPr>
              <w:t>Safety endpoints (Intervention period 72 hours):</w:t>
            </w:r>
          </w:p>
          <w:p w14:paraId="3C299C34" w14:textId="77777777" w:rsidR="001C2F0B" w:rsidRPr="00D169C2" w:rsidRDefault="001C2F0B" w:rsidP="005620CA">
            <w:pPr>
              <w:pStyle w:val="ListParagraph"/>
              <w:widowControl w:val="0"/>
              <w:numPr>
                <w:ilvl w:val="1"/>
                <w:numId w:val="28"/>
              </w:numPr>
              <w:spacing w:before="0" w:after="0" w:line="240" w:lineRule="auto"/>
              <w:rPr>
                <w:rFonts w:eastAsia="Times New Roman" w:cstheme="minorHAnsi"/>
              </w:rPr>
            </w:pPr>
            <w:r w:rsidRPr="00D169C2">
              <w:rPr>
                <w:rFonts w:eastAsia="Times New Roman" w:cstheme="minorHAnsi"/>
              </w:rPr>
              <w:t>Adverse events:</w:t>
            </w:r>
          </w:p>
          <w:p w14:paraId="235A444B" w14:textId="77777777" w:rsidR="001C2F0B" w:rsidRPr="00D169C2" w:rsidRDefault="001C2F0B" w:rsidP="005620CA">
            <w:pPr>
              <w:pStyle w:val="ListParagraph"/>
              <w:widowControl w:val="0"/>
              <w:numPr>
                <w:ilvl w:val="2"/>
                <w:numId w:val="28"/>
              </w:numPr>
              <w:spacing w:before="0" w:after="0" w:line="240" w:lineRule="auto"/>
              <w:rPr>
                <w:rFonts w:eastAsia="Times New Roman" w:cstheme="minorHAnsi"/>
              </w:rPr>
            </w:pPr>
            <w:r w:rsidRPr="00D169C2">
              <w:rPr>
                <w:rFonts w:eastAsia="Times New Roman" w:cstheme="minorHAnsi"/>
              </w:rPr>
              <w:t xml:space="preserve">Hypocalcemia </w:t>
            </w:r>
          </w:p>
          <w:p w14:paraId="58FABD13" w14:textId="77777777" w:rsidR="001C2F0B" w:rsidRPr="00D169C2" w:rsidRDefault="001C2F0B" w:rsidP="005620CA">
            <w:pPr>
              <w:pStyle w:val="ListParagraph"/>
              <w:widowControl w:val="0"/>
              <w:numPr>
                <w:ilvl w:val="2"/>
                <w:numId w:val="28"/>
              </w:numPr>
              <w:spacing w:before="0" w:after="0" w:line="240" w:lineRule="auto"/>
              <w:rPr>
                <w:rFonts w:eastAsia="Times New Roman" w:cstheme="minorHAnsi"/>
              </w:rPr>
            </w:pPr>
            <w:r w:rsidRPr="00D169C2">
              <w:rPr>
                <w:rFonts w:eastAsia="Times New Roman" w:cstheme="minorHAnsi"/>
              </w:rPr>
              <w:t xml:space="preserve">Metabolic alkalosis </w:t>
            </w:r>
          </w:p>
          <w:p w14:paraId="263454DA" w14:textId="77777777" w:rsidR="001C2F0B" w:rsidRPr="00D169C2" w:rsidRDefault="001C2F0B" w:rsidP="005620CA">
            <w:pPr>
              <w:pStyle w:val="ListParagraph"/>
              <w:widowControl w:val="0"/>
              <w:numPr>
                <w:ilvl w:val="2"/>
                <w:numId w:val="28"/>
              </w:numPr>
              <w:spacing w:before="0" w:after="0" w:line="240" w:lineRule="auto"/>
              <w:rPr>
                <w:rFonts w:eastAsia="Times New Roman" w:cstheme="minorHAnsi"/>
              </w:rPr>
            </w:pPr>
            <w:r w:rsidRPr="00D169C2">
              <w:rPr>
                <w:rFonts w:eastAsia="Times New Roman" w:cstheme="minorHAnsi"/>
              </w:rPr>
              <w:t xml:space="preserve">Citrate accumulation </w:t>
            </w:r>
          </w:p>
          <w:p w14:paraId="40A7E598" w14:textId="77777777" w:rsidR="001C2F0B" w:rsidRDefault="001C2F0B" w:rsidP="005620CA">
            <w:pPr>
              <w:pStyle w:val="ListParagraph"/>
              <w:widowControl w:val="0"/>
              <w:numPr>
                <w:ilvl w:val="2"/>
                <w:numId w:val="28"/>
              </w:numPr>
              <w:spacing w:before="0" w:after="0" w:line="240" w:lineRule="auto"/>
              <w:rPr>
                <w:rFonts w:eastAsia="Times New Roman" w:cstheme="minorHAnsi"/>
              </w:rPr>
            </w:pPr>
            <w:r w:rsidRPr="00D169C2">
              <w:rPr>
                <w:rFonts w:eastAsia="Times New Roman" w:cstheme="minorHAnsi"/>
              </w:rPr>
              <w:t>Bleeding requiring blood transfusion</w:t>
            </w:r>
          </w:p>
          <w:p w14:paraId="041FCD1E" w14:textId="77777777" w:rsidR="001C2F0B" w:rsidRPr="00D169C2" w:rsidRDefault="001C2F0B" w:rsidP="005620CA">
            <w:pPr>
              <w:pStyle w:val="ListParagraph"/>
              <w:widowControl w:val="0"/>
              <w:numPr>
                <w:ilvl w:val="2"/>
                <w:numId w:val="28"/>
              </w:numPr>
              <w:spacing w:before="0" w:after="0" w:line="240" w:lineRule="auto"/>
              <w:rPr>
                <w:rFonts w:eastAsia="Times New Roman" w:cstheme="minorHAnsi"/>
              </w:rPr>
            </w:pPr>
            <w:r w:rsidRPr="00D169C2">
              <w:rPr>
                <w:rFonts w:eastAsia="Times New Roman" w:cstheme="minorHAnsi"/>
              </w:rPr>
              <w:t>Heparin induced Thrombocytopenia (HIT)</w:t>
            </w:r>
          </w:p>
          <w:p w14:paraId="530CA3A8" w14:textId="77777777" w:rsidR="001C2F0B" w:rsidRPr="00D169C2" w:rsidRDefault="001C2F0B" w:rsidP="005620CA">
            <w:pPr>
              <w:pStyle w:val="ListParagraph"/>
              <w:widowControl w:val="0"/>
              <w:numPr>
                <w:ilvl w:val="2"/>
                <w:numId w:val="28"/>
              </w:numPr>
              <w:spacing w:before="0" w:after="0" w:line="240" w:lineRule="auto"/>
              <w:rPr>
                <w:rFonts w:eastAsia="Times New Roman" w:cstheme="minorHAnsi"/>
              </w:rPr>
            </w:pPr>
            <w:r w:rsidRPr="00D169C2">
              <w:rPr>
                <w:rFonts w:eastAsia="Times New Roman" w:cstheme="minorHAnsi"/>
              </w:rPr>
              <w:t xml:space="preserve">Catheter malfunction </w:t>
            </w:r>
          </w:p>
          <w:p w14:paraId="26EF40DF" w14:textId="77777777" w:rsidR="001C2F0B" w:rsidRPr="00D169C2" w:rsidRDefault="001C2F0B" w:rsidP="005620CA">
            <w:pPr>
              <w:pStyle w:val="ListParagraph"/>
              <w:widowControl w:val="0"/>
              <w:numPr>
                <w:ilvl w:val="1"/>
                <w:numId w:val="28"/>
              </w:numPr>
              <w:spacing w:before="0" w:after="0" w:line="240" w:lineRule="auto"/>
              <w:rPr>
                <w:rFonts w:eastAsia="Times New Roman" w:cstheme="minorHAnsi"/>
              </w:rPr>
            </w:pPr>
            <w:r w:rsidRPr="00D169C2">
              <w:rPr>
                <w:rFonts w:eastAsia="Times New Roman" w:cstheme="minorHAnsi"/>
              </w:rPr>
              <w:t xml:space="preserve">Severe adverse events: </w:t>
            </w:r>
          </w:p>
          <w:p w14:paraId="43986083" w14:textId="77777777" w:rsidR="001C2F0B" w:rsidRPr="00D169C2" w:rsidRDefault="001C2F0B" w:rsidP="005620CA">
            <w:pPr>
              <w:pStyle w:val="ListParagraph"/>
              <w:widowControl w:val="0"/>
              <w:numPr>
                <w:ilvl w:val="2"/>
                <w:numId w:val="28"/>
              </w:numPr>
              <w:spacing w:before="0" w:after="0" w:line="240" w:lineRule="auto"/>
              <w:rPr>
                <w:rFonts w:eastAsia="Times New Roman" w:cstheme="minorHAnsi"/>
              </w:rPr>
            </w:pPr>
            <w:r w:rsidRPr="00D169C2">
              <w:rPr>
                <w:rFonts w:eastAsia="Times New Roman" w:cstheme="minorHAnsi"/>
              </w:rPr>
              <w:t>Treatment-associated life-threatening complication</w:t>
            </w:r>
          </w:p>
          <w:p w14:paraId="237F5A07" w14:textId="0CF59573" w:rsidR="00925BEF" w:rsidRPr="001C2F0B" w:rsidRDefault="001C2F0B" w:rsidP="005620CA">
            <w:pPr>
              <w:pStyle w:val="ListParagraph"/>
              <w:widowControl w:val="0"/>
              <w:numPr>
                <w:ilvl w:val="2"/>
                <w:numId w:val="28"/>
              </w:numPr>
              <w:spacing w:before="0" w:after="0" w:line="240" w:lineRule="auto"/>
              <w:rPr>
                <w:rFonts w:eastAsia="Times New Roman" w:cstheme="minorHAnsi"/>
                <w:lang w:val="en-US"/>
              </w:rPr>
            </w:pPr>
            <w:r w:rsidRPr="001C2F0B">
              <w:rPr>
                <w:rFonts w:eastAsia="Times New Roman" w:cstheme="minorHAnsi"/>
                <w:lang w:val="en-GB"/>
              </w:rPr>
              <w:t>Dead of any cause during intervention</w:t>
            </w:r>
          </w:p>
        </w:tc>
      </w:tr>
      <w:tr w:rsidR="0094751E" w:rsidRPr="00D169C2" w14:paraId="0C8054D0" w14:textId="77777777" w:rsidTr="007C73E3">
        <w:tc>
          <w:tcPr>
            <w:tcW w:w="2695" w:type="dxa"/>
            <w:tcBorders>
              <w:top w:val="single" w:sz="4" w:space="0" w:color="auto"/>
              <w:left w:val="single" w:sz="4" w:space="0" w:color="auto"/>
              <w:bottom w:val="single" w:sz="4" w:space="0" w:color="auto"/>
              <w:right w:val="single" w:sz="4" w:space="0" w:color="auto"/>
            </w:tcBorders>
            <w:hideMark/>
          </w:tcPr>
          <w:p w14:paraId="075774D3" w14:textId="33759C4F" w:rsidR="0094751E" w:rsidRPr="00D169C2" w:rsidRDefault="00F2083C" w:rsidP="005620CA">
            <w:pPr>
              <w:widowControl w:val="0"/>
              <w:spacing w:beforeLines="60" w:before="144" w:afterLines="60" w:after="144"/>
              <w:rPr>
                <w:rFonts w:cstheme="minorHAnsi"/>
                <w:b/>
                <w:lang w:val="en-US"/>
              </w:rPr>
            </w:pPr>
            <w:r w:rsidRPr="00D169C2">
              <w:rPr>
                <w:rFonts w:cstheme="minorHAnsi"/>
                <w:b/>
                <w:lang w:val="en-US"/>
              </w:rPr>
              <w:t>Inclusion criteria</w:t>
            </w:r>
          </w:p>
        </w:tc>
        <w:tc>
          <w:tcPr>
            <w:tcW w:w="6701" w:type="dxa"/>
            <w:tcBorders>
              <w:top w:val="single" w:sz="4" w:space="0" w:color="auto"/>
              <w:left w:val="single" w:sz="4" w:space="0" w:color="auto"/>
              <w:bottom w:val="single" w:sz="4" w:space="0" w:color="auto"/>
              <w:right w:val="single" w:sz="4" w:space="0" w:color="auto"/>
            </w:tcBorders>
          </w:tcPr>
          <w:p w14:paraId="6DE50A53" w14:textId="41FA4071" w:rsidR="0094751E" w:rsidRPr="00D169C2" w:rsidRDefault="00F2083C" w:rsidP="005620CA">
            <w:pPr>
              <w:pStyle w:val="ListParagraph"/>
              <w:widowControl w:val="0"/>
              <w:numPr>
                <w:ilvl w:val="0"/>
                <w:numId w:val="16"/>
              </w:numPr>
              <w:spacing w:beforeLines="60" w:before="144" w:afterLines="60" w:after="144" w:line="240" w:lineRule="auto"/>
              <w:ind w:left="357" w:hanging="357"/>
              <w:jc w:val="both"/>
              <w:rPr>
                <w:rFonts w:eastAsia="Times New Roman" w:cstheme="minorHAnsi"/>
                <w:lang w:val="en-US"/>
              </w:rPr>
            </w:pPr>
            <w:r w:rsidRPr="00D169C2">
              <w:rPr>
                <w:rFonts w:eastAsia="Times New Roman" w:cstheme="minorHAnsi"/>
                <w:lang w:val="en-US"/>
              </w:rPr>
              <w:t xml:space="preserve">informed </w:t>
            </w:r>
            <w:r w:rsidR="007B2562" w:rsidRPr="00D169C2">
              <w:rPr>
                <w:rFonts w:eastAsia="Times New Roman" w:cstheme="minorHAnsi"/>
                <w:lang w:val="en-US"/>
              </w:rPr>
              <w:t>consent</w:t>
            </w:r>
          </w:p>
          <w:p w14:paraId="2F0EE5C5" w14:textId="57E303A8" w:rsidR="00925BEF" w:rsidRPr="00D169C2" w:rsidRDefault="007B2562" w:rsidP="005620CA">
            <w:pPr>
              <w:pStyle w:val="ListParagraph"/>
              <w:widowControl w:val="0"/>
              <w:numPr>
                <w:ilvl w:val="0"/>
                <w:numId w:val="16"/>
              </w:numPr>
              <w:spacing w:beforeLines="60" w:before="144" w:afterLines="60" w:after="144" w:line="240" w:lineRule="auto"/>
              <w:jc w:val="both"/>
              <w:rPr>
                <w:rFonts w:eastAsia="Times New Roman" w:cstheme="minorHAnsi"/>
                <w:lang w:val="en-US"/>
              </w:rPr>
            </w:pPr>
            <w:r w:rsidRPr="00D169C2">
              <w:rPr>
                <w:rFonts w:eastAsia="Times New Roman" w:cstheme="minorHAnsi"/>
                <w:lang w:val="en-US"/>
              </w:rPr>
              <w:t xml:space="preserve">Acute kidney injury requiring </w:t>
            </w:r>
            <w:r w:rsidR="00BB0B51" w:rsidRPr="00D169C2">
              <w:rPr>
                <w:rFonts w:eastAsia="Times New Roman" w:cstheme="minorHAnsi"/>
                <w:lang w:val="en-US"/>
              </w:rPr>
              <w:t xml:space="preserve">RRT </w:t>
            </w:r>
            <w:r w:rsidR="00925BEF" w:rsidRPr="00D169C2">
              <w:rPr>
                <w:rFonts w:eastAsia="Times New Roman" w:cstheme="minorHAnsi"/>
                <w:lang w:val="en-US"/>
              </w:rPr>
              <w:t>(AKIN III)</w:t>
            </w:r>
          </w:p>
          <w:p w14:paraId="06C9F31D" w14:textId="32DFA8C2" w:rsidR="0094751E" w:rsidRPr="00D169C2" w:rsidRDefault="00BB0B51" w:rsidP="005620CA">
            <w:pPr>
              <w:pStyle w:val="ListParagraph"/>
              <w:widowControl w:val="0"/>
              <w:numPr>
                <w:ilvl w:val="0"/>
                <w:numId w:val="16"/>
              </w:numPr>
              <w:spacing w:beforeLines="60" w:before="144" w:afterLines="60" w:after="144" w:line="240" w:lineRule="auto"/>
              <w:jc w:val="both"/>
              <w:rPr>
                <w:rFonts w:eastAsia="Times New Roman" w:cstheme="minorHAnsi"/>
                <w:lang w:val="en-US"/>
              </w:rPr>
            </w:pPr>
            <w:r w:rsidRPr="00D169C2">
              <w:rPr>
                <w:rFonts w:eastAsia="Times New Roman" w:cstheme="minorHAnsi"/>
                <w:lang w:val="en-US"/>
              </w:rPr>
              <w:t>r</w:t>
            </w:r>
            <w:r w:rsidR="00925BEF" w:rsidRPr="00D169C2">
              <w:rPr>
                <w:rFonts w:eastAsia="Times New Roman" w:cstheme="minorHAnsi"/>
                <w:lang w:val="en-US"/>
              </w:rPr>
              <w:t>habdomyolys</w:t>
            </w:r>
            <w:r w:rsidRPr="00D169C2">
              <w:rPr>
                <w:rFonts w:eastAsia="Times New Roman" w:cstheme="minorHAnsi"/>
                <w:lang w:val="en-US"/>
              </w:rPr>
              <w:t>is</w:t>
            </w:r>
            <w:r w:rsidR="00925BEF" w:rsidRPr="00D169C2">
              <w:rPr>
                <w:rFonts w:eastAsia="Times New Roman" w:cstheme="minorHAnsi"/>
                <w:lang w:val="en-US"/>
              </w:rPr>
              <w:t xml:space="preserve"> </w:t>
            </w:r>
            <w:r w:rsidRPr="00D169C2">
              <w:rPr>
                <w:rFonts w:eastAsia="Times New Roman" w:cstheme="minorHAnsi"/>
                <w:lang w:val="en-US"/>
              </w:rPr>
              <w:t xml:space="preserve">with </w:t>
            </w:r>
            <w:proofErr w:type="spellStart"/>
            <w:r w:rsidRPr="00D169C2">
              <w:rPr>
                <w:rFonts w:eastAsia="Times New Roman" w:cstheme="minorHAnsi"/>
                <w:lang w:val="en-US"/>
              </w:rPr>
              <w:t>myog</w:t>
            </w:r>
            <w:r w:rsidR="003952D8" w:rsidRPr="00D169C2">
              <w:rPr>
                <w:rFonts w:eastAsia="Times New Roman" w:cstheme="minorHAnsi"/>
                <w:lang w:val="en-US"/>
              </w:rPr>
              <w:t>l</w:t>
            </w:r>
            <w:r w:rsidRPr="00D169C2">
              <w:rPr>
                <w:rFonts w:eastAsia="Times New Roman" w:cstheme="minorHAnsi"/>
                <w:lang w:val="en-US"/>
              </w:rPr>
              <w:t>obinemia</w:t>
            </w:r>
            <w:proofErr w:type="spellEnd"/>
            <w:r w:rsidRPr="00D169C2">
              <w:rPr>
                <w:rFonts w:eastAsia="Times New Roman" w:cstheme="minorHAnsi"/>
                <w:lang w:val="en-US"/>
              </w:rPr>
              <w:t xml:space="preserve"> </w:t>
            </w:r>
            <w:r w:rsidR="00925BEF" w:rsidRPr="00D169C2">
              <w:rPr>
                <w:rFonts w:eastAsia="Times New Roman" w:cstheme="minorHAnsi"/>
                <w:lang w:val="en-US"/>
              </w:rPr>
              <w:t>&gt;</w:t>
            </w:r>
            <w:r w:rsidR="002C0C66" w:rsidRPr="00D169C2">
              <w:rPr>
                <w:rFonts w:eastAsia="Times New Roman" w:cstheme="minorHAnsi"/>
                <w:lang w:val="en-US"/>
              </w:rPr>
              <w:t>4</w:t>
            </w:r>
            <w:r w:rsidR="00925BEF" w:rsidRPr="00D169C2">
              <w:rPr>
                <w:rFonts w:eastAsia="Times New Roman" w:cstheme="minorHAnsi"/>
                <w:lang w:val="en-US"/>
              </w:rPr>
              <w:t>000</w:t>
            </w:r>
            <w:r w:rsidR="00617CDC" w:rsidRPr="00D169C2">
              <w:rPr>
                <w:rFonts w:eastAsia="Times New Roman" w:cstheme="minorHAnsi"/>
                <w:lang w:val="en-US"/>
              </w:rPr>
              <w:t xml:space="preserve"> µg/l</w:t>
            </w:r>
          </w:p>
        </w:tc>
      </w:tr>
      <w:tr w:rsidR="0094751E" w:rsidRPr="00D169C2" w14:paraId="3429B787" w14:textId="77777777" w:rsidTr="00A1346A">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324268A9" w14:textId="3B102E5B" w:rsidR="0094751E" w:rsidRPr="00D169C2" w:rsidRDefault="00C70499" w:rsidP="005620CA">
            <w:pPr>
              <w:widowControl w:val="0"/>
              <w:spacing w:beforeLines="60" w:before="144" w:afterLines="60" w:after="144"/>
              <w:rPr>
                <w:rFonts w:cstheme="minorHAnsi"/>
                <w:b/>
                <w:lang w:val="en-US"/>
              </w:rPr>
            </w:pPr>
            <w:r w:rsidRPr="00D169C2">
              <w:rPr>
                <w:rFonts w:cstheme="minorHAnsi"/>
                <w:b/>
                <w:lang w:val="en-US"/>
              </w:rPr>
              <w:t>Ex</w:t>
            </w:r>
            <w:r w:rsidR="00E32CD0">
              <w:rPr>
                <w:rFonts w:cstheme="minorHAnsi"/>
                <w:b/>
                <w:lang w:val="en-US"/>
              </w:rPr>
              <w:t>c</w:t>
            </w:r>
            <w:r w:rsidRPr="00D169C2">
              <w:rPr>
                <w:rFonts w:cstheme="minorHAnsi"/>
                <w:b/>
                <w:lang w:val="en-US"/>
              </w:rPr>
              <w:t>lusion</w:t>
            </w:r>
            <w:r w:rsidR="00BB0B51" w:rsidRPr="00D169C2">
              <w:rPr>
                <w:rFonts w:cstheme="minorHAnsi"/>
                <w:b/>
                <w:lang w:val="en-US"/>
              </w:rPr>
              <w:t xml:space="preserve"> criteria</w:t>
            </w:r>
          </w:p>
        </w:tc>
        <w:tc>
          <w:tcPr>
            <w:tcW w:w="6701" w:type="dxa"/>
            <w:tcBorders>
              <w:top w:val="single" w:sz="4" w:space="0" w:color="auto"/>
              <w:left w:val="single" w:sz="4" w:space="0" w:color="auto"/>
              <w:bottom w:val="single" w:sz="4" w:space="0" w:color="auto"/>
              <w:right w:val="single" w:sz="4" w:space="0" w:color="auto"/>
            </w:tcBorders>
            <w:shd w:val="clear" w:color="auto" w:fill="auto"/>
            <w:hideMark/>
          </w:tcPr>
          <w:p w14:paraId="225F9D41" w14:textId="3DE2DC23" w:rsidR="00281C58" w:rsidRPr="00D169C2" w:rsidRDefault="00BB0B51" w:rsidP="005620CA">
            <w:pPr>
              <w:pStyle w:val="ListParagraph"/>
              <w:widowControl w:val="0"/>
              <w:numPr>
                <w:ilvl w:val="0"/>
                <w:numId w:val="17"/>
              </w:numPr>
              <w:spacing w:beforeLines="60" w:before="144" w:afterLines="60" w:after="144" w:line="240" w:lineRule="auto"/>
              <w:jc w:val="both"/>
              <w:rPr>
                <w:rFonts w:eastAsia="Times New Roman" w:cstheme="minorHAnsi"/>
                <w:lang w:val="en-US"/>
              </w:rPr>
            </w:pPr>
            <w:r w:rsidRPr="00D169C2">
              <w:rPr>
                <w:rFonts w:eastAsia="Times New Roman" w:cstheme="minorHAnsi"/>
                <w:lang w:val="en-US"/>
              </w:rPr>
              <w:t>refuse to participate</w:t>
            </w:r>
          </w:p>
          <w:p w14:paraId="3E366A0D" w14:textId="4323F352" w:rsidR="00281C58" w:rsidRPr="00D169C2" w:rsidRDefault="00BB0B51" w:rsidP="005620CA">
            <w:pPr>
              <w:pStyle w:val="ListParagraph"/>
              <w:widowControl w:val="0"/>
              <w:numPr>
                <w:ilvl w:val="0"/>
                <w:numId w:val="17"/>
              </w:numPr>
              <w:spacing w:beforeLines="60" w:before="144" w:afterLines="60" w:after="144" w:line="240" w:lineRule="auto"/>
              <w:jc w:val="both"/>
              <w:rPr>
                <w:rFonts w:eastAsia="Times New Roman" w:cstheme="minorHAnsi"/>
                <w:lang w:val="en-US"/>
              </w:rPr>
            </w:pPr>
            <w:r w:rsidRPr="00D169C2">
              <w:rPr>
                <w:rFonts w:eastAsia="Times New Roman" w:cstheme="minorHAnsi"/>
                <w:lang w:val="en-US"/>
              </w:rPr>
              <w:t xml:space="preserve">refusal </w:t>
            </w:r>
            <w:r w:rsidR="00C70499" w:rsidRPr="00D169C2">
              <w:rPr>
                <w:rFonts w:eastAsia="Times New Roman" w:cstheme="minorHAnsi"/>
                <w:lang w:val="en-US"/>
              </w:rPr>
              <w:t xml:space="preserve">of </w:t>
            </w:r>
            <w:r w:rsidRPr="00D169C2">
              <w:rPr>
                <w:rFonts w:eastAsia="Times New Roman" w:cstheme="minorHAnsi"/>
                <w:lang w:val="en-US"/>
              </w:rPr>
              <w:t>RRT</w:t>
            </w:r>
          </w:p>
          <w:p w14:paraId="488F5BD3" w14:textId="3D27D384" w:rsidR="00281C58" w:rsidRPr="00D169C2" w:rsidRDefault="00BB0B51" w:rsidP="005620CA">
            <w:pPr>
              <w:pStyle w:val="ListParagraph"/>
              <w:widowControl w:val="0"/>
              <w:numPr>
                <w:ilvl w:val="0"/>
                <w:numId w:val="17"/>
              </w:numPr>
              <w:spacing w:beforeLines="60" w:before="144" w:afterLines="60" w:after="144" w:line="240" w:lineRule="auto"/>
              <w:jc w:val="both"/>
              <w:rPr>
                <w:rFonts w:eastAsia="Times New Roman" w:cstheme="minorHAnsi"/>
                <w:lang w:val="en-US"/>
              </w:rPr>
            </w:pPr>
            <w:r w:rsidRPr="00D169C2">
              <w:rPr>
                <w:rFonts w:eastAsia="Times New Roman" w:cstheme="minorHAnsi"/>
                <w:lang w:val="en-US"/>
              </w:rPr>
              <w:t>age</w:t>
            </w:r>
            <w:r w:rsidR="00281C58" w:rsidRPr="00D169C2">
              <w:rPr>
                <w:rFonts w:eastAsia="Times New Roman" w:cstheme="minorHAnsi"/>
                <w:lang w:val="en-US"/>
              </w:rPr>
              <w:t xml:space="preserve"> &lt; 18 </w:t>
            </w:r>
            <w:r w:rsidRPr="00D169C2">
              <w:rPr>
                <w:rFonts w:eastAsia="Times New Roman" w:cstheme="minorHAnsi"/>
                <w:lang w:val="en-US"/>
              </w:rPr>
              <w:t>years</w:t>
            </w:r>
          </w:p>
          <w:p w14:paraId="4778C295" w14:textId="13B057FD" w:rsidR="00281C58" w:rsidRPr="00D169C2" w:rsidRDefault="00BB0B51" w:rsidP="005620CA">
            <w:pPr>
              <w:pStyle w:val="ListParagraph"/>
              <w:widowControl w:val="0"/>
              <w:numPr>
                <w:ilvl w:val="0"/>
                <w:numId w:val="17"/>
              </w:numPr>
              <w:spacing w:beforeLines="60" w:before="144" w:afterLines="60" w:after="144" w:line="240" w:lineRule="auto"/>
              <w:jc w:val="both"/>
              <w:rPr>
                <w:rFonts w:eastAsia="Times New Roman" w:cstheme="minorHAnsi"/>
                <w:lang w:val="en-US"/>
              </w:rPr>
            </w:pPr>
            <w:r w:rsidRPr="00D169C2">
              <w:rPr>
                <w:rFonts w:eastAsia="Times New Roman" w:cstheme="minorHAnsi"/>
                <w:lang w:val="en-US"/>
              </w:rPr>
              <w:t>contraindication for RRT</w:t>
            </w:r>
            <w:r w:rsidR="00281C58" w:rsidRPr="00D169C2">
              <w:rPr>
                <w:rFonts w:eastAsia="Times New Roman" w:cstheme="minorHAnsi"/>
                <w:lang w:val="en-US"/>
              </w:rPr>
              <w:t xml:space="preserve"> (</w:t>
            </w:r>
            <w:r w:rsidRPr="00D169C2">
              <w:rPr>
                <w:rFonts w:eastAsia="Times New Roman" w:cstheme="minorHAnsi"/>
                <w:lang w:val="en-US"/>
              </w:rPr>
              <w:t>e.g. end-stage malign</w:t>
            </w:r>
            <w:r w:rsidR="00C70499" w:rsidRPr="00D169C2">
              <w:rPr>
                <w:rFonts w:eastAsia="Times New Roman" w:cstheme="minorHAnsi"/>
                <w:lang w:val="en-US"/>
              </w:rPr>
              <w:t>ant tumor</w:t>
            </w:r>
            <w:r w:rsidR="00281C58" w:rsidRPr="00D169C2">
              <w:rPr>
                <w:rFonts w:eastAsia="Times New Roman" w:cstheme="minorHAnsi"/>
                <w:lang w:val="en-US"/>
              </w:rPr>
              <w:t xml:space="preserve">) </w:t>
            </w:r>
          </w:p>
          <w:p w14:paraId="14814D66" w14:textId="614A140F" w:rsidR="00D937C7" w:rsidRPr="003E1EFB" w:rsidRDefault="00D937C7" w:rsidP="005620CA">
            <w:pPr>
              <w:pStyle w:val="ListParagraph"/>
              <w:widowControl w:val="0"/>
              <w:numPr>
                <w:ilvl w:val="0"/>
                <w:numId w:val="17"/>
              </w:numPr>
              <w:spacing w:before="0" w:after="0" w:line="240" w:lineRule="auto"/>
              <w:jc w:val="both"/>
              <w:rPr>
                <w:rFonts w:eastAsia="Times New Roman" w:cstheme="minorHAnsi"/>
                <w:lang w:val="en-US"/>
              </w:rPr>
            </w:pPr>
            <w:proofErr w:type="spellStart"/>
            <w:r w:rsidRPr="00131336">
              <w:rPr>
                <w:rFonts w:eastAsia="Times New Roman" w:cstheme="minorHAnsi"/>
                <w:lang w:val="en-GB"/>
              </w:rPr>
              <w:t>Preexisting</w:t>
            </w:r>
            <w:proofErr w:type="spellEnd"/>
            <w:r w:rsidRPr="00131336">
              <w:rPr>
                <w:rFonts w:eastAsia="Times New Roman" w:cstheme="minorHAnsi"/>
                <w:lang w:val="en-GB"/>
              </w:rPr>
              <w:t xml:space="preserve"> end stage kidney disease (CKD G5)/chronic intermittent </w:t>
            </w:r>
            <w:proofErr w:type="spellStart"/>
            <w:r w:rsidRPr="00131336">
              <w:rPr>
                <w:rFonts w:eastAsia="Times New Roman" w:cstheme="minorHAnsi"/>
                <w:lang w:val="en-GB"/>
              </w:rPr>
              <w:t>hemodialysis</w:t>
            </w:r>
            <w:proofErr w:type="spellEnd"/>
          </w:p>
          <w:p w14:paraId="71F05EC9" w14:textId="3A984A3F" w:rsidR="003E1EFB" w:rsidRPr="003E1EFB" w:rsidRDefault="003E1EFB" w:rsidP="005620CA">
            <w:pPr>
              <w:pStyle w:val="ListParagraph"/>
              <w:widowControl w:val="0"/>
              <w:numPr>
                <w:ilvl w:val="0"/>
                <w:numId w:val="17"/>
              </w:numPr>
              <w:spacing w:before="0" w:after="0" w:line="240" w:lineRule="auto"/>
              <w:jc w:val="both"/>
              <w:rPr>
                <w:rFonts w:eastAsia="Times New Roman" w:cstheme="minorHAnsi"/>
                <w:lang w:val="en-US"/>
              </w:rPr>
            </w:pPr>
            <w:r>
              <w:rPr>
                <w:rFonts w:eastAsia="Times New Roman" w:cstheme="minorHAnsi"/>
                <w:lang w:val="en-US"/>
              </w:rPr>
              <w:t xml:space="preserve">Heparin-induced </w:t>
            </w:r>
            <w:proofErr w:type="spellStart"/>
            <w:r>
              <w:rPr>
                <w:rFonts w:eastAsia="Times New Roman" w:cstheme="minorHAnsi"/>
                <w:lang w:val="en-US"/>
              </w:rPr>
              <w:t>thrombozytopenia</w:t>
            </w:r>
            <w:proofErr w:type="spellEnd"/>
          </w:p>
          <w:p w14:paraId="3F830B1C" w14:textId="77777777" w:rsidR="00D937C7" w:rsidRPr="00D169C2" w:rsidRDefault="00D937C7" w:rsidP="005620CA">
            <w:pPr>
              <w:pStyle w:val="ListParagraph"/>
              <w:widowControl w:val="0"/>
              <w:numPr>
                <w:ilvl w:val="0"/>
                <w:numId w:val="17"/>
              </w:numPr>
              <w:spacing w:before="0" w:after="0" w:line="240" w:lineRule="auto"/>
              <w:jc w:val="both"/>
              <w:rPr>
                <w:rFonts w:eastAsia="Times New Roman" w:cstheme="minorHAnsi"/>
                <w:lang w:val="en-US"/>
              </w:rPr>
            </w:pPr>
            <w:r w:rsidRPr="00D169C2">
              <w:rPr>
                <w:rFonts w:eastAsia="Times New Roman" w:cstheme="minorHAnsi"/>
                <w:lang w:val="en-US"/>
              </w:rPr>
              <w:lastRenderedPageBreak/>
              <w:t>Pregnancy and lactation</w:t>
            </w:r>
          </w:p>
          <w:p w14:paraId="38B5DE9B" w14:textId="3754D8A3" w:rsidR="0094751E" w:rsidRPr="004705DE" w:rsidRDefault="00D937C7" w:rsidP="005620CA">
            <w:pPr>
              <w:pStyle w:val="ListParagraph"/>
              <w:widowControl w:val="0"/>
              <w:numPr>
                <w:ilvl w:val="0"/>
                <w:numId w:val="17"/>
              </w:numPr>
              <w:spacing w:before="0" w:line="240" w:lineRule="auto"/>
              <w:jc w:val="both"/>
              <w:rPr>
                <w:rFonts w:eastAsia="Times New Roman" w:cstheme="minorHAnsi"/>
                <w:lang w:val="en-US"/>
              </w:rPr>
            </w:pPr>
            <w:r w:rsidRPr="00D169C2">
              <w:rPr>
                <w:rFonts w:eastAsia="Times New Roman" w:cstheme="minorHAnsi"/>
                <w:lang w:val="en-US"/>
              </w:rPr>
              <w:t xml:space="preserve">Participation in other treatment studies </w:t>
            </w:r>
          </w:p>
        </w:tc>
      </w:tr>
      <w:tr w:rsidR="0094751E" w:rsidRPr="00D169C2" w14:paraId="550CD08D" w14:textId="77777777" w:rsidTr="007C73E3">
        <w:tc>
          <w:tcPr>
            <w:tcW w:w="2695" w:type="dxa"/>
            <w:tcBorders>
              <w:top w:val="single" w:sz="4" w:space="0" w:color="auto"/>
              <w:left w:val="single" w:sz="4" w:space="0" w:color="auto"/>
              <w:bottom w:val="single" w:sz="4" w:space="0" w:color="auto"/>
              <w:right w:val="single" w:sz="4" w:space="0" w:color="auto"/>
            </w:tcBorders>
            <w:hideMark/>
          </w:tcPr>
          <w:p w14:paraId="3F727A01" w14:textId="0AA79536" w:rsidR="0094751E" w:rsidRPr="00D169C2" w:rsidRDefault="00972CA4" w:rsidP="005620CA">
            <w:pPr>
              <w:widowControl w:val="0"/>
              <w:spacing w:beforeLines="60" w:before="144" w:afterLines="60" w:after="144"/>
              <w:rPr>
                <w:rFonts w:cstheme="minorHAnsi"/>
                <w:b/>
                <w:lang w:val="en-US"/>
              </w:rPr>
            </w:pPr>
            <w:r w:rsidRPr="00D169C2">
              <w:rPr>
                <w:rFonts w:cstheme="minorHAnsi"/>
                <w:b/>
                <w:lang w:val="en-US"/>
              </w:rPr>
              <w:lastRenderedPageBreak/>
              <w:t>P</w:t>
            </w:r>
            <w:r w:rsidR="00C70499" w:rsidRPr="00D169C2">
              <w:rPr>
                <w:rFonts w:cstheme="minorHAnsi"/>
                <w:b/>
                <w:lang w:val="en-US"/>
              </w:rPr>
              <w:t>rocedure</w:t>
            </w:r>
          </w:p>
        </w:tc>
        <w:tc>
          <w:tcPr>
            <w:tcW w:w="6701" w:type="dxa"/>
            <w:tcBorders>
              <w:top w:val="single" w:sz="4" w:space="0" w:color="auto"/>
              <w:left w:val="single" w:sz="4" w:space="0" w:color="auto"/>
              <w:bottom w:val="single" w:sz="4" w:space="0" w:color="auto"/>
              <w:right w:val="single" w:sz="4" w:space="0" w:color="auto"/>
            </w:tcBorders>
            <w:hideMark/>
          </w:tcPr>
          <w:p w14:paraId="18334EEF" w14:textId="6F70FC60" w:rsidR="00281C58" w:rsidRPr="00D169C2" w:rsidRDefault="00C70499" w:rsidP="005620CA">
            <w:pPr>
              <w:pStyle w:val="ListParagraph"/>
              <w:widowControl w:val="0"/>
              <w:numPr>
                <w:ilvl w:val="0"/>
                <w:numId w:val="21"/>
              </w:numPr>
              <w:spacing w:beforeLines="60" w:before="144" w:afterLines="60" w:after="144" w:line="240" w:lineRule="auto"/>
              <w:ind w:left="311" w:hanging="311"/>
              <w:jc w:val="both"/>
              <w:rPr>
                <w:rFonts w:eastAsia="Times New Roman" w:cstheme="minorHAnsi"/>
                <w:lang w:val="en-US"/>
              </w:rPr>
            </w:pPr>
            <w:r w:rsidRPr="00D169C2">
              <w:rPr>
                <w:rFonts w:eastAsia="Times New Roman" w:cstheme="minorHAnsi"/>
                <w:lang w:val="en-US"/>
              </w:rPr>
              <w:t>informed consent</w:t>
            </w:r>
          </w:p>
          <w:p w14:paraId="2DDCF754" w14:textId="044078E1" w:rsidR="007C73E3" w:rsidRPr="00D169C2" w:rsidRDefault="00DB2E44" w:rsidP="005620CA">
            <w:pPr>
              <w:pStyle w:val="ListParagraph"/>
              <w:widowControl w:val="0"/>
              <w:numPr>
                <w:ilvl w:val="0"/>
                <w:numId w:val="21"/>
              </w:numPr>
              <w:spacing w:beforeLines="60" w:before="144" w:afterLines="60" w:after="144" w:line="240" w:lineRule="auto"/>
              <w:ind w:left="311" w:hanging="311"/>
              <w:jc w:val="both"/>
              <w:rPr>
                <w:rFonts w:eastAsia="Times New Roman" w:cstheme="minorHAnsi"/>
                <w:lang w:val="en-US"/>
              </w:rPr>
            </w:pPr>
            <w:r w:rsidRPr="00D169C2">
              <w:rPr>
                <w:rFonts w:eastAsia="Times New Roman" w:cstheme="minorHAnsi"/>
                <w:lang w:val="en-US"/>
              </w:rPr>
              <w:t>randomization</w:t>
            </w:r>
            <w:r w:rsidR="00C70499" w:rsidRPr="00D169C2">
              <w:rPr>
                <w:rFonts w:eastAsia="Times New Roman" w:cstheme="minorHAnsi"/>
                <w:lang w:val="en-US"/>
              </w:rPr>
              <w:t xml:space="preserve"> 1:1:1 arm </w:t>
            </w:r>
            <w:r w:rsidR="00281C58" w:rsidRPr="00D169C2">
              <w:rPr>
                <w:rFonts w:eastAsia="Times New Roman" w:cstheme="minorHAnsi"/>
                <w:lang w:val="en-US"/>
              </w:rPr>
              <w:t>A, B</w:t>
            </w:r>
            <w:r w:rsidRPr="00D169C2">
              <w:rPr>
                <w:rFonts w:eastAsia="Times New Roman" w:cstheme="minorHAnsi"/>
                <w:lang w:val="en-US"/>
              </w:rPr>
              <w:t xml:space="preserve"> </w:t>
            </w:r>
            <w:r w:rsidR="00C70499" w:rsidRPr="00D169C2">
              <w:rPr>
                <w:rFonts w:eastAsia="Times New Roman" w:cstheme="minorHAnsi"/>
                <w:lang w:val="en-US"/>
              </w:rPr>
              <w:t>or</w:t>
            </w:r>
            <w:r w:rsidR="00281C58" w:rsidRPr="00D169C2">
              <w:rPr>
                <w:rFonts w:eastAsia="Times New Roman" w:cstheme="minorHAnsi"/>
                <w:lang w:val="en-US"/>
              </w:rPr>
              <w:t xml:space="preserve"> C (CVVH, CVVHD-HCO, </w:t>
            </w:r>
            <w:r w:rsidR="00C11CF6" w:rsidRPr="00D169C2">
              <w:rPr>
                <w:rFonts w:eastAsia="Times New Roman" w:cstheme="minorHAnsi"/>
                <w:lang w:val="en-US"/>
              </w:rPr>
              <w:t>CVVHD</w:t>
            </w:r>
            <w:r w:rsidR="00281C58" w:rsidRPr="00D169C2">
              <w:rPr>
                <w:rFonts w:eastAsia="Times New Roman" w:cstheme="minorHAnsi"/>
                <w:lang w:val="en-US"/>
              </w:rPr>
              <w:t>-</w:t>
            </w:r>
            <w:proofErr w:type="spellStart"/>
            <w:r w:rsidR="00281C58" w:rsidRPr="00D169C2">
              <w:rPr>
                <w:rFonts w:eastAsia="Times New Roman" w:cstheme="minorHAnsi"/>
                <w:lang w:val="en-US"/>
              </w:rPr>
              <w:t>Adsorber</w:t>
            </w:r>
            <w:proofErr w:type="spellEnd"/>
            <w:r w:rsidR="00281C58" w:rsidRPr="00D169C2">
              <w:rPr>
                <w:rFonts w:eastAsia="Times New Roman" w:cstheme="minorHAnsi"/>
                <w:lang w:val="en-US"/>
              </w:rPr>
              <w:t>)</w:t>
            </w:r>
          </w:p>
          <w:p w14:paraId="579525A6" w14:textId="2B61A509" w:rsidR="00A1346A" w:rsidRPr="00D169C2" w:rsidRDefault="00DB2E44" w:rsidP="005620CA">
            <w:pPr>
              <w:pStyle w:val="ListParagraph"/>
              <w:widowControl w:val="0"/>
              <w:numPr>
                <w:ilvl w:val="0"/>
                <w:numId w:val="21"/>
              </w:numPr>
              <w:spacing w:beforeLines="60" w:before="144" w:afterLines="60" w:after="144" w:line="240" w:lineRule="auto"/>
              <w:ind w:left="311" w:hanging="311"/>
              <w:jc w:val="both"/>
              <w:rPr>
                <w:rFonts w:eastAsia="Times New Roman" w:cstheme="minorHAnsi"/>
                <w:lang w:val="en-US"/>
              </w:rPr>
            </w:pPr>
            <w:r w:rsidRPr="00D169C2">
              <w:rPr>
                <w:rFonts w:eastAsia="Times New Roman" w:cstheme="minorHAnsi"/>
                <w:lang w:val="en-US"/>
              </w:rPr>
              <w:t>b</w:t>
            </w:r>
            <w:r w:rsidR="00B52416" w:rsidRPr="00D169C2">
              <w:rPr>
                <w:rFonts w:eastAsia="Times New Roman" w:cstheme="minorHAnsi"/>
                <w:lang w:val="en-US"/>
              </w:rPr>
              <w:t>lood test pre-</w:t>
            </w:r>
            <w:r w:rsidR="006A55E7">
              <w:rPr>
                <w:rFonts w:eastAsia="Times New Roman" w:cstheme="minorHAnsi"/>
                <w:lang w:val="en-US"/>
              </w:rPr>
              <w:t xml:space="preserve">, </w:t>
            </w:r>
            <w:r w:rsidRPr="00D169C2">
              <w:rPr>
                <w:rFonts w:eastAsia="Times New Roman" w:cstheme="minorHAnsi"/>
                <w:lang w:val="en-US"/>
              </w:rPr>
              <w:t>post</w:t>
            </w:r>
            <w:r w:rsidR="006A55E7">
              <w:rPr>
                <w:rFonts w:eastAsia="Times New Roman" w:cstheme="minorHAnsi"/>
                <w:lang w:val="en-US"/>
              </w:rPr>
              <w:t xml:space="preserve">- and in group C additional </w:t>
            </w:r>
            <w:proofErr w:type="spellStart"/>
            <w:r w:rsidR="006A55E7">
              <w:rPr>
                <w:rFonts w:eastAsia="Times New Roman" w:cstheme="minorHAnsi"/>
                <w:lang w:val="en-US"/>
              </w:rPr>
              <w:t>int</w:t>
            </w:r>
            <w:proofErr w:type="spellEnd"/>
            <w:r w:rsidR="006A55E7">
              <w:rPr>
                <w:rFonts w:eastAsia="Times New Roman" w:cstheme="minorHAnsi"/>
                <w:lang w:val="en-US"/>
              </w:rPr>
              <w:t>-</w:t>
            </w:r>
            <w:r w:rsidRPr="00D169C2">
              <w:rPr>
                <w:rFonts w:eastAsia="Times New Roman" w:cstheme="minorHAnsi"/>
                <w:lang w:val="en-US"/>
              </w:rPr>
              <w:t>dialyzer</w:t>
            </w:r>
            <w:r w:rsidR="00B52416" w:rsidRPr="00D169C2">
              <w:rPr>
                <w:rFonts w:eastAsia="Times New Roman" w:cstheme="minorHAnsi"/>
                <w:lang w:val="en-US"/>
              </w:rPr>
              <w:t xml:space="preserve"> </w:t>
            </w:r>
            <w:r w:rsidR="006A55E7">
              <w:rPr>
                <w:rFonts w:eastAsia="Times New Roman" w:cstheme="minorHAnsi"/>
                <w:lang w:val="en-US"/>
              </w:rPr>
              <w:t xml:space="preserve">after </w:t>
            </w:r>
            <w:r w:rsidR="00210453">
              <w:rPr>
                <w:rFonts w:eastAsia="Times New Roman" w:cstheme="minorHAnsi"/>
                <w:lang w:val="en-US"/>
              </w:rPr>
              <w:t>1h, 6h, 12h</w:t>
            </w:r>
            <w:r w:rsidR="00CF7B56" w:rsidRPr="00D169C2">
              <w:rPr>
                <w:rFonts w:eastAsia="Times New Roman" w:cstheme="minorHAnsi"/>
                <w:lang w:val="en-US"/>
              </w:rPr>
              <w:t xml:space="preserve"> </w:t>
            </w:r>
            <w:r w:rsidR="00B52416" w:rsidRPr="00D169C2">
              <w:rPr>
                <w:rFonts w:eastAsia="Times New Roman" w:cstheme="minorHAnsi"/>
                <w:lang w:val="en-US"/>
              </w:rPr>
              <w:t>and</w:t>
            </w:r>
            <w:r w:rsidR="00CF7B56" w:rsidRPr="00D169C2">
              <w:rPr>
                <w:rFonts w:eastAsia="Times New Roman" w:cstheme="minorHAnsi"/>
                <w:lang w:val="en-US"/>
              </w:rPr>
              <w:t xml:space="preserve"> </w:t>
            </w:r>
            <w:r w:rsidR="00210453">
              <w:rPr>
                <w:rFonts w:eastAsia="Times New Roman" w:cstheme="minorHAnsi"/>
                <w:lang w:val="en-US"/>
              </w:rPr>
              <w:t>24h</w:t>
            </w:r>
            <w:r w:rsidRPr="00D169C2">
              <w:rPr>
                <w:rFonts w:eastAsia="Times New Roman" w:cstheme="minorHAnsi"/>
                <w:lang w:val="en-US"/>
              </w:rPr>
              <w:t xml:space="preserve"> </w:t>
            </w:r>
            <w:r w:rsidR="006A55E7">
              <w:rPr>
                <w:rFonts w:eastAsia="Times New Roman" w:cstheme="minorHAnsi"/>
                <w:lang w:val="en-US"/>
              </w:rPr>
              <w:t>as well as</w:t>
            </w:r>
            <w:r w:rsidR="006A55E7" w:rsidRPr="00D169C2">
              <w:rPr>
                <w:rFonts w:eastAsia="Times New Roman" w:cstheme="minorHAnsi"/>
                <w:lang w:val="en-US"/>
              </w:rPr>
              <w:t xml:space="preserve"> </w:t>
            </w:r>
            <w:r w:rsidR="00B52416" w:rsidRPr="00D169C2">
              <w:rPr>
                <w:rFonts w:eastAsia="Times New Roman" w:cstheme="minorHAnsi"/>
                <w:lang w:val="en-US"/>
              </w:rPr>
              <w:t xml:space="preserve">calculation of </w:t>
            </w:r>
            <w:r w:rsidRPr="00D169C2">
              <w:rPr>
                <w:rFonts w:eastAsia="Times New Roman" w:cstheme="minorHAnsi"/>
                <w:lang w:val="en-US"/>
              </w:rPr>
              <w:t xml:space="preserve">substance specific </w:t>
            </w:r>
            <w:r w:rsidR="00B52416" w:rsidRPr="00D169C2">
              <w:rPr>
                <w:rFonts w:eastAsia="Times New Roman" w:cstheme="minorHAnsi"/>
                <w:lang w:val="en-US"/>
              </w:rPr>
              <w:t>clearance</w:t>
            </w:r>
            <w:r w:rsidRPr="00D169C2">
              <w:rPr>
                <w:rFonts w:eastAsia="Times New Roman" w:cstheme="minorHAnsi"/>
                <w:lang w:val="en-US"/>
              </w:rPr>
              <w:t>s</w:t>
            </w:r>
            <w:r w:rsidR="00A1346A" w:rsidRPr="00D169C2">
              <w:rPr>
                <w:rFonts w:eastAsia="Times New Roman" w:cstheme="minorHAnsi"/>
                <w:lang w:val="en-US"/>
              </w:rPr>
              <w:t xml:space="preserve"> </w:t>
            </w:r>
          </w:p>
          <w:p w14:paraId="2621D36C" w14:textId="605C5E43" w:rsidR="00281C58" w:rsidRPr="00D169C2" w:rsidRDefault="00DB2E44" w:rsidP="005620CA">
            <w:pPr>
              <w:pStyle w:val="ListParagraph"/>
              <w:widowControl w:val="0"/>
              <w:numPr>
                <w:ilvl w:val="0"/>
                <w:numId w:val="21"/>
              </w:numPr>
              <w:spacing w:beforeLines="60" w:before="144" w:afterLines="60" w:after="144" w:line="240" w:lineRule="auto"/>
              <w:ind w:left="311" w:hanging="311"/>
              <w:jc w:val="both"/>
              <w:rPr>
                <w:rFonts w:eastAsia="Times New Roman" w:cstheme="minorHAnsi"/>
                <w:lang w:val="en-US"/>
              </w:rPr>
            </w:pPr>
            <w:r w:rsidRPr="00D169C2">
              <w:rPr>
                <w:rFonts w:eastAsia="Times New Roman" w:cstheme="minorHAnsi"/>
                <w:lang w:val="en-US"/>
              </w:rPr>
              <w:t>f</w:t>
            </w:r>
            <w:r w:rsidR="007C73E3" w:rsidRPr="00D169C2">
              <w:rPr>
                <w:rFonts w:eastAsia="Times New Roman" w:cstheme="minorHAnsi"/>
                <w:lang w:val="en-US"/>
              </w:rPr>
              <w:t>ollow-up</w:t>
            </w:r>
            <w:r w:rsidRPr="00D169C2">
              <w:rPr>
                <w:rFonts w:eastAsia="Times New Roman" w:cstheme="minorHAnsi"/>
                <w:lang w:val="en-US"/>
              </w:rPr>
              <w:t xml:space="preserve"> after intervention</w:t>
            </w:r>
            <w:r w:rsidR="001C2F0B">
              <w:rPr>
                <w:rFonts w:eastAsia="Times New Roman" w:cstheme="minorHAnsi"/>
                <w:lang w:val="en-US"/>
              </w:rPr>
              <w:t xml:space="preserve"> (day 90)</w:t>
            </w:r>
            <w:r w:rsidRPr="00D169C2">
              <w:rPr>
                <w:rFonts w:eastAsia="Times New Roman" w:cstheme="minorHAnsi"/>
                <w:lang w:val="en-US"/>
              </w:rPr>
              <w:t>:</w:t>
            </w:r>
          </w:p>
          <w:p w14:paraId="0A5C1BBA" w14:textId="0133CD25" w:rsidR="00DB2E44" w:rsidRPr="00D169C2" w:rsidRDefault="00DB2E44" w:rsidP="005620CA">
            <w:pPr>
              <w:pStyle w:val="ListParagraph"/>
              <w:widowControl w:val="0"/>
              <w:numPr>
                <w:ilvl w:val="1"/>
                <w:numId w:val="21"/>
              </w:numPr>
              <w:spacing w:beforeLines="60" w:before="144" w:afterLines="60" w:after="144" w:line="240" w:lineRule="auto"/>
              <w:jc w:val="both"/>
              <w:rPr>
                <w:rFonts w:eastAsia="Times New Roman" w:cstheme="minorHAnsi"/>
                <w:lang w:val="en-US"/>
              </w:rPr>
            </w:pPr>
            <w:r w:rsidRPr="00D169C2">
              <w:rPr>
                <w:rFonts w:eastAsia="Times New Roman" w:cstheme="minorHAnsi"/>
                <w:lang w:val="en-US"/>
              </w:rPr>
              <w:t xml:space="preserve">dialyzer lifetime </w:t>
            </w:r>
          </w:p>
          <w:p w14:paraId="128A0C76" w14:textId="4621058A" w:rsidR="00DB2E44" w:rsidRPr="00D169C2" w:rsidRDefault="00DB2E44" w:rsidP="005620CA">
            <w:pPr>
              <w:pStyle w:val="ListParagraph"/>
              <w:widowControl w:val="0"/>
              <w:numPr>
                <w:ilvl w:val="1"/>
                <w:numId w:val="21"/>
              </w:numPr>
              <w:spacing w:beforeLines="60" w:before="144" w:afterLines="60" w:after="144" w:line="240" w:lineRule="auto"/>
              <w:jc w:val="both"/>
              <w:rPr>
                <w:rFonts w:eastAsia="Times New Roman" w:cstheme="minorHAnsi"/>
                <w:lang w:val="en-US"/>
              </w:rPr>
            </w:pPr>
            <w:r w:rsidRPr="00D169C2">
              <w:rPr>
                <w:rFonts w:eastAsia="Times New Roman" w:cstheme="minorHAnsi"/>
                <w:lang w:val="en-US"/>
              </w:rPr>
              <w:t>renal and clinical outcome</w:t>
            </w:r>
          </w:p>
        </w:tc>
      </w:tr>
      <w:tr w:rsidR="0094751E" w:rsidRPr="00D169C2" w14:paraId="19B9FF33" w14:textId="77777777" w:rsidTr="007C73E3">
        <w:tc>
          <w:tcPr>
            <w:tcW w:w="2695" w:type="dxa"/>
            <w:tcBorders>
              <w:top w:val="single" w:sz="4" w:space="0" w:color="auto"/>
              <w:left w:val="single" w:sz="4" w:space="0" w:color="auto"/>
              <w:bottom w:val="single" w:sz="4" w:space="0" w:color="auto"/>
              <w:right w:val="single" w:sz="4" w:space="0" w:color="auto"/>
            </w:tcBorders>
            <w:hideMark/>
          </w:tcPr>
          <w:p w14:paraId="67A995DE" w14:textId="4613609B" w:rsidR="0094751E" w:rsidRPr="00D169C2" w:rsidRDefault="001C2F0B" w:rsidP="005620CA">
            <w:pPr>
              <w:widowControl w:val="0"/>
              <w:spacing w:beforeLines="60" w:before="144" w:after="60"/>
              <w:rPr>
                <w:rFonts w:cstheme="minorHAnsi"/>
                <w:b/>
                <w:lang w:val="en-US"/>
              </w:rPr>
            </w:pPr>
            <w:r>
              <w:rPr>
                <w:rFonts w:cstheme="minorHAnsi"/>
                <w:b/>
                <w:lang w:val="en-US"/>
              </w:rPr>
              <w:t xml:space="preserve">Approximated recruitment </w:t>
            </w:r>
            <w:r w:rsidR="00DB2E44" w:rsidRPr="00D169C2">
              <w:rPr>
                <w:rFonts w:cstheme="minorHAnsi"/>
                <w:b/>
                <w:lang w:val="en-US"/>
              </w:rPr>
              <w:t xml:space="preserve"> period </w:t>
            </w:r>
          </w:p>
        </w:tc>
        <w:tc>
          <w:tcPr>
            <w:tcW w:w="6701" w:type="dxa"/>
            <w:tcBorders>
              <w:top w:val="single" w:sz="4" w:space="0" w:color="auto"/>
              <w:left w:val="single" w:sz="4" w:space="0" w:color="auto"/>
              <w:bottom w:val="single" w:sz="4" w:space="0" w:color="auto"/>
              <w:right w:val="single" w:sz="4" w:space="0" w:color="auto"/>
            </w:tcBorders>
            <w:hideMark/>
          </w:tcPr>
          <w:p w14:paraId="6FE75BCF" w14:textId="09F3F8F5" w:rsidR="0094751E" w:rsidRPr="00D169C2" w:rsidRDefault="004C5B84" w:rsidP="005620CA">
            <w:pPr>
              <w:widowControl w:val="0"/>
              <w:spacing w:beforeLines="60" w:before="144" w:after="60"/>
              <w:jc w:val="both"/>
              <w:rPr>
                <w:rFonts w:eastAsia="Times New Roman" w:cstheme="minorHAnsi"/>
                <w:lang w:val="en-US"/>
              </w:rPr>
            </w:pPr>
            <w:r w:rsidRPr="00D169C2">
              <w:rPr>
                <w:rFonts w:eastAsia="Times New Roman" w:cstheme="minorHAnsi"/>
                <w:lang w:val="en-US"/>
              </w:rPr>
              <w:t>01.</w:t>
            </w:r>
            <w:r w:rsidR="001A7F4B" w:rsidRPr="00D169C2">
              <w:rPr>
                <w:rFonts w:eastAsia="Times New Roman" w:cstheme="minorHAnsi"/>
              </w:rPr>
              <w:t>03</w:t>
            </w:r>
            <w:r w:rsidR="007C73E3" w:rsidRPr="00D169C2">
              <w:rPr>
                <w:rFonts w:eastAsia="Times New Roman" w:cstheme="minorHAnsi"/>
              </w:rPr>
              <w:t>.202</w:t>
            </w:r>
            <w:r w:rsidR="00DB2E44" w:rsidRPr="00D169C2">
              <w:rPr>
                <w:rFonts w:eastAsia="Times New Roman" w:cstheme="minorHAnsi"/>
              </w:rPr>
              <w:t>1</w:t>
            </w:r>
            <w:r w:rsidR="0094751E" w:rsidRPr="00D169C2">
              <w:rPr>
                <w:rFonts w:eastAsia="Times New Roman" w:cstheme="minorHAnsi"/>
              </w:rPr>
              <w:t>-</w:t>
            </w:r>
            <w:r w:rsidR="001A7F4B" w:rsidRPr="00D169C2">
              <w:rPr>
                <w:rFonts w:eastAsia="Times New Roman" w:cstheme="minorHAnsi"/>
              </w:rPr>
              <w:t>28.</w:t>
            </w:r>
            <w:r w:rsidR="001A7F4B" w:rsidRPr="00D169C2">
              <w:rPr>
                <w:rFonts w:eastAsia="Times New Roman" w:cstheme="minorHAnsi"/>
                <w:lang w:val="en-US"/>
              </w:rPr>
              <w:t>02.</w:t>
            </w:r>
            <w:r w:rsidR="00E908CC" w:rsidRPr="00D169C2">
              <w:rPr>
                <w:rFonts w:eastAsia="Times New Roman" w:cstheme="minorHAnsi"/>
              </w:rPr>
              <w:t>202</w:t>
            </w:r>
            <w:r w:rsidR="001A7F4B" w:rsidRPr="00D169C2">
              <w:rPr>
                <w:rFonts w:eastAsia="Times New Roman" w:cstheme="minorHAnsi"/>
                <w:lang w:val="en-US"/>
              </w:rPr>
              <w:t>2</w:t>
            </w:r>
          </w:p>
        </w:tc>
      </w:tr>
      <w:tr w:rsidR="0094751E" w:rsidRPr="00D169C2" w14:paraId="1406525D" w14:textId="77777777" w:rsidTr="007C73E3">
        <w:tc>
          <w:tcPr>
            <w:tcW w:w="2695" w:type="dxa"/>
            <w:tcBorders>
              <w:top w:val="single" w:sz="4" w:space="0" w:color="auto"/>
              <w:left w:val="single" w:sz="4" w:space="0" w:color="auto"/>
              <w:bottom w:val="single" w:sz="4" w:space="0" w:color="auto"/>
              <w:right w:val="single" w:sz="4" w:space="0" w:color="auto"/>
            </w:tcBorders>
            <w:hideMark/>
          </w:tcPr>
          <w:p w14:paraId="0F8009B1" w14:textId="6FA28686" w:rsidR="0094751E" w:rsidRPr="00D169C2" w:rsidRDefault="00972CA4" w:rsidP="005620CA">
            <w:pPr>
              <w:widowControl w:val="0"/>
              <w:spacing w:beforeLines="60" w:before="144" w:after="60"/>
              <w:rPr>
                <w:rFonts w:cstheme="minorHAnsi"/>
                <w:b/>
                <w:lang w:val="en-US"/>
              </w:rPr>
            </w:pPr>
            <w:r w:rsidRPr="00D169C2">
              <w:rPr>
                <w:rFonts w:cstheme="minorHAnsi"/>
                <w:b/>
                <w:lang w:val="en-US"/>
              </w:rPr>
              <w:t>S</w:t>
            </w:r>
            <w:r w:rsidR="00B05ABB" w:rsidRPr="00D169C2">
              <w:rPr>
                <w:rFonts w:cstheme="minorHAnsi"/>
                <w:b/>
              </w:rPr>
              <w:t>tudy center</w:t>
            </w:r>
            <w:r w:rsidR="0094751E" w:rsidRPr="00D169C2">
              <w:rPr>
                <w:rFonts w:cstheme="minorHAnsi"/>
                <w:b/>
              </w:rPr>
              <w:t xml:space="preserve"> </w:t>
            </w:r>
          </w:p>
        </w:tc>
        <w:tc>
          <w:tcPr>
            <w:tcW w:w="6701" w:type="dxa"/>
            <w:tcBorders>
              <w:top w:val="single" w:sz="4" w:space="0" w:color="auto"/>
              <w:left w:val="single" w:sz="4" w:space="0" w:color="auto"/>
              <w:bottom w:val="single" w:sz="4" w:space="0" w:color="auto"/>
              <w:right w:val="single" w:sz="4" w:space="0" w:color="auto"/>
            </w:tcBorders>
            <w:hideMark/>
          </w:tcPr>
          <w:p w14:paraId="3648703B" w14:textId="7A61248A" w:rsidR="0094751E" w:rsidRPr="00D169C2" w:rsidRDefault="00E32CD0" w:rsidP="005620CA">
            <w:pPr>
              <w:widowControl w:val="0"/>
              <w:spacing w:beforeLines="60" w:before="144" w:after="60"/>
              <w:jc w:val="both"/>
              <w:rPr>
                <w:rFonts w:eastAsia="Times New Roman" w:cstheme="minorHAnsi"/>
                <w:lang w:val="en-US"/>
              </w:rPr>
            </w:pPr>
            <w:r>
              <w:rPr>
                <w:rFonts w:eastAsia="Times New Roman" w:cstheme="minorHAnsi"/>
                <w:lang w:val="en-US"/>
              </w:rPr>
              <w:t>U</w:t>
            </w:r>
            <w:r w:rsidR="00B05ABB" w:rsidRPr="00D169C2">
              <w:rPr>
                <w:rFonts w:eastAsia="Times New Roman" w:cstheme="minorHAnsi"/>
                <w:lang w:val="en-US"/>
              </w:rPr>
              <w:t xml:space="preserve">niversity </w:t>
            </w:r>
            <w:r>
              <w:rPr>
                <w:rFonts w:eastAsia="Times New Roman" w:cstheme="minorHAnsi"/>
                <w:lang w:val="en-US"/>
              </w:rPr>
              <w:t>H</w:t>
            </w:r>
            <w:r w:rsidR="00B05ABB" w:rsidRPr="00D169C2">
              <w:rPr>
                <w:rFonts w:eastAsia="Times New Roman" w:cstheme="minorHAnsi"/>
                <w:lang w:val="en-US"/>
              </w:rPr>
              <w:t>ospital Leipzig, medical ICU</w:t>
            </w:r>
          </w:p>
        </w:tc>
      </w:tr>
      <w:tr w:rsidR="0094751E" w:rsidRPr="00F16CFE" w14:paraId="1AAB799F" w14:textId="77777777" w:rsidTr="006A55E7">
        <w:trPr>
          <w:trHeight w:val="580"/>
        </w:trPr>
        <w:tc>
          <w:tcPr>
            <w:tcW w:w="2695" w:type="dxa"/>
            <w:tcBorders>
              <w:top w:val="single" w:sz="4" w:space="0" w:color="auto"/>
              <w:left w:val="single" w:sz="4" w:space="0" w:color="auto"/>
              <w:bottom w:val="single" w:sz="4" w:space="0" w:color="auto"/>
              <w:right w:val="single" w:sz="4" w:space="0" w:color="auto"/>
            </w:tcBorders>
            <w:hideMark/>
          </w:tcPr>
          <w:p w14:paraId="519285D6" w14:textId="7BC3CAF3" w:rsidR="0094751E" w:rsidRPr="00D169C2" w:rsidRDefault="00972CA4" w:rsidP="005620CA">
            <w:pPr>
              <w:widowControl w:val="0"/>
              <w:spacing w:beforeLines="60" w:before="144" w:after="60"/>
              <w:rPr>
                <w:rFonts w:cstheme="minorHAnsi"/>
                <w:b/>
                <w:lang w:val="en-US"/>
              </w:rPr>
            </w:pPr>
            <w:r w:rsidRPr="00D169C2">
              <w:rPr>
                <w:rFonts w:cstheme="minorHAnsi"/>
                <w:b/>
                <w:lang w:val="en-US"/>
              </w:rPr>
              <w:t>F</w:t>
            </w:r>
            <w:r w:rsidR="00B05ABB" w:rsidRPr="00D169C2">
              <w:rPr>
                <w:rFonts w:cstheme="minorHAnsi"/>
                <w:b/>
              </w:rPr>
              <w:t>unding</w:t>
            </w:r>
          </w:p>
        </w:tc>
        <w:tc>
          <w:tcPr>
            <w:tcW w:w="6701" w:type="dxa"/>
            <w:tcBorders>
              <w:top w:val="single" w:sz="4" w:space="0" w:color="auto"/>
              <w:left w:val="single" w:sz="4" w:space="0" w:color="auto"/>
              <w:bottom w:val="single" w:sz="4" w:space="0" w:color="auto"/>
              <w:right w:val="single" w:sz="4" w:space="0" w:color="auto"/>
            </w:tcBorders>
            <w:hideMark/>
          </w:tcPr>
          <w:p w14:paraId="7D254A97" w14:textId="102A4EB7" w:rsidR="0094751E" w:rsidRPr="006144D8" w:rsidRDefault="006A55E7" w:rsidP="005620CA">
            <w:pPr>
              <w:widowControl w:val="0"/>
              <w:spacing w:beforeLines="60" w:before="144" w:after="60"/>
              <w:jc w:val="both"/>
              <w:rPr>
                <w:rFonts w:eastAsia="Times New Roman" w:cstheme="minorHAnsi"/>
              </w:rPr>
            </w:pPr>
            <w:bookmarkStart w:id="2" w:name="_Hlk58508568"/>
            <w:r w:rsidRPr="006144D8">
              <w:rPr>
                <w:rFonts w:eastAsia="Times New Roman" w:cstheme="minorHAnsi"/>
              </w:rPr>
              <w:t>CytoSorbents Europe GmbH, Müggelseedamm 131, 12587 Berlin</w:t>
            </w:r>
            <w:bookmarkEnd w:id="2"/>
          </w:p>
        </w:tc>
      </w:tr>
      <w:tr w:rsidR="0094751E" w:rsidRPr="00D169C2" w14:paraId="6009B43B" w14:textId="77777777" w:rsidTr="007C73E3">
        <w:tc>
          <w:tcPr>
            <w:tcW w:w="2695" w:type="dxa"/>
            <w:tcBorders>
              <w:top w:val="single" w:sz="4" w:space="0" w:color="auto"/>
              <w:left w:val="single" w:sz="4" w:space="0" w:color="auto"/>
              <w:bottom w:val="single" w:sz="4" w:space="0" w:color="auto"/>
              <w:right w:val="single" w:sz="4" w:space="0" w:color="auto"/>
            </w:tcBorders>
            <w:hideMark/>
          </w:tcPr>
          <w:p w14:paraId="7997A6A6" w14:textId="214DC032" w:rsidR="0094751E" w:rsidRPr="00D169C2" w:rsidRDefault="00972CA4" w:rsidP="005620CA">
            <w:pPr>
              <w:widowControl w:val="0"/>
              <w:spacing w:beforeLines="60" w:before="144" w:after="60"/>
              <w:rPr>
                <w:rFonts w:cstheme="minorHAnsi"/>
                <w:b/>
                <w:lang w:val="en-US"/>
              </w:rPr>
            </w:pPr>
            <w:r w:rsidRPr="00D169C2">
              <w:rPr>
                <w:rFonts w:cstheme="minorHAnsi"/>
                <w:b/>
                <w:lang w:val="en-US"/>
              </w:rPr>
              <w:t>P</w:t>
            </w:r>
            <w:r w:rsidR="00B05ABB" w:rsidRPr="00D169C2">
              <w:rPr>
                <w:rFonts w:cstheme="minorHAnsi"/>
                <w:b/>
                <w:lang w:val="en-US"/>
              </w:rPr>
              <w:t>atient calculation</w:t>
            </w:r>
          </w:p>
        </w:tc>
        <w:tc>
          <w:tcPr>
            <w:tcW w:w="6701" w:type="dxa"/>
            <w:tcBorders>
              <w:top w:val="single" w:sz="4" w:space="0" w:color="auto"/>
              <w:left w:val="single" w:sz="4" w:space="0" w:color="auto"/>
              <w:bottom w:val="single" w:sz="4" w:space="0" w:color="auto"/>
              <w:right w:val="single" w:sz="4" w:space="0" w:color="auto"/>
            </w:tcBorders>
            <w:hideMark/>
          </w:tcPr>
          <w:p w14:paraId="49E1370C" w14:textId="7989E890" w:rsidR="0094751E" w:rsidRPr="00D169C2" w:rsidRDefault="00D169C2" w:rsidP="005620CA">
            <w:pPr>
              <w:widowControl w:val="0"/>
              <w:spacing w:beforeLines="60" w:before="144" w:after="60"/>
              <w:rPr>
                <w:rFonts w:eastAsia="Times New Roman" w:cstheme="minorHAnsi"/>
                <w:lang w:val="en-US"/>
              </w:rPr>
            </w:pPr>
            <w:r w:rsidRPr="00D169C2">
              <w:rPr>
                <w:rFonts w:eastAsia="Times New Roman" w:cstheme="minorHAnsi"/>
                <w:lang w:val="en-US"/>
              </w:rPr>
              <w:t xml:space="preserve">Patients </w:t>
            </w:r>
            <w:r w:rsidR="004776D1">
              <w:rPr>
                <w:rFonts w:eastAsia="Times New Roman" w:cstheme="minorHAnsi"/>
                <w:lang w:val="en-US"/>
              </w:rPr>
              <w:t xml:space="preserve">will be </w:t>
            </w:r>
            <w:r w:rsidRPr="00D169C2">
              <w:rPr>
                <w:rFonts w:eastAsia="Times New Roman" w:cstheme="minorHAnsi"/>
                <w:lang w:val="en-US"/>
              </w:rPr>
              <w:t xml:space="preserve">screened: </w:t>
            </w:r>
            <w:r w:rsidRPr="000F6BF2">
              <w:rPr>
                <w:rFonts w:eastAsia="Times New Roman" w:cstheme="minorHAnsi"/>
                <w:lang w:val="en-US"/>
              </w:rPr>
              <w:t xml:space="preserve">n = </w:t>
            </w:r>
            <w:r w:rsidR="004705DE" w:rsidRPr="000F6BF2">
              <w:rPr>
                <w:rStyle w:val="CommentReference"/>
                <w:sz w:val="20"/>
                <w:szCs w:val="20"/>
                <w:lang w:val="en-US"/>
              </w:rPr>
              <w:t>36</w:t>
            </w:r>
            <w:r w:rsidRPr="00D169C2">
              <w:rPr>
                <w:rFonts w:eastAsia="Times New Roman" w:cstheme="minorHAnsi"/>
                <w:lang w:val="en-US"/>
              </w:rPr>
              <w:br/>
              <w:t>Patients</w:t>
            </w:r>
            <w:r w:rsidR="004776D1">
              <w:rPr>
                <w:rFonts w:eastAsia="Times New Roman" w:cstheme="minorHAnsi"/>
                <w:lang w:val="en-US"/>
              </w:rPr>
              <w:t xml:space="preserve"> will be</w:t>
            </w:r>
            <w:r w:rsidRPr="00D169C2">
              <w:rPr>
                <w:rFonts w:eastAsia="Times New Roman" w:cstheme="minorHAnsi"/>
                <w:lang w:val="en-US"/>
              </w:rPr>
              <w:t xml:space="preserve"> included: n = </w:t>
            </w:r>
            <w:r w:rsidR="007C73E3" w:rsidRPr="00D169C2">
              <w:rPr>
                <w:rFonts w:eastAsia="Times New Roman" w:cstheme="minorHAnsi"/>
                <w:lang w:val="en-US"/>
              </w:rPr>
              <w:t>15</w:t>
            </w:r>
            <w:r w:rsidR="0094751E" w:rsidRPr="00D169C2">
              <w:rPr>
                <w:rFonts w:eastAsia="Times New Roman" w:cstheme="minorHAnsi"/>
                <w:lang w:val="en-US"/>
              </w:rPr>
              <w:t xml:space="preserve"> </w:t>
            </w:r>
          </w:p>
        </w:tc>
      </w:tr>
    </w:tbl>
    <w:p w14:paraId="6F541259" w14:textId="77777777" w:rsidR="0094751E" w:rsidRPr="00D169C2" w:rsidRDefault="0094751E" w:rsidP="005620CA">
      <w:pPr>
        <w:widowControl w:val="0"/>
        <w:rPr>
          <w:rFonts w:cstheme="minorHAnsi"/>
        </w:rPr>
      </w:pPr>
    </w:p>
    <w:p w14:paraId="0750D526" w14:textId="3ED2F1A4" w:rsidR="0094751E" w:rsidRPr="00F16CFE" w:rsidRDefault="0094751E" w:rsidP="005620CA">
      <w:pPr>
        <w:pStyle w:val="NoSpacing"/>
        <w:widowControl w:val="0"/>
        <w:rPr>
          <w:b/>
          <w:sz w:val="24"/>
          <w:szCs w:val="24"/>
        </w:rPr>
      </w:pPr>
      <w:r w:rsidRPr="00F16CFE">
        <w:rPr>
          <w:b/>
          <w:sz w:val="24"/>
          <w:szCs w:val="24"/>
        </w:rPr>
        <w:t xml:space="preserve">3. </w:t>
      </w:r>
      <w:r w:rsidR="00BB3888" w:rsidRPr="00F16CFE">
        <w:rPr>
          <w:b/>
          <w:sz w:val="24"/>
          <w:szCs w:val="24"/>
        </w:rPr>
        <w:t>Investigator</w:t>
      </w:r>
      <w:r w:rsidR="00106929" w:rsidRPr="00F16CFE">
        <w:rPr>
          <w:b/>
          <w:sz w:val="24"/>
          <w:szCs w:val="24"/>
        </w:rPr>
        <w:t>s</w:t>
      </w:r>
    </w:p>
    <w:p w14:paraId="06C040EA" w14:textId="6252BEE5" w:rsidR="00BF53F4" w:rsidRPr="00F16CFE" w:rsidRDefault="00BF53F4" w:rsidP="005620CA">
      <w:pPr>
        <w:widowControl w:val="0"/>
        <w:spacing w:before="0" w:after="0" w:line="240" w:lineRule="auto"/>
        <w:contextualSpacing/>
        <w:rPr>
          <w:rFonts w:eastAsia="Times New Roman" w:cstheme="minorHAnsi"/>
        </w:rPr>
      </w:pPr>
      <w:r w:rsidRPr="00F16CFE">
        <w:rPr>
          <w:rFonts w:eastAsia="Times New Roman" w:cstheme="minorHAnsi"/>
        </w:rPr>
        <w:t xml:space="preserve">Lorenz </w:t>
      </w:r>
      <w:proofErr w:type="spellStart"/>
      <w:r w:rsidRPr="00F16CFE">
        <w:rPr>
          <w:rFonts w:eastAsia="Times New Roman" w:cstheme="minorHAnsi"/>
        </w:rPr>
        <w:t>Weidhase</w:t>
      </w:r>
      <w:proofErr w:type="spellEnd"/>
      <w:r w:rsidR="00BB3888" w:rsidRPr="00F16CFE">
        <w:rPr>
          <w:rFonts w:eastAsia="Times New Roman" w:cstheme="minorHAnsi"/>
        </w:rPr>
        <w:t xml:space="preserve"> MD</w:t>
      </w:r>
      <w:r w:rsidR="000438D5" w:rsidRPr="00F16CFE">
        <w:rPr>
          <w:rFonts w:eastAsia="Times New Roman" w:cstheme="minorHAnsi"/>
        </w:rPr>
        <w:t xml:space="preserve"> (PI)</w:t>
      </w:r>
    </w:p>
    <w:p w14:paraId="1887114D" w14:textId="1B723E25" w:rsidR="00BF53F4" w:rsidRPr="00D169C2" w:rsidRDefault="00BB3888" w:rsidP="005620CA">
      <w:pPr>
        <w:widowControl w:val="0"/>
        <w:spacing w:before="0" w:after="0" w:line="240" w:lineRule="auto"/>
        <w:contextualSpacing/>
        <w:rPr>
          <w:rFonts w:eastAsia="Times New Roman" w:cstheme="minorHAnsi"/>
        </w:rPr>
      </w:pPr>
      <w:r w:rsidRPr="00D169C2">
        <w:rPr>
          <w:rFonts w:eastAsia="Times New Roman" w:cstheme="minorHAnsi"/>
        </w:rPr>
        <w:t>Medical ICU</w:t>
      </w:r>
    </w:p>
    <w:p w14:paraId="10AF649B" w14:textId="08C6DAF3" w:rsidR="00BF53F4" w:rsidRPr="00D169C2" w:rsidRDefault="00BB3888" w:rsidP="005620CA">
      <w:pPr>
        <w:widowControl w:val="0"/>
        <w:spacing w:before="0" w:after="0" w:line="240" w:lineRule="auto"/>
        <w:contextualSpacing/>
        <w:rPr>
          <w:rFonts w:eastAsia="Times New Roman" w:cstheme="minorHAnsi"/>
        </w:rPr>
      </w:pPr>
      <w:r w:rsidRPr="00D169C2">
        <w:rPr>
          <w:rFonts w:eastAsia="Times New Roman" w:cstheme="minorHAnsi"/>
        </w:rPr>
        <w:t>University hospital Leipzig</w:t>
      </w:r>
    </w:p>
    <w:p w14:paraId="33B3598A" w14:textId="3D8CF240" w:rsidR="00BF53F4" w:rsidRPr="00D169C2" w:rsidRDefault="00BF53F4" w:rsidP="005620CA">
      <w:pPr>
        <w:widowControl w:val="0"/>
        <w:spacing w:before="0" w:after="0" w:line="240" w:lineRule="auto"/>
        <w:contextualSpacing/>
        <w:rPr>
          <w:rFonts w:eastAsia="Times New Roman" w:cstheme="minorHAnsi"/>
        </w:rPr>
      </w:pPr>
      <w:proofErr w:type="spellStart"/>
      <w:r w:rsidRPr="00D169C2">
        <w:rPr>
          <w:rFonts w:eastAsia="Times New Roman" w:cstheme="minorHAnsi"/>
        </w:rPr>
        <w:t>Liebigstraße</w:t>
      </w:r>
      <w:proofErr w:type="spellEnd"/>
      <w:r w:rsidRPr="00D169C2">
        <w:rPr>
          <w:rFonts w:eastAsia="Times New Roman" w:cstheme="minorHAnsi"/>
        </w:rPr>
        <w:t xml:space="preserve"> </w:t>
      </w:r>
      <w:r w:rsidR="00E800F2" w:rsidRPr="00D169C2">
        <w:rPr>
          <w:rFonts w:eastAsia="Times New Roman" w:cstheme="minorHAnsi"/>
        </w:rPr>
        <w:t>20</w:t>
      </w:r>
    </w:p>
    <w:p w14:paraId="027EC4B3" w14:textId="77777777" w:rsidR="00BF53F4" w:rsidRPr="00D169C2" w:rsidRDefault="00BF53F4" w:rsidP="005620CA">
      <w:pPr>
        <w:widowControl w:val="0"/>
        <w:spacing w:before="0" w:after="0" w:line="240" w:lineRule="auto"/>
        <w:contextualSpacing/>
        <w:rPr>
          <w:rFonts w:eastAsia="Times New Roman" w:cstheme="minorHAnsi"/>
        </w:rPr>
      </w:pPr>
      <w:r w:rsidRPr="00D169C2">
        <w:rPr>
          <w:rFonts w:eastAsia="Times New Roman" w:cstheme="minorHAnsi"/>
        </w:rPr>
        <w:t>04103 Leipzig</w:t>
      </w:r>
    </w:p>
    <w:p w14:paraId="14202AA5" w14:textId="77777777" w:rsidR="000438D5" w:rsidRPr="00D169C2" w:rsidRDefault="000438D5" w:rsidP="005620CA">
      <w:pPr>
        <w:widowControl w:val="0"/>
        <w:spacing w:before="0" w:after="0" w:line="480" w:lineRule="auto"/>
        <w:rPr>
          <w:rFonts w:eastAsiaTheme="majorEastAsia"/>
        </w:rPr>
      </w:pPr>
    </w:p>
    <w:p w14:paraId="5AFE236B" w14:textId="63365AA3" w:rsidR="00BB3888" w:rsidRPr="00D169C2" w:rsidRDefault="00BF53F4" w:rsidP="005620CA">
      <w:pPr>
        <w:widowControl w:val="0"/>
        <w:spacing w:before="0" w:after="0" w:line="240" w:lineRule="auto"/>
        <w:rPr>
          <w:rFonts w:eastAsia="Times New Roman" w:cstheme="minorHAnsi"/>
        </w:rPr>
      </w:pPr>
      <w:r w:rsidRPr="00F16CFE">
        <w:rPr>
          <w:rFonts w:eastAsia="Times New Roman" w:cstheme="minorHAnsi"/>
        </w:rPr>
        <w:t xml:space="preserve">Jonathan de </w:t>
      </w:r>
      <w:proofErr w:type="spellStart"/>
      <w:r w:rsidRPr="00F16CFE">
        <w:rPr>
          <w:rFonts w:eastAsia="Times New Roman" w:cstheme="minorHAnsi"/>
        </w:rPr>
        <w:t>Fallois</w:t>
      </w:r>
      <w:proofErr w:type="spellEnd"/>
      <w:r w:rsidR="00213448" w:rsidRPr="00F16CFE">
        <w:rPr>
          <w:rFonts w:eastAsia="Times New Roman" w:cstheme="minorHAnsi"/>
        </w:rPr>
        <w:t xml:space="preserve"> </w:t>
      </w:r>
      <w:r w:rsidR="000438D5" w:rsidRPr="00F16CFE">
        <w:rPr>
          <w:rFonts w:eastAsia="Times New Roman" w:cstheme="minorHAnsi"/>
        </w:rPr>
        <w:t>(Co-PI</w:t>
      </w:r>
      <w:proofErr w:type="gramStart"/>
      <w:r w:rsidR="000438D5" w:rsidRPr="00F16CFE">
        <w:rPr>
          <w:rFonts w:eastAsia="Times New Roman" w:cstheme="minorHAnsi"/>
        </w:rPr>
        <w:t>)</w:t>
      </w:r>
      <w:proofErr w:type="gramEnd"/>
      <w:r w:rsidR="000438D5" w:rsidRPr="00D169C2">
        <w:rPr>
          <w:rFonts w:eastAsia="Times New Roman" w:cstheme="minorHAnsi"/>
        </w:rPr>
        <w:br/>
      </w:r>
      <w:proofErr w:type="spellStart"/>
      <w:r w:rsidR="00BB3888" w:rsidRPr="00D169C2">
        <w:rPr>
          <w:rFonts w:eastAsia="Times New Roman" w:cstheme="minorHAnsi"/>
        </w:rPr>
        <w:t>Devision</w:t>
      </w:r>
      <w:proofErr w:type="spellEnd"/>
      <w:r w:rsidR="00BB3888" w:rsidRPr="00D169C2">
        <w:rPr>
          <w:rFonts w:eastAsia="Times New Roman" w:cstheme="minorHAnsi"/>
        </w:rPr>
        <w:t xml:space="preserve"> of nephrology, medical clinic III</w:t>
      </w:r>
      <w:r w:rsidR="000438D5" w:rsidRPr="00D169C2">
        <w:rPr>
          <w:rFonts w:eastAsia="Times New Roman" w:cstheme="minorHAnsi"/>
        </w:rPr>
        <w:br/>
      </w:r>
      <w:r w:rsidR="00BB3888" w:rsidRPr="00D169C2">
        <w:rPr>
          <w:rFonts w:eastAsia="Times New Roman" w:cstheme="minorHAnsi"/>
        </w:rPr>
        <w:t>University hospital Leipzig</w:t>
      </w:r>
      <w:r w:rsidR="000438D5" w:rsidRPr="00D169C2">
        <w:rPr>
          <w:rFonts w:eastAsia="Times New Roman" w:cstheme="minorHAnsi"/>
        </w:rPr>
        <w:br/>
      </w:r>
      <w:proofErr w:type="spellStart"/>
      <w:r w:rsidR="00BB3888" w:rsidRPr="00D169C2">
        <w:rPr>
          <w:rFonts w:eastAsia="Times New Roman" w:cstheme="minorHAnsi"/>
        </w:rPr>
        <w:t>Liebigstraße</w:t>
      </w:r>
      <w:proofErr w:type="spellEnd"/>
      <w:r w:rsidR="00BB3888" w:rsidRPr="00D169C2">
        <w:rPr>
          <w:rFonts w:eastAsia="Times New Roman" w:cstheme="minorHAnsi"/>
        </w:rPr>
        <w:t xml:space="preserve"> </w:t>
      </w:r>
      <w:r w:rsidR="00E800F2" w:rsidRPr="00D169C2">
        <w:rPr>
          <w:rFonts w:eastAsia="Times New Roman" w:cstheme="minorHAnsi"/>
        </w:rPr>
        <w:t>20</w:t>
      </w:r>
      <w:r w:rsidR="000438D5" w:rsidRPr="00D169C2">
        <w:rPr>
          <w:rFonts w:eastAsia="Times New Roman" w:cstheme="minorHAnsi"/>
        </w:rPr>
        <w:br/>
      </w:r>
      <w:r w:rsidR="00BB3888" w:rsidRPr="00D169C2">
        <w:rPr>
          <w:rFonts w:eastAsia="Times New Roman" w:cstheme="minorHAnsi"/>
        </w:rPr>
        <w:t>04103 Leipzig</w:t>
      </w:r>
    </w:p>
    <w:p w14:paraId="24AE5E97" w14:textId="77777777" w:rsidR="009B045C" w:rsidRPr="00D169C2" w:rsidRDefault="009B045C" w:rsidP="005620CA">
      <w:pPr>
        <w:widowControl w:val="0"/>
        <w:spacing w:before="0" w:after="0" w:line="240" w:lineRule="auto"/>
        <w:contextualSpacing/>
        <w:rPr>
          <w:rFonts w:eastAsia="Times New Roman" w:cstheme="minorHAnsi"/>
          <w:b/>
        </w:rPr>
      </w:pPr>
    </w:p>
    <w:p w14:paraId="0CD22808" w14:textId="286F2996" w:rsidR="00BF53F4" w:rsidRPr="00F16CFE" w:rsidRDefault="00BF53F4" w:rsidP="005620CA">
      <w:pPr>
        <w:widowControl w:val="0"/>
        <w:spacing w:before="0" w:after="0" w:line="240" w:lineRule="auto"/>
        <w:contextualSpacing/>
        <w:rPr>
          <w:rFonts w:eastAsia="Times New Roman" w:cstheme="minorHAnsi"/>
        </w:rPr>
      </w:pPr>
      <w:r w:rsidRPr="00F16CFE">
        <w:rPr>
          <w:rFonts w:eastAsia="Times New Roman" w:cstheme="minorHAnsi"/>
        </w:rPr>
        <w:t xml:space="preserve">Prof. </w:t>
      </w:r>
      <w:proofErr w:type="spellStart"/>
      <w:r w:rsidRPr="00F16CFE">
        <w:rPr>
          <w:rFonts w:eastAsia="Times New Roman" w:cstheme="minorHAnsi"/>
        </w:rPr>
        <w:t>Sirak</w:t>
      </w:r>
      <w:proofErr w:type="spellEnd"/>
      <w:r w:rsidRPr="00F16CFE">
        <w:rPr>
          <w:rFonts w:eastAsia="Times New Roman" w:cstheme="minorHAnsi"/>
        </w:rPr>
        <w:t xml:space="preserve"> </w:t>
      </w:r>
      <w:proofErr w:type="spellStart"/>
      <w:r w:rsidRPr="00F16CFE">
        <w:rPr>
          <w:rFonts w:eastAsia="Times New Roman" w:cstheme="minorHAnsi"/>
        </w:rPr>
        <w:t>Petros</w:t>
      </w:r>
      <w:proofErr w:type="spellEnd"/>
      <w:r w:rsidR="00BB3888" w:rsidRPr="00F16CFE">
        <w:rPr>
          <w:rFonts w:eastAsia="Times New Roman" w:cstheme="minorHAnsi"/>
        </w:rPr>
        <w:t xml:space="preserve"> MD</w:t>
      </w:r>
    </w:p>
    <w:p w14:paraId="6528FFD0" w14:textId="77777777" w:rsidR="00BB3888" w:rsidRPr="00D169C2" w:rsidRDefault="00BB3888" w:rsidP="005620CA">
      <w:pPr>
        <w:widowControl w:val="0"/>
        <w:spacing w:before="0" w:after="0" w:line="240" w:lineRule="auto"/>
        <w:contextualSpacing/>
        <w:rPr>
          <w:rFonts w:eastAsia="Times New Roman" w:cstheme="minorHAnsi"/>
        </w:rPr>
      </w:pPr>
      <w:r w:rsidRPr="00D169C2">
        <w:rPr>
          <w:rFonts w:eastAsia="Times New Roman" w:cstheme="minorHAnsi"/>
        </w:rPr>
        <w:t>Medical ICU</w:t>
      </w:r>
    </w:p>
    <w:p w14:paraId="70EAA8D9" w14:textId="77777777" w:rsidR="00BB3888" w:rsidRPr="00277A66" w:rsidRDefault="00BB3888" w:rsidP="005620CA">
      <w:pPr>
        <w:widowControl w:val="0"/>
        <w:spacing w:before="0" w:after="0" w:line="240" w:lineRule="auto"/>
        <w:contextualSpacing/>
        <w:rPr>
          <w:rFonts w:eastAsia="Times New Roman" w:cstheme="minorHAnsi"/>
          <w:lang w:val="de-DE"/>
        </w:rPr>
      </w:pPr>
      <w:r w:rsidRPr="00277A66">
        <w:rPr>
          <w:rFonts w:eastAsia="Times New Roman" w:cstheme="minorHAnsi"/>
          <w:lang w:val="de-DE"/>
        </w:rPr>
        <w:t>University hospital Leipzig</w:t>
      </w:r>
    </w:p>
    <w:p w14:paraId="755C8850" w14:textId="374013CE" w:rsidR="00BB3888" w:rsidRPr="00277A66" w:rsidRDefault="00BB3888" w:rsidP="005620CA">
      <w:pPr>
        <w:widowControl w:val="0"/>
        <w:spacing w:before="0" w:after="0" w:line="240" w:lineRule="auto"/>
        <w:contextualSpacing/>
        <w:rPr>
          <w:rFonts w:eastAsia="Times New Roman" w:cstheme="minorHAnsi"/>
          <w:lang w:val="de-DE"/>
        </w:rPr>
      </w:pPr>
      <w:r w:rsidRPr="00277A66">
        <w:rPr>
          <w:rFonts w:eastAsia="Times New Roman" w:cstheme="minorHAnsi"/>
          <w:lang w:val="de-DE"/>
        </w:rPr>
        <w:t xml:space="preserve">Liebigstraße </w:t>
      </w:r>
      <w:r w:rsidR="00E800F2" w:rsidRPr="00277A66">
        <w:rPr>
          <w:rFonts w:eastAsia="Times New Roman" w:cstheme="minorHAnsi"/>
          <w:lang w:val="de-DE"/>
        </w:rPr>
        <w:t>20</w:t>
      </w:r>
    </w:p>
    <w:p w14:paraId="79E64C16" w14:textId="77777777" w:rsidR="00BB3888" w:rsidRPr="00277A66" w:rsidRDefault="00BB3888" w:rsidP="005620CA">
      <w:pPr>
        <w:widowControl w:val="0"/>
        <w:spacing w:before="0" w:after="0" w:line="240" w:lineRule="auto"/>
        <w:contextualSpacing/>
        <w:rPr>
          <w:rFonts w:eastAsia="Times New Roman" w:cstheme="minorHAnsi"/>
          <w:lang w:val="de-DE"/>
        </w:rPr>
      </w:pPr>
      <w:r w:rsidRPr="00277A66">
        <w:rPr>
          <w:rFonts w:eastAsia="Times New Roman" w:cstheme="minorHAnsi"/>
          <w:lang w:val="de-DE"/>
        </w:rPr>
        <w:t>04103 Leipzig</w:t>
      </w:r>
    </w:p>
    <w:p w14:paraId="11E081E8" w14:textId="77777777" w:rsidR="00F16CFE" w:rsidRDefault="00F16CFE" w:rsidP="005620CA">
      <w:pPr>
        <w:pStyle w:val="NoSpacing"/>
        <w:widowControl w:val="0"/>
        <w:rPr>
          <w:rFonts w:eastAsia="Times New Roman"/>
          <w:b/>
          <w:sz w:val="24"/>
          <w:szCs w:val="24"/>
          <w:lang w:val="de-DE"/>
        </w:rPr>
      </w:pPr>
    </w:p>
    <w:p w14:paraId="5386EC77" w14:textId="15FC79FC" w:rsidR="0094751E" w:rsidRPr="00F16CFE" w:rsidRDefault="0094751E" w:rsidP="005620CA">
      <w:pPr>
        <w:pStyle w:val="NoSpacing"/>
        <w:widowControl w:val="0"/>
        <w:rPr>
          <w:rFonts w:eastAsia="Times New Roman"/>
          <w:b/>
          <w:sz w:val="24"/>
          <w:szCs w:val="24"/>
          <w:lang w:val="de-DE"/>
        </w:rPr>
      </w:pPr>
      <w:r w:rsidRPr="00F16CFE">
        <w:rPr>
          <w:rFonts w:eastAsia="Times New Roman"/>
          <w:b/>
          <w:sz w:val="24"/>
          <w:szCs w:val="24"/>
          <w:lang w:val="de-DE"/>
        </w:rPr>
        <w:t xml:space="preserve">4. </w:t>
      </w:r>
      <w:r w:rsidR="00BB3888" w:rsidRPr="00F16CFE">
        <w:rPr>
          <w:rFonts w:eastAsia="Times New Roman"/>
          <w:b/>
          <w:sz w:val="24"/>
          <w:szCs w:val="24"/>
          <w:lang w:val="de-DE"/>
        </w:rPr>
        <w:t>Funding</w:t>
      </w:r>
    </w:p>
    <w:p w14:paraId="4013578F" w14:textId="38E0E275" w:rsidR="00BB3888" w:rsidRPr="00E8060D" w:rsidRDefault="00BB3888" w:rsidP="005620CA">
      <w:pPr>
        <w:widowControl w:val="0"/>
        <w:spacing w:beforeLines="60" w:before="144" w:afterLines="60" w:after="144"/>
        <w:rPr>
          <w:lang w:val="de-DE"/>
        </w:rPr>
      </w:pPr>
      <w:r w:rsidRPr="00E8060D">
        <w:rPr>
          <w:rFonts w:eastAsia="Times New Roman" w:cstheme="minorHAnsi"/>
          <w:lang w:val="de-DE"/>
        </w:rPr>
        <w:t>CytoSorbents Europe GmbH, Müggelseedamm 131, 12587 Berlin</w:t>
      </w:r>
    </w:p>
    <w:p w14:paraId="47CAA9AD" w14:textId="78541F1B" w:rsidR="0094751E" w:rsidRPr="00F16CFE" w:rsidRDefault="0094751E" w:rsidP="005620CA">
      <w:pPr>
        <w:pStyle w:val="NoSpacing"/>
        <w:widowControl w:val="0"/>
        <w:rPr>
          <w:rFonts w:eastAsia="Times New Roman"/>
          <w:b/>
          <w:sz w:val="24"/>
          <w:szCs w:val="24"/>
        </w:rPr>
      </w:pPr>
      <w:r w:rsidRPr="00F16CFE">
        <w:rPr>
          <w:rFonts w:eastAsia="Times New Roman"/>
          <w:b/>
          <w:sz w:val="24"/>
          <w:szCs w:val="24"/>
        </w:rPr>
        <w:t>5. Registr</w:t>
      </w:r>
      <w:r w:rsidR="00BB3888" w:rsidRPr="00F16CFE">
        <w:rPr>
          <w:rFonts w:eastAsia="Times New Roman"/>
          <w:b/>
          <w:sz w:val="24"/>
          <w:szCs w:val="24"/>
        </w:rPr>
        <w:t>y</w:t>
      </w:r>
    </w:p>
    <w:p w14:paraId="0D764FA1" w14:textId="04A31D20" w:rsidR="00340CB5" w:rsidRPr="00D169C2" w:rsidRDefault="00BB3888" w:rsidP="005620CA">
      <w:pPr>
        <w:widowControl w:val="0"/>
        <w:autoSpaceDE w:val="0"/>
        <w:autoSpaceDN w:val="0"/>
        <w:adjustRightInd w:val="0"/>
        <w:spacing w:beforeLines="60" w:before="144" w:afterLines="60" w:after="144" w:line="240" w:lineRule="auto"/>
        <w:rPr>
          <w:rFonts w:eastAsia="MyriadPro-Light" w:cstheme="minorHAnsi"/>
        </w:rPr>
      </w:pPr>
      <w:r w:rsidRPr="00D169C2">
        <w:rPr>
          <w:rFonts w:eastAsia="Times New Roman" w:cstheme="minorHAnsi"/>
        </w:rPr>
        <w:t xml:space="preserve">German trial registry (DRKS) </w:t>
      </w:r>
      <w:r w:rsidRPr="00D169C2">
        <w:rPr>
          <w:rFonts w:eastAsia="Times New Roman" w:cstheme="minorHAnsi"/>
          <w:i/>
          <w:iCs/>
        </w:rPr>
        <w:t xml:space="preserve">and </w:t>
      </w:r>
      <w:r w:rsidRPr="00D169C2">
        <w:rPr>
          <w:rFonts w:eastAsia="MyriadPro-Light" w:cstheme="minorHAnsi"/>
        </w:rPr>
        <w:t>approved by the local ethics committee (ethical committee at the medical faculty, Leipzig university</w:t>
      </w:r>
      <w:r w:rsidR="00340CB5" w:rsidRPr="00D169C2">
        <w:rPr>
          <w:rFonts w:eastAsia="MyriadPro-Light" w:cstheme="minorHAnsi"/>
        </w:rPr>
        <w:t xml:space="preserve">, </w:t>
      </w:r>
      <w:r w:rsidRPr="00D169C2">
        <w:rPr>
          <w:rFonts w:eastAsia="MyriadPro-Light" w:cstheme="minorHAnsi"/>
        </w:rPr>
        <w:t>361/20-ek</w:t>
      </w:r>
      <w:r w:rsidR="00340CB5" w:rsidRPr="00D169C2">
        <w:rPr>
          <w:rFonts w:eastAsia="MyriadPro-Light" w:cstheme="minorHAnsi"/>
        </w:rPr>
        <w:t>).</w:t>
      </w:r>
    </w:p>
    <w:p w14:paraId="2B5D0660" w14:textId="77777777" w:rsidR="00F16CFE" w:rsidRDefault="00F16CFE" w:rsidP="005620CA">
      <w:pPr>
        <w:pStyle w:val="NoSpacing"/>
        <w:widowControl w:val="0"/>
        <w:rPr>
          <w:rFonts w:eastAsia="Times New Roman"/>
        </w:rPr>
      </w:pPr>
    </w:p>
    <w:p w14:paraId="4F95B8D0" w14:textId="17900BAA" w:rsidR="0094751E" w:rsidRPr="00F16CFE" w:rsidRDefault="0094751E" w:rsidP="005620CA">
      <w:pPr>
        <w:pStyle w:val="NoSpacing"/>
        <w:widowControl w:val="0"/>
        <w:rPr>
          <w:rFonts w:eastAsia="Times New Roman"/>
          <w:b/>
          <w:sz w:val="24"/>
          <w:szCs w:val="24"/>
        </w:rPr>
      </w:pPr>
      <w:r w:rsidRPr="00F16CFE">
        <w:rPr>
          <w:rFonts w:eastAsia="Times New Roman"/>
          <w:b/>
          <w:sz w:val="24"/>
          <w:szCs w:val="24"/>
        </w:rPr>
        <w:lastRenderedPageBreak/>
        <w:t xml:space="preserve">6. </w:t>
      </w:r>
      <w:r w:rsidR="00F16CFE">
        <w:rPr>
          <w:rFonts w:eastAsia="Times New Roman"/>
          <w:b/>
          <w:sz w:val="24"/>
          <w:szCs w:val="24"/>
        </w:rPr>
        <w:t>B</w:t>
      </w:r>
      <w:r w:rsidR="00340CB5" w:rsidRPr="00F16CFE">
        <w:rPr>
          <w:rFonts w:eastAsia="Times New Roman"/>
          <w:b/>
          <w:sz w:val="24"/>
          <w:szCs w:val="24"/>
        </w:rPr>
        <w:t>ackground</w:t>
      </w:r>
    </w:p>
    <w:p w14:paraId="0C4B2634" w14:textId="30449197" w:rsidR="001E460C" w:rsidRPr="00D169C2" w:rsidRDefault="003F2163" w:rsidP="005620CA">
      <w:pPr>
        <w:widowControl w:val="0"/>
        <w:autoSpaceDE w:val="0"/>
        <w:autoSpaceDN w:val="0"/>
        <w:adjustRightInd w:val="0"/>
        <w:spacing w:before="0" w:after="0" w:line="240" w:lineRule="auto"/>
        <w:rPr>
          <w:rFonts w:cstheme="minorHAnsi"/>
        </w:rPr>
      </w:pPr>
      <w:r w:rsidRPr="00D169C2">
        <w:rPr>
          <w:rFonts w:eastAsia="Times New Roman"/>
          <w:u w:val="single"/>
        </w:rPr>
        <w:br/>
      </w:r>
      <w:r w:rsidR="003649CB" w:rsidRPr="00D169C2">
        <w:rPr>
          <w:rFonts w:cstheme="minorHAnsi"/>
        </w:rPr>
        <w:t>Acute kidney injury (AKI) is one of the leading organ dysfunctions in critically ill patients and is associated with high mortality and morbidity</w:t>
      </w:r>
      <w:r w:rsidR="000438D5" w:rsidRPr="00D169C2">
        <w:rPr>
          <w:rFonts w:cstheme="minorHAnsi"/>
        </w:rPr>
        <w:t xml:space="preserve"> rates</w:t>
      </w:r>
      <w:r w:rsidR="003649CB" w:rsidRPr="00D169C2">
        <w:rPr>
          <w:rFonts w:cstheme="minorHAnsi"/>
        </w:rPr>
        <w:t>, particularly if renal replacement therapy (RRT) is required.</w:t>
      </w:r>
      <w:r w:rsidR="00D67302" w:rsidRPr="00D169C2">
        <w:fldChar w:fldCharType="begin" w:fldLock="1"/>
      </w:r>
      <w:r w:rsidR="00277C1B" w:rsidRPr="00D169C2">
        <w:instrText>ADDIN CSL_CITATION {"citationItems":[{"id":"ITEM-1","itemData":{"DOI":"10.1007/s00134-015-3934-7","ISBN":"0342-4642","ISSN":"14321238","PMID":"26162677","abstract":"Abstract Purpose: Current reports on acute kidney injury (AKI) in the intensive care unit (ICU) show wide variation in occurrence rate and are limited by study biases such as use of incomplete AKI definition, selected cohorts, or retrospective design. Our aim was to prospectively investigate the occurrence and out- comes of AKI in ICU patients. Methods: The Acute Kidney Injury–Epidemiologic Prospective Investigation (AKI-EPI) study was an international cross-sectional study performed in 97 centers on patients during the first week of ICU admis- sion. We measured AKI by Kidney Disease: Improving Global Outcomes (KDIGO) criteria, and outcomes at hospital discharge. Results: A total of 1032 ICU patients out of 1802 [57.3 %; 95 % confidence interval (CI) 55.0–59.6] had AKI. Increasing AKI severity was associated with hospital mortality when adjusted for other variables; odds ratio of stage 1 = 1.679 (95 % CI 0.890–3.169; p = 0.109), stage 2 = 2.945 (95 % CI 1.382–6.276; p = 0.005), and stage 3 = 6.884 (95 % CI 3.876–12.228; p\\0.001). Risk-ad- justed rates of AKI and mortality were similar across the world. Patients developing AKI had worse kidney function at hospital discharge with estimated glomerular filtration rate less than 60 mL/min/1.73 m2 in 47.7 % (95 % CI 43.6–51.7) versus 14.8 % (95 % CI 11.9–18.2) in those without AKI, p\\0.001. Conclu- sions: This is the first multinational cross-sectional study on the epidemi- ology of AKI in ICU patients using the complete KDIGO criteria. We found that AKI occurred in more than half of ICU patients. Increasing AKI severity was associated with increased mortality, and AKI patients had worse renal function at the time of hospital discharge. Adjusted risks for AKI and mortality were similar across different continents and regions.","author":[{"dropping-particle":"","family":"Hoste","given":"Eric A.J.","non-dropping-particle":"","parse-names":false,"suffix":""},{"dropping-particle":"","family":"Bagshaw","given":"Sean M.","non-dropping-particle":"","parse-names":false,"suffix":""},{"dropping-particle":"","family":"Bellomo","given":"Rinaldo","non-dropping-particle":"","parse-names":false,"suffix":""},{"dropping-particle":"","family":"Cely","given":"Cynthia M.","non-dropping-particle":"","parse-names":false,"suffix":""},{"dropping-particle":"","family":"Colman","given":"Roos","non-dropping-particle":"","parse-names":false,"suffix":""},{"dropping-particle":"","family":"Cruz","given":"Dinna N.","non-dropping-particle":"","parse-names":false,"suffix":""},{"dropping-particle":"","family":"Edipidis","given":"Kyriakos","non-dropping-particle":"","parse-names":false,"suffix":""},{"dropping-particle":"","family":"Forni","given":"Lui G.","non-dropping-particle":"","parse-names":false,"suffix":""},{"dropping-particle":"","family":"Gomersall","given":"Charles D.","non-dropping-particle":"","parse-names":false,"suffix":""},{"dropping-particle":"","family":"Govil","given":"Deepak","non-dropping-particle":"","parse-names":false,"suffix":""},{"dropping-particle":"","family":"Honoré","given":"Patrick M.","non-dropping-particle":"","parse-names":false,"suffix":""},{"dropping-particle":"","family":"Joannes-Boyau","given":"Olivier","non-dropping-particle":"","parse-names":false,"suffix":""},{"dropping-particle":"","family":"Joannidis","given":"Michael","non-dropping-particle":"","parse-names":false,"suffix":""},{"dropping-particle":"","family":"Korhonen","given":"Anna Maija","non-dropping-particle":"","parse-names":false,"suffix":""},{"dropping-particle":"","family":"Lavrentieva","given":"Athina","non-dropping-particle":"","parse-names":false,"suffix":""},{"dropping-particle":"","family":"Mehta","given":"Ravindra L.","non-dropping-particle":"","parse-names":false,"suffix":""},{"dropping-particle":"","family":"Palevsky","given":"Paul","non-dropping-particle":"","parse-names":false,"suffix":""},{"dropping-particle":"","family":"Roessler","given":"Eric","non-dropping-particle":"","parse-names":false,"suffix":""},{"dropping-particle":"","family":"Ronco","given":"Claudio","non-dropping-particle":"","parse-names":false,"suffix":""},{"dropping-particle":"","family":"Uchino","given":"Shigehiko","non-dropping-particle":"","parse-names":false,"suffix":""},{"dropping-particle":"","family":"Vazquez","given":"Jorge A.","non-dropping-particle":"","parse-names":false,"suffix":""},{"dropping-particle":"","family":"Vidal Andrade","given":"Erick","non-dropping-particle":"","parse-names":false,"suffix":""},{"dropping-particle":"","family":"Webb","given":"Steve","non-dropping-particle":"","parse-names":false,"suffix":""},{"dropping-particle":"","family":"Kellum","given":"John A.","non-dropping-particle":"","parse-names":false,"suffix":""}],"container-title":"Intensive Care Medicine","id":"ITEM-1","issue":"8","issued":{"date-parts":[["2015"]]},"page":"1411-1423","title":"Epidemiology of acute kidney injury in critically ill patients: the multinational AKI-EPI study","type":"article-journal","volume":"41"},"uris":["http://www.mendeley.com/documents/?uuid=4d31dfa9-7a2f-4e89-b682-1d2d56959a5b"]}],"mendeley":{"formattedCitation":"&lt;sup&gt;1&lt;/sup&gt;","plainTextFormattedCitation":"1","previouslyFormattedCitation":"&lt;sup&gt;1&lt;/sup&gt;"},"properties":{"noteIndex":0},"schema":"https://github.com/citation-style-language/schema/raw/master/csl-citation.json"}</w:instrText>
      </w:r>
      <w:r w:rsidR="00D67302" w:rsidRPr="00D169C2">
        <w:fldChar w:fldCharType="separate"/>
      </w:r>
      <w:r w:rsidR="002C48C0" w:rsidRPr="00D169C2">
        <w:rPr>
          <w:noProof/>
          <w:vertAlign w:val="superscript"/>
        </w:rPr>
        <w:t>1</w:t>
      </w:r>
      <w:r w:rsidR="00D67302" w:rsidRPr="00D169C2">
        <w:fldChar w:fldCharType="end"/>
      </w:r>
      <w:r w:rsidR="00D67302" w:rsidRPr="00D169C2">
        <w:t xml:space="preserve"> </w:t>
      </w:r>
      <w:r w:rsidR="003649CB" w:rsidRPr="00D169C2">
        <w:rPr>
          <w:rFonts w:cstheme="minorHAnsi"/>
        </w:rPr>
        <w:t xml:space="preserve">In most cases several </w:t>
      </w:r>
      <w:proofErr w:type="spellStart"/>
      <w:r w:rsidR="003649CB" w:rsidRPr="00D169C2">
        <w:rPr>
          <w:rFonts w:cstheme="minorHAnsi"/>
        </w:rPr>
        <w:t>pathogenetic</w:t>
      </w:r>
      <w:proofErr w:type="spellEnd"/>
      <w:r w:rsidR="003649CB" w:rsidRPr="00D169C2">
        <w:rPr>
          <w:rFonts w:cstheme="minorHAnsi"/>
        </w:rPr>
        <w:t xml:space="preserve"> mechanisms are involved in the development of AKI in critically ill patients.</w:t>
      </w:r>
      <w:r w:rsidR="00D67302" w:rsidRPr="00D169C2">
        <w:fldChar w:fldCharType="begin" w:fldLock="1"/>
      </w:r>
      <w:r w:rsidR="00277C1B" w:rsidRPr="00D169C2">
        <w:instrText>ADDIN CSL_CITATION {"citationItems":[{"id":"ITEM-1","itemData":{"DOI":"10.1001/jama.294.7.813","ISSN":"1538-3598","PMID":"16106006","abstract":"CONTEXT Although acute renal failure (ARF) is believed to be common in the setting of critical illness and is associated with a high risk of death, little is known about its epidemiology and outcome or how these vary in different regions of the world. OBJECTIVES To determine the period prevalence of ARF in intensive care unit (ICU) patients in multiple countries; to characterize differences in etiology, illness severity, and clinical practice; and to determine the impact of these differences on patient outcomes. DESIGN, SETTING, AND PATIENTS Prospective observational study of ICU patients who either were treated with renal replacement therapy (RRT) or fulfilled at least 1 of the predefined criteria for ARF from September 2000 to December 2001 at 54 hospitals in 23 countries. MAIN OUTCOME MEASURES Occurrence of ARF, factors contributing to etiology, illness severity, treatment, need for renal support after hospital discharge, and hospital mortality. RESULTS Of 29 269 critically ill patients admitted during the study period, 1738 (5.7%; 95% confidence interval [CI], 5.5%-6.0%) had ARF during their ICU stay, including 1260 who were treated with RRT. The most common contributing factor to ARF was septic shock (47.5%; 95% CI, 45.2%-49.5%). Approximately 30% of patients had preadmission renal dysfunction. Overall hospital mortality was 60.3% (95% CI, 58.0%-62.6%). Dialysis dependence at hospital discharge was 13.8% (95% CI, 11.2%-16.3%) for survivors. Independent risk factors for hospital mortality included use of vasopressors (odds ratio [OR], 1.95; 95% CI, 1.50-2.55; P&lt;.001), mechanical ventilation (OR, 2.11; 95% CI, 1.58-2.82; P&lt;.001), septic shock (OR, 1.36; 95% CI, 1.03-1.79; P = .03), cardiogenic shock (OR, 1.41; 95% CI, 1.05-1.90; P = .02), and hepatorenal syndrome (OR, 1.87; 95% CI, 1.07-3.28; P = .03). CONCLUSION In this multinational study, the period prevalence of ARF requiring RRT in the ICU was between 5% and 6% and was associated with a high hospital mortality rate.","author":[{"dropping-particle":"","family":"Uchino","given":"Shigehiko","non-dropping-particle":"","parse-names":false,"suffix":""},{"dropping-particle":"","family":"Kellum","given":"John A","non-dropping-particle":"","parse-names":false,"suffix":""},{"dropping-particle":"","family":"Bellomo","given":"Rinaldo","non-dropping-particle":"","parse-names":false,"suffix":""},{"dropping-particle":"","family":"Doig","given":"Gordon S","non-dropping-particle":"","parse-names":false,"suffix":""},{"dropping-particle":"","family":"Morimatsu","given":"Hiroshi","non-dropping-particle":"","parse-names":false,"suffix":""},{"dropping-particle":"","family":"Morgera","given":"Stanislao","non-dropping-particle":"","parse-names":false,"suffix":""},{"dropping-particle":"","family":"Schetz","given":"Miet","non-dropping-particle":"","parse-names":false,"suffix":""},{"dropping-particle":"","family":"Tan","given":"Ian","non-dropping-particle":"","parse-names":false,"suffix":""},{"dropping-particle":"","family":"Bouman","given":"Catherine","non-dropping-particle":"","parse-names":false,"suffix":""},{"dropping-particle":"","family":"Macedo","given":"Ettiene","non-dropping-particle":"","parse-names":false,"suffix":""},{"dropping-particle":"","family":"Gibney","given":"Noel","non-dropping-particle":"","parse-names":false,"suffix":""},{"dropping-particle":"","family":"Tolwani","given":"Ashita","non-dropping-particle":"","parse-names":false,"suffix":""},{"dropping-particle":"","family":"Ronco","given":"Claudio","non-dropping-particle":"","parse-names":false,"suffix":""},{"dropping-particle":"","family":"Beginning and Ending Supportive Therapy for the Kidney (BEST Kidney) Investigators","given":"","non-dropping-particle":"","parse-names":false,"suffix":""}],"container-title":"JAMA","id":"ITEM-1","issue":"7","issued":{"date-parts":[["2005","8","17"]]},"page":"813-8","title":"Acute renal failure in critically ill patients: a multinational, multicenter study.","type":"article-journal","volume":"294"},"uris":["http://www.mendeley.com/documents/?uuid=abc0b0d2-43f4-4f6e-9aab-a7e85f3748c8"]}],"mendeley":{"formattedCitation":"&lt;sup&gt;2&lt;/sup&gt;","plainTextFormattedCitation":"2","previouslyFormattedCitation":"&lt;sup&gt;2&lt;/sup&gt;"},"properties":{"noteIndex":0},"schema":"https://github.com/citation-style-language/schema/raw/master/csl-citation.json"}</w:instrText>
      </w:r>
      <w:r w:rsidR="00D67302" w:rsidRPr="00D169C2">
        <w:fldChar w:fldCharType="separate"/>
      </w:r>
      <w:r w:rsidR="002C48C0" w:rsidRPr="00D169C2">
        <w:rPr>
          <w:noProof/>
          <w:vertAlign w:val="superscript"/>
        </w:rPr>
        <w:t>2</w:t>
      </w:r>
      <w:r w:rsidR="00D67302" w:rsidRPr="00D169C2">
        <w:fldChar w:fldCharType="end"/>
      </w:r>
      <w:r w:rsidR="00D67302" w:rsidRPr="00D169C2">
        <w:t xml:space="preserve"> </w:t>
      </w:r>
      <w:r w:rsidR="00D77044" w:rsidRPr="00D169C2">
        <w:rPr>
          <w:rFonts w:cstheme="minorHAnsi"/>
        </w:rPr>
        <w:t xml:space="preserve">Rhabdomyolysis is considered as </w:t>
      </w:r>
      <w:r w:rsidR="00D11B49" w:rsidRPr="00D169C2">
        <w:rPr>
          <w:rFonts w:cstheme="minorHAnsi"/>
        </w:rPr>
        <w:t xml:space="preserve">the </w:t>
      </w:r>
      <w:r w:rsidR="00D77044" w:rsidRPr="00D169C2">
        <w:rPr>
          <w:rFonts w:cstheme="minorHAnsi"/>
        </w:rPr>
        <w:t xml:space="preserve">potential </w:t>
      </w:r>
      <w:r w:rsidR="00D11B49" w:rsidRPr="00D169C2">
        <w:rPr>
          <w:rFonts w:cstheme="minorHAnsi"/>
        </w:rPr>
        <w:t xml:space="preserve">cause of </w:t>
      </w:r>
      <w:r w:rsidR="00D77044" w:rsidRPr="00D169C2">
        <w:t>a</w:t>
      </w:r>
      <w:r w:rsidR="00D77044" w:rsidRPr="00D169C2">
        <w:rPr>
          <w:rFonts w:cstheme="minorHAnsi"/>
        </w:rPr>
        <w:t xml:space="preserve">pproximate 10% of </w:t>
      </w:r>
      <w:r w:rsidR="00AD1360" w:rsidRPr="00D169C2">
        <w:rPr>
          <w:rFonts w:cstheme="minorHAnsi"/>
        </w:rPr>
        <w:t>acute kidney injuries</w:t>
      </w:r>
      <w:r w:rsidR="00D77044" w:rsidRPr="00D169C2">
        <w:rPr>
          <w:rFonts w:cstheme="minorHAnsi"/>
        </w:rPr>
        <w:t>.</w:t>
      </w:r>
      <w:r w:rsidR="00AD1360" w:rsidRPr="00D169C2">
        <w:fldChar w:fldCharType="begin" w:fldLock="1"/>
      </w:r>
      <w:r w:rsidR="00AD1360" w:rsidRPr="00D169C2">
        <w:instrText>ADDIN CSL_CITATION {"citationItems":[{"id":"ITEM-1","itemData":{"DOI":"10.1056/NEJMra0801327","ISSN":"1533-4406","PMID":"19571284","abstract":"Rhabdomyolysis — literally, the dissolution of striped (skeletal) muscle — is characterized by the leakage of muscle-cell contents, including electrolytes, myoglobin, and other sarcoplasmic proteins (e.g., creatine kinase, aldolase, lactate dehydrogenase, alanine aminotransferase, and aspartate aminotransferase) into the circulation. Massive necrosis, which is manifested as limb weakness, myalgia, swelling, and, commonly, gross pigmenturia without hematuria, is the common denominator of both traumatic and nontraumatic rhabdomyolysis.1,2 Acute kidney injury is a potential complication of severe rhabdomyolysis, regardless of whether the rhabdomyolysis is the result of trauma or some other cause, and the prognosis is substantially worse if renal failure develops. . . .","author":[{"dropping-particle":"","family":"Bosch","given":"Xavier","non-dropping-particle":"","parse-names":false,"suffix":""},{"dropping-particle":"","family":"Poch","given":"Esteban","non-dropping-particle":"","parse-names":false,"suffix":""},{"dropping-particle":"","family":"Grau","given":"Josep M","non-dropping-particle":"","parse-names":false,"suffix":""}],"container-title":"The New England journal of medicine","id":"ITEM-1","issue":"1","issued":{"date-parts":[["2009","7","2"]]},"page":"62-72","title":"Rhabdomyolysis and acute kidney injury.","type":"article-journal","volume":"361"},"uris":["http://www.mendeley.com/documents/?uuid=e64885db-945f-459f-9e23-0447af6e495f"]}],"mendeley":{"formattedCitation":"&lt;sup&gt;3&lt;/sup&gt;","plainTextFormattedCitation":"3","previouslyFormattedCitation":"&lt;sup&gt;3&lt;/sup&gt;"},"properties":{"noteIndex":0},"schema":"https://github.com/citation-style-language/schema/raw/master/csl-citation.json"}</w:instrText>
      </w:r>
      <w:r w:rsidR="00AD1360" w:rsidRPr="00D169C2">
        <w:fldChar w:fldCharType="separate"/>
      </w:r>
      <w:r w:rsidR="00AD1360" w:rsidRPr="00D169C2">
        <w:rPr>
          <w:noProof/>
          <w:vertAlign w:val="superscript"/>
        </w:rPr>
        <w:t>3</w:t>
      </w:r>
      <w:r w:rsidR="00AD1360" w:rsidRPr="00D169C2">
        <w:fldChar w:fldCharType="end"/>
      </w:r>
      <w:r w:rsidR="00D77044" w:rsidRPr="00D169C2">
        <w:rPr>
          <w:rFonts w:cstheme="minorHAnsi"/>
        </w:rPr>
        <w:t xml:space="preserve"> </w:t>
      </w:r>
      <w:r w:rsidR="00FC198F" w:rsidRPr="00D169C2">
        <w:rPr>
          <w:rFonts w:cstheme="minorHAnsi"/>
        </w:rPr>
        <w:t>Damage</w:t>
      </w:r>
      <w:r w:rsidR="000438D5" w:rsidRPr="00D169C2">
        <w:rPr>
          <w:rFonts w:cstheme="minorHAnsi"/>
        </w:rPr>
        <w:t>d</w:t>
      </w:r>
      <w:r w:rsidR="00FC198F" w:rsidRPr="00D169C2">
        <w:rPr>
          <w:rFonts w:cstheme="minorHAnsi"/>
        </w:rPr>
        <w:t xml:space="preserve"> skeletal muscle </w:t>
      </w:r>
      <w:r w:rsidR="001667B4" w:rsidRPr="00D169C2">
        <w:rPr>
          <w:rFonts w:cstheme="minorHAnsi"/>
        </w:rPr>
        <w:t>releases</w:t>
      </w:r>
      <w:r w:rsidR="00FC198F" w:rsidRPr="00D169C2">
        <w:rPr>
          <w:rFonts w:cstheme="minorHAnsi"/>
        </w:rPr>
        <w:t xml:space="preserve"> muscle cell contents into the circulation, e.g.</w:t>
      </w:r>
      <w:r w:rsidR="001667B4" w:rsidRPr="00D169C2">
        <w:rPr>
          <w:rFonts w:cstheme="minorHAnsi"/>
        </w:rPr>
        <w:t xml:space="preserve">, </w:t>
      </w:r>
      <w:r w:rsidR="00FC198F" w:rsidRPr="00D169C2">
        <w:rPr>
          <w:rFonts w:cstheme="minorHAnsi"/>
        </w:rPr>
        <w:t>myoglobin and other proteins</w:t>
      </w:r>
      <w:r w:rsidR="001667B4" w:rsidRPr="00D169C2">
        <w:rPr>
          <w:rFonts w:cstheme="minorHAnsi"/>
        </w:rPr>
        <w:t>.</w:t>
      </w:r>
      <w:r w:rsidRPr="00D169C2">
        <w:rPr>
          <w:rFonts w:cstheme="minorHAnsi"/>
        </w:rPr>
        <w:t xml:space="preserve"> </w:t>
      </w:r>
      <w:r w:rsidRPr="00D169C2">
        <w:rPr>
          <w:rFonts w:cstheme="minorHAnsi"/>
        </w:rPr>
        <w:br/>
      </w:r>
      <w:r w:rsidR="00FC198F" w:rsidRPr="00D169C2">
        <w:rPr>
          <w:rFonts w:cstheme="minorHAnsi"/>
        </w:rPr>
        <w:t>Myoglobin is endocytosed</w:t>
      </w:r>
      <w:r w:rsidR="001667B4" w:rsidRPr="00D169C2">
        <w:rPr>
          <w:rFonts w:cstheme="minorHAnsi"/>
        </w:rPr>
        <w:t xml:space="preserve"> </w:t>
      </w:r>
      <w:r w:rsidR="00FC198F" w:rsidRPr="00D169C2">
        <w:rPr>
          <w:rFonts w:cstheme="minorHAnsi"/>
        </w:rPr>
        <w:t>by tubular cells and oxidized, resulting in radical oxygen</w:t>
      </w:r>
      <w:r w:rsidR="001667B4" w:rsidRPr="00D169C2">
        <w:rPr>
          <w:rFonts w:cstheme="minorHAnsi"/>
        </w:rPr>
        <w:t xml:space="preserve"> </w:t>
      </w:r>
      <w:r w:rsidR="00FC198F" w:rsidRPr="00D169C2">
        <w:rPr>
          <w:rFonts w:cstheme="minorHAnsi"/>
        </w:rPr>
        <w:t>species that alter DNA and protein</w:t>
      </w:r>
      <w:r w:rsidR="00E800F2" w:rsidRPr="00D169C2">
        <w:rPr>
          <w:rFonts w:cstheme="minorHAnsi"/>
        </w:rPr>
        <w:t>s</w:t>
      </w:r>
      <w:r w:rsidR="00FC198F" w:rsidRPr="00D169C2">
        <w:rPr>
          <w:rFonts w:cstheme="minorHAnsi"/>
        </w:rPr>
        <w:t>. It activates</w:t>
      </w:r>
      <w:r w:rsidR="001667B4" w:rsidRPr="00D169C2">
        <w:rPr>
          <w:rFonts w:cstheme="minorHAnsi"/>
        </w:rPr>
        <w:t xml:space="preserve"> </w:t>
      </w:r>
      <w:r w:rsidR="00FC198F" w:rsidRPr="00D169C2">
        <w:rPr>
          <w:rFonts w:cstheme="minorHAnsi"/>
        </w:rPr>
        <w:t>an inflammatory response in the kidney and mediates</w:t>
      </w:r>
      <w:r w:rsidR="001667B4" w:rsidRPr="00D169C2">
        <w:rPr>
          <w:rFonts w:cstheme="minorHAnsi"/>
        </w:rPr>
        <w:t xml:space="preserve"> </w:t>
      </w:r>
      <w:r w:rsidR="00FC198F" w:rsidRPr="00D169C2">
        <w:rPr>
          <w:rFonts w:cstheme="minorHAnsi"/>
        </w:rPr>
        <w:t>vasoconstriction, which perpetuate</w:t>
      </w:r>
      <w:r w:rsidR="00E800F2" w:rsidRPr="00D169C2">
        <w:rPr>
          <w:rFonts w:cstheme="minorHAnsi"/>
        </w:rPr>
        <w:t>s</w:t>
      </w:r>
      <w:r w:rsidR="00FC198F" w:rsidRPr="00D169C2">
        <w:rPr>
          <w:rFonts w:cstheme="minorHAnsi"/>
        </w:rPr>
        <w:t xml:space="preserve"> renal damage. Myoglobin</w:t>
      </w:r>
      <w:r w:rsidR="001667B4" w:rsidRPr="00D169C2">
        <w:rPr>
          <w:rFonts w:cstheme="minorHAnsi"/>
        </w:rPr>
        <w:t xml:space="preserve"> </w:t>
      </w:r>
      <w:r w:rsidR="00FC198F" w:rsidRPr="00D169C2">
        <w:rPr>
          <w:rFonts w:cstheme="minorHAnsi"/>
        </w:rPr>
        <w:t>is also filtered by the glomerulus and precipitates</w:t>
      </w:r>
      <w:r w:rsidR="001667B4" w:rsidRPr="00D169C2">
        <w:rPr>
          <w:rFonts w:cstheme="minorHAnsi"/>
        </w:rPr>
        <w:t xml:space="preserve"> </w:t>
      </w:r>
      <w:r w:rsidR="00FC198F" w:rsidRPr="00D169C2">
        <w:rPr>
          <w:rFonts w:cstheme="minorHAnsi"/>
        </w:rPr>
        <w:t>in the renal tubules, particularly in combination with the</w:t>
      </w:r>
      <w:r w:rsidR="001667B4" w:rsidRPr="00D169C2">
        <w:rPr>
          <w:rFonts w:cstheme="minorHAnsi"/>
        </w:rPr>
        <w:t xml:space="preserve"> </w:t>
      </w:r>
      <w:r w:rsidR="00FC198F" w:rsidRPr="00D169C2">
        <w:rPr>
          <w:rFonts w:cstheme="minorHAnsi"/>
        </w:rPr>
        <w:t>Tamm–</w:t>
      </w:r>
      <w:proofErr w:type="spellStart"/>
      <w:r w:rsidR="00FC198F" w:rsidRPr="00D169C2">
        <w:rPr>
          <w:rFonts w:cstheme="minorHAnsi"/>
        </w:rPr>
        <w:t>Horsfall</w:t>
      </w:r>
      <w:proofErr w:type="spellEnd"/>
      <w:r w:rsidR="00FC198F" w:rsidRPr="00D169C2">
        <w:rPr>
          <w:rFonts w:cstheme="minorHAnsi"/>
        </w:rPr>
        <w:t xml:space="preserve"> proteins, forming tubular casts, </w:t>
      </w:r>
      <w:r w:rsidR="001667B4" w:rsidRPr="00D169C2">
        <w:rPr>
          <w:rFonts w:cstheme="minorHAnsi"/>
        </w:rPr>
        <w:t>consequently result in acute tubular obstruction.</w:t>
      </w:r>
      <w:r w:rsidR="001667B4" w:rsidRPr="00D169C2">
        <w:fldChar w:fldCharType="begin" w:fldLock="1"/>
      </w:r>
      <w:r w:rsidR="006A430C" w:rsidRPr="00D169C2">
        <w:instrText>ADDIN CSL_CITATION {"citationItems":[{"id":"ITEM-1","itemData":{"DOI":"10.1159/000368528","ISSN":"14230143","abstract":"Rhabdomyolysis is a syndrome caused by injury to skeletal muscle that usually leads to acute kidney injury (AKI). Rhabdomyolysis has been linked to different conditions, including severe trauma and intense physical exercise. Myoglobin-induced renal toxicity plays a key role in rhabdomyolysis-associated kidney damage by increasing oxidative stress, inflammation, endothelial dysfunction, vasoconstriction, and apoptosis. New drugs that target the harmful effects of myoglobin have been recently developed, and some have been proven to be successful in animal models of acute renal failure secondary to rhabdomyolysis. This review aims to provide a comprehensive and updated overview of the pathological mechanisms of renal damage and describes new therapeutic approaches to this condition based on novel compounds that target key pathways involved in myoglobin-mediated kidney damage.","author":[{"dropping-particle":"","family":"Panizo","given":"Nayara","non-dropping-particle":"","parse-names":false,"suffix":""},{"dropping-particle":"","family":"Rubio-Navarro","given":"Alfonso","non-dropping-particle":"","parse-names":false,"suffix":""},{"dropping-particle":"","family":"Amaro-Villalobos","given":"Juan Manuel","non-dropping-particle":"","parse-names":false,"suffix":""},{"dropping-particle":"","family":"Egido","given":"Jesús","non-dropping-particle":"","parse-names":false,"suffix":""},{"dropping-particle":"","family":"Moreno","given":"Juan Antonio","non-dropping-particle":"","parse-names":false,"suffix":""}],"container-title":"Kidney and Blood Pressure Research","id":"ITEM-1","issue":"5","issued":{"date-parts":[["2015"]]},"page":"520-532","title":"Molecular mechanisms and novel therapeutic approaches to rhabdomyolysis-induced acute kidney injury","type":"article-journal","volume":"40"},"uris":["http://www.mendeley.com/documents/?uuid=241552bc-1014-4f75-a0bd-8d62f5087881"]},{"id":"ITEM-2","itemData":{"DOI":"10.1056/NEJMra0801327","ISSN":"1533-4406","PMID":"19571284","abstract":"Rhabdomyolysis — literally, the dissolution of striped (skeletal) muscle — is characterized by the leakage of muscle-cell contents, including electrolytes, myoglobin, and other sarcoplasmic proteins (e.g., creatine kinase, aldolase, lactate dehydrogenase, alanine aminotransferase, and aspartate aminotransferase) into the circulation. Massive necrosis, which is manifested as limb weakness, myalgia, swelling, and, commonly, gross pigmenturia without hematuria, is the common denominator of both traumatic and nontraumatic rhabdomyolysis.1,2 Acute kidney injury is a potential complication of severe rhabdomyolysis, regardless of whether the rhabdomyolysis is the result of trauma or some other cause, and the prognosis is substantially worse if renal failure develops. . . .","author":[{"dropping-particle":"","family":"Bosch","given":"Xavier","non-dropping-particle":"","parse-names":false,"suffix":""},{"dropping-particle":"","family":"Poch","given":"Esteban","non-dropping-particle":"","parse-names":false,"suffix":""},{"dropping-particle":"","family":"Grau","given":"Josep M","non-dropping-particle":"","parse-names":false,"suffix":""}],"container-title":"The New England journal of medicine","id":"ITEM-2","issue":"1","issued":{"date-parts":[["2009","7","2"]]},"page":"62-72","title":"Rhabdomyolysis and acute kidney injury.","type":"article-journal","volume":"361"},"uris":["http://www.mendeley.com/documents/?uuid=e64885db-945f-459f-9e23-0447af6e495f"]}],"mendeley":{"formattedCitation":"&lt;sup&gt;3,4&lt;/sup&gt;","plainTextFormattedCitation":"3,4","previouslyFormattedCitation":"&lt;sup&gt;3,4&lt;/sup&gt;"},"properties":{"noteIndex":0},"schema":"https://github.com/citation-style-language/schema/raw/master/csl-citation.json"}</w:instrText>
      </w:r>
      <w:r w:rsidR="001667B4" w:rsidRPr="00D169C2">
        <w:fldChar w:fldCharType="separate"/>
      </w:r>
      <w:r w:rsidR="006A430C" w:rsidRPr="00D169C2">
        <w:rPr>
          <w:noProof/>
          <w:vertAlign w:val="superscript"/>
        </w:rPr>
        <w:t>3,4</w:t>
      </w:r>
      <w:r w:rsidR="001667B4" w:rsidRPr="00D169C2">
        <w:fldChar w:fldCharType="end"/>
      </w:r>
      <w:r w:rsidRPr="00D169C2">
        <w:rPr>
          <w:rFonts w:cstheme="minorHAnsi"/>
        </w:rPr>
        <w:t xml:space="preserve"> </w:t>
      </w:r>
    </w:p>
    <w:p w14:paraId="305B46FF" w14:textId="1A342A46" w:rsidR="003F2163" w:rsidRPr="00D169C2" w:rsidRDefault="003F2163" w:rsidP="005620CA">
      <w:pPr>
        <w:widowControl w:val="0"/>
        <w:autoSpaceDE w:val="0"/>
        <w:autoSpaceDN w:val="0"/>
        <w:adjustRightInd w:val="0"/>
        <w:spacing w:before="0" w:after="0" w:line="240" w:lineRule="auto"/>
      </w:pPr>
      <w:r w:rsidRPr="00D169C2">
        <w:rPr>
          <w:rFonts w:cstheme="minorHAnsi"/>
        </w:rPr>
        <w:br/>
      </w:r>
      <w:r w:rsidR="0058024C" w:rsidRPr="00D169C2">
        <w:t>There is no uniform definition of rhabdomyolysis. Most studies define muscle cell damage on the basis of elevated creatinine kinase (CK)</w:t>
      </w:r>
      <w:r w:rsidR="00D67302" w:rsidRPr="00D169C2">
        <w:t>.</w:t>
      </w:r>
      <w:r w:rsidR="00D67302" w:rsidRPr="00D169C2">
        <w:fldChar w:fldCharType="begin" w:fldLock="1"/>
      </w:r>
      <w:r w:rsidR="006A430C" w:rsidRPr="00D169C2">
        <w:instrText>ADDIN CSL_CITATION {"citationItems":[{"id":"ITEM-1","itemData":{"DOI":"10.1186/s13054-016-1314-5","ISSN":"1466-609X","PMID":"27301374","abstract":"BACKGROUND Rhabdomyolysis is a clinical syndrome that comprises destruction of skeletal muscle with outflow of intracellular muscle content into the bloodstream. There is a great heterogeneity in the literature regarding definition, epidemiology, and treatment. The aim of this systematic literature review was to summarize the current state of knowledge regarding the epidemiologic data, definition, and management of rhabdomyolysis. METHODS A systematic search was conducted using the keywords \"rhabdomyolysis\" and \"crush syndrome\" covering all articles from January 2006 to December 2015 in three databases (MEDLINE, SCOPUS, and ScienceDirect). The search was divided into two steps: first, all articles that included data regarding definition, pathophysiology, and diagnosis were identified, excluding only case reports; then articles of original research with humans that reported epidemiological data (e.g., risk factors, common etiologies, and mortality) or treatment of rhabdomyolysis were identified. Information was summarized and organized based on these topics. RESULTS The search generated 5632 articles. After screening titles and abstracts, 164 articles were retrieved and read: 56 articles met the final inclusion criteria; 23 were reviews (narrative or systematic); 16 were original articles containing epidemiological data; and six contained treatment specifications for patients with rhabdomyolysis. CONCLUSION Most studies defined rhabdomyolysis based on creatine kinase values five times above the upper limit of normal. Etiologies differ among the adult and pediatric populations and no randomized controlled trials have been done to compare intravenous fluid therapy alone versus intravenous fluid therapy with bicarbonate and/or mannitol.","author":[{"dropping-particle":"","family":"Chavez","given":"Luis O.","non-dropping-particle":"","parse-names":false,"suffix":""},{"dropping-particle":"","family":"Leon","given":"Monica","non-dropping-particle":"","parse-names":false,"suffix":""},{"dropping-particle":"","family":"Einav","given":"Sharon","non-dropping-particle":"","parse-names":false,"suffix":""},{"dropping-particle":"","family":"Varon","given":"Joseph","non-dropping-particle":"","parse-names":false,"suffix":""}],"container-title":"Critical care (London, England)","id":"ITEM-1","issue":"1","issued":{"date-parts":[["2016","6","15"]]},"page":"135","publisher":"Critical Care","title":"Beyond muscle destruction: a systematic review of rhabdomyolysis for clinical practice.","type":"article-journal","volume":"20"},"uris":["http://www.mendeley.com/documents/?uuid=2604cb0c-5482-4e0a-8a54-aec32bdd0e2c"]}],"mendeley":{"formattedCitation":"&lt;sup&gt;5&lt;/sup&gt;","plainTextFormattedCitation":"5","previouslyFormattedCitation":"&lt;sup&gt;5&lt;/sup&gt;"},"properties":{"noteIndex":0},"schema":"https://github.com/citation-style-language/schema/raw/master/csl-citation.json"}</w:instrText>
      </w:r>
      <w:r w:rsidR="00D67302" w:rsidRPr="00D169C2">
        <w:fldChar w:fldCharType="separate"/>
      </w:r>
      <w:r w:rsidR="0097432E" w:rsidRPr="00D169C2">
        <w:rPr>
          <w:noProof/>
          <w:vertAlign w:val="superscript"/>
        </w:rPr>
        <w:t>5</w:t>
      </w:r>
      <w:r w:rsidR="00D67302" w:rsidRPr="00D169C2">
        <w:fldChar w:fldCharType="end"/>
      </w:r>
      <w:r w:rsidR="00D67302" w:rsidRPr="00D169C2">
        <w:t xml:space="preserve"> </w:t>
      </w:r>
      <w:r w:rsidR="0058024C" w:rsidRPr="00D169C2">
        <w:t>Recent data imply that myoglobin might be a better parameter, because it predicts development of AKI in these cases.</w:t>
      </w:r>
      <w:r w:rsidR="00D67302" w:rsidRPr="00D169C2">
        <w:fldChar w:fldCharType="begin" w:fldLock="1"/>
      </w:r>
      <w:r w:rsidR="006A430C" w:rsidRPr="00D169C2">
        <w:instrText>ADDIN CSL_CITATION {"citationItems":[{"id":"ITEM-1","itemData":{"DOI":"10.1186/2110-5820-3-8","ISSN":"21105820","PMID":"23497406","abstract":"Background: Because neither the incidence and risk factors for rhabdomyolysis in the ICU nor the dynamics of its main complication, i.e., rhabdomyolysis-induced acute kidney injury (AKI) are well known, we retrospectively studied a large population of adult ICU patients (n = 1,769). Methods: CK and sMb (serum myoglobin) and uMb (urinary myoglobin) were studied as markers of rhabdomyolysis and AKI (RIFLE criteria). Hemodialysis and mortality were used as outcome variables. Results: Prolonged surgery, trauma, and vascular occlusions are associated with increasing CK values. CK correlates with sMb (p &lt; 0.001) and peaks significantly later than sMb or uMb. The logistic regression showed a positive correlation between CK and the development of AKI, with an OR of 2.21. Univariate logistic regression suggests that elevations of sMb and uMb are associated with the development of AKI, with odds ratios of 7.87 and 1.61 respectively. The ROC curve showed that for all three markers a significant correlation with AKI, for sMb with the greatest area under the curve. The best cutoff values for prediction of AKI were CK&gt; 773 U/l; sMb &gt; 368 μg/l and uMb &gt; 38 μg/l respectively. Conclusions: Because it also has extrarenal elimination kinetics, our data suggest that measuring myoglobin in patients at risk for rhabdomyolysis in the ICU may be useful. © 2013 El-Abdellati et al.; licensee Springer.","author":[{"dropping-particle":"","family":"El-Abdellati","given":"Esmael","non-dropping-particle":"","parse-names":false,"suffix":""},{"dropping-particle":"","family":"Eyselbergs","given":"Michiel","non-dropping-particle":"","parse-names":false,"suffix":""},{"dropping-particle":"","family":"Sirimsi","given":"Halil","non-dropping-particle":"","parse-names":false,"suffix":""},{"dropping-particle":"","family":"Hoof","given":"Viviane","non-dropping-particle":"van","parse-names":false,"suffix":""},{"dropping-particle":"","family":"Wouters","given":"Kristien","non-dropping-particle":"","parse-names":false,"suffix":""},{"dropping-particle":"","family":"Verbrugghe","given":"Walter","non-dropping-particle":"","parse-names":false,"suffix":""},{"dropping-particle":"","family":"Jorens","given":"Philippe G.","non-dropping-particle":"","parse-names":false,"suffix":""}],"container-title":"Annals of Intensive Care","id":"ITEM-1","issue":"1","issued":{"date-parts":[["2013"]]},"page":"1-8","publisher":"Annals of Intensive Care","title":"An observational study on rhabdomyolysis in the intensive care unit. exploring its risk factors and main complication: Acute kidney injury","type":"article-journal","volume":"3"},"uris":["http://www.mendeley.com/documents/?uuid=e78273d3-1d2e-4274-b7f6-fd02e6083584"]}],"mendeley":{"formattedCitation":"&lt;sup&gt;6&lt;/sup&gt;","plainTextFormattedCitation":"6","previouslyFormattedCitation":"&lt;sup&gt;6&lt;/sup&gt;"},"properties":{"noteIndex":0},"schema":"https://github.com/citation-style-language/schema/raw/master/csl-citation.json"}</w:instrText>
      </w:r>
      <w:r w:rsidR="00D67302" w:rsidRPr="00D169C2">
        <w:fldChar w:fldCharType="separate"/>
      </w:r>
      <w:r w:rsidR="0097432E" w:rsidRPr="00D169C2">
        <w:rPr>
          <w:noProof/>
          <w:vertAlign w:val="superscript"/>
        </w:rPr>
        <w:t>6</w:t>
      </w:r>
      <w:r w:rsidR="00D67302" w:rsidRPr="00D169C2">
        <w:fldChar w:fldCharType="end"/>
      </w:r>
      <w:r w:rsidR="00D67302" w:rsidRPr="00D169C2">
        <w:t xml:space="preserve"> </w:t>
      </w:r>
      <w:r w:rsidR="0097432E" w:rsidRPr="00D169C2">
        <w:t>A peak value of myoglobin &gt;3865 µg/l is considered to be a good predictor for AKI.</w:t>
      </w:r>
      <w:r w:rsidR="0097432E" w:rsidRPr="00D169C2">
        <w:fldChar w:fldCharType="begin" w:fldLock="1"/>
      </w:r>
      <w:r w:rsidR="006A430C" w:rsidRPr="00D169C2">
        <w:instrText>ADDIN CSL_CITATION {"citationItems":[{"id":"ITEM-1","itemData":{"DOI":"10.1016/j.jcrc.2010.04.002","ISSN":"08839441","abstract":"Purpose: Acute renal failure (ARF) is the most important complication of rhabdomyolysis. Serial measurements of blood myoglobin might be useful for predicting rhabdomyolysis-induced ARF. Methods: Thirty patients with rhabdomyolysis were examined. The causes of rhabdomyolysis were trauma, burns, and ischemia, among others. Serial blood myoglobin levels were measured by immunochromatography, and the peak value was determined. The relationship between blood myoglobin levels and the incidence of ARF was evaluated. Results: The median peak blood myoglobin level was 3335 ng/mL. Acute renal failure occurred in 12 patients (40%). Nine patients (30%) underwent renal replacement therapy. Peak creatine kinase and peak blood myoglobin levels in the ARF group were significantly higher than those in the non-ARF group. Three patients in the ARF group were treated with renal replacement therapy before occurrence of uremia because of extremely high levels of blood myoglobin (&gt;10 000 ng/mL). Receiver operating characteristic analysis showed that the area under the curve for blood myoglobin that predicted ARF was 0.88, and the best cutoff value for blood myoglobin was 3865 ng/mL. Conclusions: The peak value for blood myoglobin might be a good predictor of rhabdomyolysis-induced ARF. Early renal protective therapies should be considered for patients with rhabdomyolysis at high risk of ARF. © 2010 Elsevier Inc.","author":[{"dropping-particle":"","family":"Kasaoka","given":"Shunji","non-dropping-particle":"","parse-names":false,"suffix":""},{"dropping-particle":"","family":"Todani","given":"Masaki","non-dropping-particle":"","parse-names":false,"suffix":""},{"dropping-particle":"","family":"Kaneko","given":"Tadashi","non-dropping-particle":"","parse-names":false,"suffix":""},{"dropping-particle":"","family":"Kawamura","given":"Yoshikatsu","non-dropping-particle":"","parse-names":false,"suffix":""},{"dropping-particle":"","family":"Oda","given":"Yasutaka","non-dropping-particle":"","parse-names":false,"suffix":""},{"dropping-particle":"","family":"Tsuruta","given":"Ryosuke","non-dropping-particle":"","parse-names":false,"suffix":""},{"dropping-particle":"","family":"Maekawa","given":"Tsuyoshi","non-dropping-particle":"","parse-names":false,"suffix":""}],"container-title":"Journal of Critical Care","id":"ITEM-1","issue":"4","issued":{"date-parts":[["2010","12"]]},"page":"601-604","publisher":"Elsevier Inc.","title":"Peak value of blood myoglobin predicts acute renal failure induced by rhabdomyolysis","type":"article-journal","volume":"25"},"uris":["http://www.mendeley.com/documents/?uuid=f1501633-b4fc-4722-85bd-b320b6367656"]}],"mendeley":{"formattedCitation":"&lt;sup&gt;7&lt;/sup&gt;","plainTextFormattedCitation":"7","previouslyFormattedCitation":"&lt;sup&gt;7&lt;/sup&gt;"},"properties":{"noteIndex":0},"schema":"https://github.com/citation-style-language/schema/raw/master/csl-citation.json"}</w:instrText>
      </w:r>
      <w:r w:rsidR="0097432E" w:rsidRPr="00D169C2">
        <w:fldChar w:fldCharType="separate"/>
      </w:r>
      <w:r w:rsidR="0097432E" w:rsidRPr="00D169C2">
        <w:rPr>
          <w:noProof/>
          <w:vertAlign w:val="superscript"/>
        </w:rPr>
        <w:t>7</w:t>
      </w:r>
      <w:r w:rsidR="0097432E" w:rsidRPr="00D169C2">
        <w:fldChar w:fldCharType="end"/>
      </w:r>
    </w:p>
    <w:p w14:paraId="21700D84" w14:textId="77777777" w:rsidR="003F2163" w:rsidRPr="00D169C2" w:rsidRDefault="003F2163" w:rsidP="005620CA">
      <w:pPr>
        <w:widowControl w:val="0"/>
        <w:autoSpaceDE w:val="0"/>
        <w:autoSpaceDN w:val="0"/>
        <w:adjustRightInd w:val="0"/>
        <w:spacing w:before="0" w:after="0" w:line="240" w:lineRule="auto"/>
      </w:pPr>
    </w:p>
    <w:p w14:paraId="248E810D" w14:textId="7C966BF1" w:rsidR="003F2163" w:rsidRPr="00D169C2" w:rsidRDefault="006A430C" w:rsidP="005620CA">
      <w:pPr>
        <w:widowControl w:val="0"/>
        <w:autoSpaceDE w:val="0"/>
        <w:autoSpaceDN w:val="0"/>
        <w:adjustRightInd w:val="0"/>
        <w:spacing w:before="0" w:after="0" w:line="240" w:lineRule="auto"/>
      </w:pPr>
      <w:r w:rsidRPr="00D169C2">
        <w:rPr>
          <w:rFonts w:cstheme="minorHAnsi"/>
        </w:rPr>
        <w:t>Fast elimination of myoglobin seems essential due to its direct toxic renal effects,</w:t>
      </w:r>
      <w:r w:rsidRPr="00D169C2">
        <w:rPr>
          <w:rFonts w:cstheme="minorHAnsi"/>
          <w:caps/>
          <w:color w:val="1F3763" w:themeColor="accent1" w:themeShade="7F"/>
          <w:spacing w:val="15"/>
          <w:sz w:val="22"/>
          <w:szCs w:val="22"/>
        </w:rPr>
        <w:fldChar w:fldCharType="begin" w:fldLock="1"/>
      </w:r>
      <w:r w:rsidRPr="00D169C2">
        <w:rPr>
          <w:rFonts w:cstheme="minorHAnsi"/>
        </w:rPr>
        <w:instrText>ADDIN CSL_CITATION {"citationItems":[{"id":"ITEM-1","itemData":{"DOI":"10.1159/000368528","ISSN":"14230143","abstract":"Rhabdomyolysis is a syndrome caused by injury to skeletal muscle that usually leads to acute kidney injury (AKI). Rhabdomyolysis has been linked to different conditions, including severe trauma and intense physical exercise. Myoglobin-induced renal toxicity plays a key role in rhabdomyolysis-associated kidney damage by increasing oxidative stress, inflammation, endothelial dysfunction, vasoconstriction, and apoptosis. New drugs that target the harmful effects of myoglobin have been recently developed, and some have been proven to be successful in animal models of acute renal failure secondary to rhabdomyolysis. This review aims to provide a comprehensive and updated overview of the pathological mechanisms of renal damage and describes new therapeutic approaches to this condition based on novel compounds that target key pathways involved in myoglobin-mediated kidney damage.","author":[{"dropping-particle":"","family":"Panizo","given":"Nayara","non-dropping-particle":"","parse-names":false,"suffix":""},{"dropping-particle":"","family":"Rubio-Navarro","given":"Alfonso","non-dropping-particle":"","parse-names":false,"suffix":""},{"dropping-particle":"","family":"Amaro-Villalobos","given":"Juan Manuel","non-dropping-particle":"","parse-names":false,"suffix":""},{"dropping-particle":"","family":"Egido","given":"Jesús","non-dropping-particle":"","parse-names":false,"suffix":""},{"dropping-particle":"","family":"Moreno","given":"Juan Antonio","non-dropping-particle":"","parse-names":false,"suffix":""}],"container-title":"Kidney and Blood Pressure Research","id":"ITEM-1","issue":"5","issued":{"date-parts":[["2015"]]},"page":"520-532","title":"Molecular mechanisms and novel therapeutic approaches to rhabdomyolysis-induced acute kidney injury","type":"article-journal","volume":"40"},"uris":["http://www.mendeley.com/documents/?uuid=241552bc-1014-4f75-a0bd-8d62f5087881"]}],"mendeley":{"formattedCitation":"&lt;sup&gt;4&lt;/sup&gt;","plainTextFormattedCitation":"4","previouslyFormattedCitation":"&lt;sup&gt;4&lt;/sup&gt;"},"properties":{"noteIndex":0},"schema":"https://github.com/citation-style-language/schema/raw/master/csl-citation.json"}</w:instrText>
      </w:r>
      <w:r w:rsidRPr="00D169C2">
        <w:rPr>
          <w:rFonts w:cstheme="minorHAnsi"/>
          <w:caps/>
          <w:color w:val="1F3763" w:themeColor="accent1" w:themeShade="7F"/>
          <w:spacing w:val="15"/>
          <w:sz w:val="22"/>
          <w:szCs w:val="22"/>
        </w:rPr>
        <w:fldChar w:fldCharType="separate"/>
      </w:r>
      <w:r w:rsidRPr="00D169C2">
        <w:rPr>
          <w:rFonts w:cstheme="minorHAnsi"/>
          <w:noProof/>
          <w:vertAlign w:val="superscript"/>
        </w:rPr>
        <w:t>4</w:t>
      </w:r>
      <w:r w:rsidRPr="00D169C2">
        <w:rPr>
          <w:rFonts w:cstheme="minorHAnsi"/>
          <w:caps/>
          <w:color w:val="1F3763" w:themeColor="accent1" w:themeShade="7F"/>
          <w:spacing w:val="15"/>
          <w:sz w:val="22"/>
          <w:szCs w:val="22"/>
        </w:rPr>
        <w:fldChar w:fldCharType="end"/>
      </w:r>
      <w:r w:rsidRPr="00D169C2">
        <w:rPr>
          <w:rFonts w:cstheme="minorHAnsi"/>
        </w:rPr>
        <w:t xml:space="preserve"> however clinical data are limited </w:t>
      </w:r>
      <w:r w:rsidR="007B478F" w:rsidRPr="00D169C2">
        <w:rPr>
          <w:rFonts w:cstheme="minorHAnsi"/>
        </w:rPr>
        <w:t>referring</w:t>
      </w:r>
      <w:r w:rsidRPr="00D169C2">
        <w:rPr>
          <w:rFonts w:cstheme="minorHAnsi"/>
        </w:rPr>
        <w:t xml:space="preserve"> efficacy of RRT in rhabdomyolysis. </w:t>
      </w:r>
      <w:r w:rsidR="00C87931" w:rsidRPr="00D169C2">
        <w:t xml:space="preserve">Diffusion based hemodialysis is </w:t>
      </w:r>
      <w:r w:rsidR="00E800F2" w:rsidRPr="00D169C2">
        <w:t xml:space="preserve">usually </w:t>
      </w:r>
      <w:r w:rsidR="00C87931" w:rsidRPr="00D169C2">
        <w:t xml:space="preserve">not able to eliminate uremic molecules with middle molecule weight, for example myoglobin (17 </w:t>
      </w:r>
      <w:proofErr w:type="spellStart"/>
      <w:r w:rsidR="00C87931" w:rsidRPr="00D169C2">
        <w:t>kDa</w:t>
      </w:r>
      <w:proofErr w:type="spellEnd"/>
      <w:r w:rsidR="00C87931" w:rsidRPr="00D169C2">
        <w:t xml:space="preserve">). Elimination of them is feasible by convective transport (hemofiltration). On this account application of continuous </w:t>
      </w:r>
      <w:proofErr w:type="spellStart"/>
      <w:r w:rsidR="00C87931" w:rsidRPr="00D169C2">
        <w:t>veno</w:t>
      </w:r>
      <w:proofErr w:type="spellEnd"/>
      <w:r w:rsidR="00C87931" w:rsidRPr="00D169C2">
        <w:t>-venous hemofiltration (CVVH) is recommended in patients with AKI and rhabdomyolysis.</w:t>
      </w:r>
      <w:r w:rsidR="00C87931" w:rsidRPr="00D169C2">
        <w:rPr>
          <w:color w:val="1F3763" w:themeColor="accent1" w:themeShade="7F"/>
          <w:spacing w:val="15"/>
          <w:sz w:val="22"/>
          <w:szCs w:val="22"/>
        </w:rPr>
        <w:fldChar w:fldCharType="begin" w:fldLock="1"/>
      </w:r>
      <w:r w:rsidR="00AF2000" w:rsidRPr="00D169C2">
        <w:instrText>ADDIN CSL_CITATION {"citationItems":[{"id":"ITEM-1","itemData":{"DOI":"10.1007/s001340051031","ISSN":"0342-4642","PMID":"10551978","abstract":"Myoglobin has a relatively high molecular weight of 17,000 Da and is poorly cleared by dialysis (diffusion). However, elimination of myoglobin might be enhanced by an epuration modality based on convection for solute clearances. We present a single case of myoglobin-induced renal failure (peak creatine kinase level: 313,500 IU/l) treated by continuous venovenous hemofiltration (CVVH). Our purpose was to evaluate the efficiency of such a modality using an ultrafiltration rate of 2 to 3 l/h for myoglobin removal and clearance. The hemofilter was a 0.9 m(2) polyacrylonitrile (AN69) membrane Multiflow-100 (Hospal-Gambro, St-Leonard, Canada) and the blood flow rate was maintained at 150 ml/min by an AK-10 pump (Hospal-Gambro, St-Leonard, Canada). The ultrafiltration bag was placed 60 cm below the hemofilter and was free of pump control or suction device. Serum myoglobin concentration was 92,000 microg/l at CVVH initiation and dropped to 28,600 microg/l after 18 h of the continuous modality. The mean sieving coefficient for myoglobin was 0.6 during the first 9 h of therapy and this decreased to 0.4 during the following 7 h. Mean clearance of myoglobin was 22 ml/min, decreasing to 14 ml/min during corresponding periods, while the mean ultrafiltration rates were relatively stable at 2,153 +/- 148 ml/h and 2,074 +/- 85 ml/h, respectively. In contrast to myoglobin, the sieving coefficeint for urea, creatinine, and phosphorus remained stable at 1.0 during the first 16 h of CVVH. More than 700 mg of myoglobin were removed by CVVH during the entire treatment. In conclusion, considerable amounts of myoglobin can be removed by an extracorporeal modality allowing important convective fluxes and middle molecule clearances, such as CVVH at a rate of 2 to 3 l/h using an AN69 hemofilter. If myoglobin clearance had been maintained at 22 ml/min, 32 l of serum would have been cleared per day. However, the sieving coefficient of myoglobin decreased over time, probably as a consequence of protein coating and/or blood clotting of the hemofilter. Whereas myoglobin can be removed by CVVH, it remains unknown at this point if such a modality, applied early, can alter or shorten the course of myoglobinuric acute renal failure.","author":[{"dropping-particle":"","family":"Amyot","given":"S. L.","non-dropping-particle":"","parse-names":false,"suffix":""},{"dropping-particle":"","family":"Leblanc","given":"M.","non-dropping-particle":"","parse-names":false,"suffix":""},{"dropping-particle":"","family":"Thibeault","given":"Y.","non-dropping-particle":"","parse-names":false,"suffix":""},{"dropping-particle":"","family":"Geadah","given":"D.","non-dropping-particle":"","parse-names":false,"suffix":""},{"dropping-particle":"","family":"Cardinal","given":"J.","non-dropping-particle":"","parse-names":false,"suffix":""}],"container-title":"Intensive care medicine","id":"ITEM-1","issue":"10","issued":{"date-parts":[["1999","10"]]},"page":"1169-72","title":"Myoglobin clearance and removal during continuous venovenous hemofiltration.","type":"article-journal","volume":"25"},"uris":["http://www.mendeley.com/documents/?uuid=9f6ba246-c744-4fd1-9809-f8db3a14458c"]},{"id":"ITEM-2","itemData":{"DOI":"10.1016/j.injury.2010.08.031","ISSN":"00201383","abstract":"Background: Clearance of circulating myoglobin is a critical measure to prevent further damage in patients with rhabdomyolysis (RM) and acute kidney injury (AKI). Continuous venous-venous haemofiltration has emerged to be a novel approach for this purpose. The objective of present study is to evaluate the efficacy and safety of CVVH in myoglobin clearance for patients with RM complicated with AKI. Method: We prospectively analysed 15 patients with acute RM and AKI due to crush syndrome (n = 7), bee stings (n = 5), polymyositis (n = 2) and heroin poisoning (n = 1). All of them presented oliguria with high serum myoglobin and creatine kinase concentration. They were treated by CVVH for at least 48 h until the conditions turned to be stable, then replaced by intermittent renal replacement therapy (intermittent haemofiltration or haemodialysis). Meanwhile intravascular volume expansion, urinary alkalinisation, and forced diuresis were administered. During the procedure, serum and effluent concentrations of myoglobin and creatinine were measured simultaneously at 2, 6, 12 and 24 h. Result: The mean sieving coefficients for myoglobin were 0.28 ± 0.06, 0.21 ± 0.06, 0.15 ± 0.02 and 0.11 ± 0.02 during 2, 6, 12 and 24 h of CVVH intervention, whilst mean clearance of myoglobin was 14.3 ± 3.1 ml/min during 2 h and reduced to 11.5 ± 3.2, 7.5 ± 0.9, 5.6 ± 1.0 ml/min during 6, 12 and 24 h. In contrast to myoglobin, the sieving coefficient for creatinine remained stable at 0.95 ± 0.25, 1.02 ± 0.12, 0.89 ± 0.32, 0.98 ± 0.27 during 24 h of CVVH. In all of the 15 patients, serum myoglobin and creatine kinase were dramatically decreased in 24 h (-56.2 and -32.1%), 3 days (-72.9 and -50.3%) and in 7 days (-97.6 and -96.7%). Seven patients (46.7%) complicated with hypophosphatemia during CVVH intervention improved in natural course after the cessation of CVVH. After 16 ± 12 days, all of 15 patients came to polyuria stage and finally, discharged with normal renal function after 31 ± 15 days. Conclusion: Our study showed CVVH can be employed to clear myoglobin effectively in patients with RM and AKI and presented oliguria. This indicate that CVVH would be better than other modes of renal replement treatment in acute RM with AKI because of the additional benefit of myoglobin removal, but large sample randomised controlled trials are still required to confirm it. © 2010 Elsevier Ltd. All rights reserved.","author":[{"dropping-particle":"","family":"Zhang","given":"Ling","non-dropping-particle":"","parse-names":false,"suffix":""},{"dropping-particle":"","family":"Kang","given":"Yan","non-dropping-particle":"","parse-names":false,"suffix":""},{"dropping-particle":"","family":"Fu","given":"Ping","non-dropping-particle":"","parse-names":false,"suffix":""},{"dropping-particle":"","family":"Cao","given":"Yu","non-dropping-particle":"","parse-names":false,"suffix":""},{"dropping-particle":"","family":"Shi","given":"Yunying","non-dropping-particle":"","parse-names":false,"suffix":""},{"dropping-particle":"","family":"Liu","given":"Fang","non-dropping-particle":"","parse-names":false,"suffix":""},{"dropping-particle":"","family":"Hu","given":"Zhangxue","non-dropping-particle":"","parse-names":false,"suffix":""},{"dropping-particle":"","family":"Su","given":"Baihai","non-dropping-particle":"","parse-names":false,"suffix":""},{"dropping-particle":"","family":"Tang","given":"Wanxin","non-dropping-particle":"","parse-names":false,"suffix":""},{"dropping-particle":"","family":"Qin","given":"Wei","non-dropping-particle":"","parse-names":false,"suffix":""}],"container-title":"Injury","id":"ITEM-2","issue":"5","issued":{"date-parts":[["2012","5"]]},"page":"619-623","publisher":"Elsevier Ltd","title":"Myoglobin clearance by continuous venous-venous haemofiltration in rhabdomyolysis with acute kidney injury: A case series","type":"article-journal","volume":"43"},"uris":["http://www.mendeley.com/documents/?uuid=5b4d7f31-ba76-40b5-9990-aa7fda461e90"]}],"mendeley":{"formattedCitation":"&lt;sup&gt;8,9&lt;/sup&gt;","plainTextFormattedCitation":"8,9","previouslyFormattedCitation":"&lt;sup&gt;8,9&lt;/sup&gt;"},"properties":{"noteIndex":0},"schema":"https://github.com/citation-style-language/schema/raw/master/csl-citation.json"}</w:instrText>
      </w:r>
      <w:r w:rsidR="00C87931" w:rsidRPr="00D169C2">
        <w:rPr>
          <w:color w:val="1F3763" w:themeColor="accent1" w:themeShade="7F"/>
          <w:spacing w:val="15"/>
          <w:sz w:val="22"/>
          <w:szCs w:val="22"/>
        </w:rPr>
        <w:fldChar w:fldCharType="separate"/>
      </w:r>
      <w:r w:rsidR="00C87931" w:rsidRPr="00D169C2">
        <w:rPr>
          <w:noProof/>
          <w:color w:val="1F3763" w:themeColor="accent1" w:themeShade="7F"/>
          <w:spacing w:val="15"/>
          <w:sz w:val="22"/>
          <w:szCs w:val="22"/>
          <w:vertAlign w:val="superscript"/>
        </w:rPr>
        <w:t>8,9</w:t>
      </w:r>
      <w:r w:rsidR="00C87931" w:rsidRPr="00D169C2">
        <w:rPr>
          <w:color w:val="1F3763" w:themeColor="accent1" w:themeShade="7F"/>
          <w:spacing w:val="15"/>
          <w:sz w:val="22"/>
          <w:szCs w:val="22"/>
        </w:rPr>
        <w:fldChar w:fldCharType="end"/>
      </w:r>
      <w:r w:rsidR="00C87931" w:rsidRPr="00D169C2">
        <w:t xml:space="preserve"> </w:t>
      </w:r>
      <w:r w:rsidR="006D0DD3" w:rsidRPr="00D169C2">
        <w:t xml:space="preserve">A </w:t>
      </w:r>
      <w:r w:rsidR="00095CCC" w:rsidRPr="00D169C2">
        <w:t>C</w:t>
      </w:r>
      <w:r w:rsidR="006D0DD3" w:rsidRPr="00D169C2">
        <w:t xml:space="preserve">ochrane analysis </w:t>
      </w:r>
      <w:proofErr w:type="gramStart"/>
      <w:r w:rsidR="00D937C7" w:rsidRPr="00D169C2">
        <w:t xml:space="preserve">concerning  </w:t>
      </w:r>
      <w:r w:rsidR="006D0DD3" w:rsidRPr="00D169C2">
        <w:t>this</w:t>
      </w:r>
      <w:proofErr w:type="gramEnd"/>
      <w:r w:rsidR="006D0DD3" w:rsidRPr="00D169C2">
        <w:t xml:space="preserve"> issue reviews only three Chinese studies with in total 101 patients. It compares continuous renal replacement therapy (CRRT) by CVVH with conventional therapy by intermittent hemodialysis as appropriate.</w:t>
      </w:r>
      <w:r w:rsidR="003F2163" w:rsidRPr="00D169C2">
        <w:t xml:space="preserve"> In this study</w:t>
      </w:r>
      <w:r w:rsidR="00095CCC" w:rsidRPr="00D169C2">
        <w:t xml:space="preserve"> CRRT reduced myoglobin and creatinine levels faster and le</w:t>
      </w:r>
      <w:r w:rsidR="00C87931" w:rsidRPr="00D169C2">
        <w:t>d</w:t>
      </w:r>
      <w:r w:rsidR="00095CCC" w:rsidRPr="00D169C2">
        <w:t xml:space="preserve"> to prior recovery of diuresis.</w:t>
      </w:r>
      <w:r w:rsidR="00C87931" w:rsidRPr="00D169C2">
        <w:rPr>
          <w:color w:val="1F3763" w:themeColor="accent1" w:themeShade="7F"/>
          <w:spacing w:val="15"/>
          <w:sz w:val="22"/>
          <w:szCs w:val="22"/>
        </w:rPr>
        <w:fldChar w:fldCharType="begin" w:fldLock="1"/>
      </w:r>
      <w:r w:rsidR="00AF2000" w:rsidRPr="00D169C2">
        <w:instrText>ADDIN CSL_CITATION {"citationItems":[{"id":"ITEM-1","itemData":{"DOI":"10.1002/14651858.CD008566.pub2","ISSN":"14651858","abstract":"Background: Rhabdomyolysis is a condition that is characterised by the breakdown of skeletal muscle tissue and leakage of intracellular myocyte contents into circulating blood. Rhabdomyolysis can lead to acute kidney injury (AKI) and is a potentially life-threatening condition. Studies have indicated that continuous renal replacement therapy (CRRT) may provide benefits for people with rhabdomyolysis by removing potentially damaging myoglobin and stabilising haemodynamic and metabolic status. Objectives: We aimed to: i) assess the efficacy of CRRT in removing myoglobin; ii) investigate the influence of CRRT on mortality and kidney-related outcomes; and iii) evaluate the safety of CRRT for the treatment of people with rhabdomyolysis. Search methods: We searched the Cochrane Renal Group's Specialised Register to 6 January 2014 through contact with the Trials' Search Co-ordinator using search terms relevant to this review. We also searched China National Knowledge Infrastructure (from 1 January 1979 to 16 April 2013) and the Chinese Clinical Trials Register (to 16 April 2013). Selection criteria: All randomised controlled trials (RCTs) and quasi-RCTs that investigated clinical outcomes of CRRT for people with rhabdomyolysis were included. Data collection and analysis: Two authors independently assessed studies for inclusion and extracted data. We derived risk ratios (RR) for dichotomous data and mean differences (MD) for continuous data with 95% confidence intervals (CI). Methodological risk of bias was assessed using the Cochrane risk of bias tool. Main results: Of the three included studies (101 participants), one evaluated continuous arteriovenous haemodialysis and two investigated continuous venovenous haemofiltration; all included conventional therapy as control. We found significant decreases in myoglobin in patients among whom CRRT therapy was initiated on days four, eight, and 10 (day 4: MD -11.00 (μg/L), 95% CI -20.65 to -1.35; Day 8: MD -23.00 (μg/L), 95% CI -30.92 to -15.08; day 10: MD -341.87 (μg/L), 95% CI -626.15 to -57.59) compared with those who underwent conventional therapy. Although CRRT was associated with improved serum creatinine, blood urea nitrogen, and potassium levels; reduced duration of the oliguria phase; and was associated with reduced time in hospital, no significant differences were found in mortality rates compared with conventional therapy (RR 0.17, 95% CI 0.02 to 1.37). The included studies did not report on long-term outc…","author":[{"dropping-particle":"","family":"Zeng","given":"Xiaoxi","non-dropping-particle":"","parse-names":false,"suffix":""},{"dropping-particle":"","family":"Zhang","given":"Ling","non-dropping-particle":"","parse-names":false,"suffix":""},{"dropping-particle":"","family":"Wu","given":"Taixiang","non-dropping-particle":"","parse-names":false,"suffix":""},{"dropping-particle":"","family":"Fu","given":"Ping","non-dropping-particle":"","parse-names":false,"suffix":""}],"container-title":"Cochrane Database of Systematic Reviews","id":"ITEM-1","issue":"6","issued":{"date-parts":[["2014","6","15"]]},"title":"Continuous renal replacement therapy (CRRT) for rhabdomyolysis","type":"article-journal","volume":"2014"},"uris":["http://www.mendeley.com/documents/?uuid=fdcb0643-da2d-4952-ab79-cd9414bcc1a7"]}],"mendeley":{"formattedCitation":"&lt;sup&gt;10&lt;/sup&gt;","plainTextFormattedCitation":"10","previouslyFormattedCitation":"&lt;sup&gt;10&lt;/sup&gt;"},"properties":{"noteIndex":0},"schema":"https://github.com/citation-style-language/schema/raw/master/csl-citation.json"}</w:instrText>
      </w:r>
      <w:r w:rsidR="00C87931" w:rsidRPr="00D169C2">
        <w:rPr>
          <w:color w:val="1F3763" w:themeColor="accent1" w:themeShade="7F"/>
          <w:spacing w:val="15"/>
          <w:sz w:val="22"/>
          <w:szCs w:val="22"/>
        </w:rPr>
        <w:fldChar w:fldCharType="separate"/>
      </w:r>
      <w:r w:rsidR="00C87931" w:rsidRPr="00D169C2">
        <w:rPr>
          <w:noProof/>
          <w:color w:val="1F3763" w:themeColor="accent1" w:themeShade="7F"/>
          <w:spacing w:val="15"/>
          <w:sz w:val="22"/>
          <w:szCs w:val="22"/>
          <w:vertAlign w:val="superscript"/>
        </w:rPr>
        <w:t>10</w:t>
      </w:r>
      <w:r w:rsidR="00C87931" w:rsidRPr="00D169C2">
        <w:rPr>
          <w:color w:val="1F3763" w:themeColor="accent1" w:themeShade="7F"/>
          <w:spacing w:val="15"/>
          <w:sz w:val="22"/>
          <w:szCs w:val="22"/>
        </w:rPr>
        <w:fldChar w:fldCharType="end"/>
      </w:r>
      <w:r w:rsidR="00C87931" w:rsidRPr="00D169C2">
        <w:t xml:space="preserve"> </w:t>
      </w:r>
    </w:p>
    <w:p w14:paraId="48865B05" w14:textId="77777777" w:rsidR="003F2163" w:rsidRPr="00D169C2" w:rsidRDefault="003F2163" w:rsidP="005620CA">
      <w:pPr>
        <w:widowControl w:val="0"/>
        <w:autoSpaceDE w:val="0"/>
        <w:autoSpaceDN w:val="0"/>
        <w:adjustRightInd w:val="0"/>
        <w:spacing w:before="0" w:after="0" w:line="240" w:lineRule="auto"/>
      </w:pPr>
    </w:p>
    <w:p w14:paraId="04BF0267" w14:textId="199C2DD5" w:rsidR="003F2163" w:rsidRPr="00D169C2" w:rsidRDefault="00372523" w:rsidP="005620CA">
      <w:pPr>
        <w:widowControl w:val="0"/>
        <w:autoSpaceDE w:val="0"/>
        <w:autoSpaceDN w:val="0"/>
        <w:adjustRightInd w:val="0"/>
        <w:spacing w:before="0" w:after="0" w:line="240" w:lineRule="auto"/>
      </w:pPr>
      <w:r w:rsidRPr="00D169C2">
        <w:t xml:space="preserve">Hemofiltration requires higher extracorporeal circuit blood flow than hemodialysis, which is related to </w:t>
      </w:r>
      <w:proofErr w:type="spellStart"/>
      <w:r w:rsidRPr="00D169C2">
        <w:t>hemoconcentration</w:t>
      </w:r>
      <w:proofErr w:type="spellEnd"/>
      <w:r w:rsidRPr="00D169C2">
        <w:t xml:space="preserve"> at the dialyzer. Therefore, regional citrate anticoagulation (RCA) during CVVH is hardly possible due to the high risk of citrate accumulation. </w:t>
      </w:r>
      <w:r w:rsidR="00B5591B" w:rsidRPr="00D169C2">
        <w:t>Usually,</w:t>
      </w:r>
      <w:r w:rsidRPr="00D169C2">
        <w:t xml:space="preserve"> CVVH requires systemic anticoagulation with heparin. Systemic anticoagulation is associated with more bleeding complications, shorter lifespan of the dialyzer and higher incidence of heparin-induced thrombocytopenia (HIT) than RCA.</w:t>
      </w:r>
      <w:r w:rsidRPr="00D169C2">
        <w:fldChar w:fldCharType="begin" w:fldLock="1"/>
      </w:r>
      <w:r w:rsidRPr="00D169C2">
        <w:instrText>ADDIN CSL_CITATION {"citationItems":[{"id":"ITEM-1","itemData":{"DOI":"10.1186/S13054-016-1299-0","ISBN":"1523-6838 (Electronic)\\n0272-6386 (Linking)","ISSN":"1466609X","PMID":"27176622","abstract":"BACKGROUND Regional citrate or heparin is often prescribed as an anticoagulant for continuous renal replacement therapy (CRRT). However, their efficacy and safety remain controversial. Therefore, we performed this meta-analysis to compare these two agents and to determine whether the currently available evidence is sufficient and conclusive by using trial sequential analysis (TSA). METHODS We searched for relevant studies in PubMed, Embase, the Cochrane Library databases and the China National Knowledge Infrastructure (CNKI) Database from database inception until September 2015. We selected randomized controlled trials comparing regional citrate with heparin in adult patients with acute kidney injury (AKI) who were prescribed CRRT. RESULTS Fourteen trials (n = 1134) met the inclusion criteria. Pooled analyses showed that there was no difference in mortality between the regional citrate and heparin groups (relative risk (RR) 0.97, 95 % confidence interval (CI) 0.84, 1.13, P &gt; 0.05), which was confirmed by TSA. Compared with heparin, regional citrate significantly prolonged the circuit life span in the continuous venovenous haemofiltration (CVVH) subgroup (mean difference (MD) 8.18, 95 % CI 3.86, 12.51, P &lt; 0.01) and pre-dilution subgroup (MD 17.51, 95 % CI 9.85, 25.17, P &lt; 0.01) but not in the continuous venovenous haemodiafiltration (CVVHDF) subgroup (MD 28.60, 95 % CI -3.52, 60.73, P &gt; 0.05) or post-dilution subgroup (MD 13.06, 95 % CI -2.36, 28.48, P &gt; 0.05). However, the results were not confirmed by TSA. A reduced risk of bleeding was found in the regional citrate compared with the systemic heparin group (RR 0.31, 95 % CI 0.19, 0.51, P &lt; 0.01) and TSA provided conclusive evidence. Fewer episodes of heparin-induced thrombocytopoenia (HIT) (RR 0.41, 95 % CI 0.19, 0.87, P = 0.02) and a greater number of episodes of hypocalcaemia (RR 3.96, 95 % CI 1.50, 10.43, P &lt; 0.01) were found in the regional citrate group. However, TSA did not provide conclusive evidence. CONCLUSION In adult patients with AKI, there is no difference in mortality between the regional citrate and heparin treated groups. However, regional citrate is more efficacious in prolonging circuit life span and reducing the risk of bleeding and should be recommended as the priority anticoagulant for critically ill patients who require CRRT.","author":[{"dropping-particle":"","family":"Liu","given":"Chao","non-dropping-particle":"","parse-names":false,"suffix":""},{"dropping-particle":"","family":"Mao","given":"Zhi","non-dropping-particle":"","parse-names":false,"suffix":""},{"dropping-particle":"","family":"Kang","given":"Hongjun","non-dropping-particle":"","parse-names":false,"suffix":""},{"dropping-particle":"","family":"Hu","given":"Jie","non-dropping-particle":"","parse-names":false,"suffix":""},{"dropping-particle":"","family":"Zhou","given":"Feihu","non-dropping-particle":"","parse-names":false,"suffix":""}],"container-title":"Critical Care","id":"ITEM-1","issue":"1","issued":{"date-parts":[["2016"]]},"page":"1-13","publisher":"Critical Care","title":"Regional citrate versus heparin anticoagulation for continuous renal replacement therapy in critically ill patients: A meta-analysis with trial sequential analysis of randomized controlled trials","type":"article-journal","volume":"20"},"uris":["http://www.mendeley.com/documents/?uuid=c2035905-cc88-450e-b6f4-25ebd70de92e"]}],"mendeley":{"formattedCitation":"&lt;sup&gt;11&lt;/sup&gt;","plainTextFormattedCitation":"11","previouslyFormattedCitation":"&lt;sup&gt;11&lt;/sup&gt;"},"properties":{"noteIndex":0},"schema":"https://github.com/citation-style-language/schema/raw/master/csl-citation.json"}</w:instrText>
      </w:r>
      <w:r w:rsidRPr="00D169C2">
        <w:fldChar w:fldCharType="separate"/>
      </w:r>
      <w:r w:rsidRPr="00D169C2">
        <w:rPr>
          <w:noProof/>
          <w:vertAlign w:val="superscript"/>
        </w:rPr>
        <w:t>11</w:t>
      </w:r>
      <w:r w:rsidRPr="00D169C2">
        <w:fldChar w:fldCharType="end"/>
      </w:r>
      <w:r w:rsidR="00AF2000" w:rsidRPr="00D169C2">
        <w:t xml:space="preserve"> </w:t>
      </w:r>
      <w:r w:rsidRPr="00D169C2">
        <w:t>Current international guidelines recommend anticoagulation</w:t>
      </w:r>
      <w:r w:rsidR="00B5591B" w:rsidRPr="00D169C2">
        <w:t xml:space="preserve"> </w:t>
      </w:r>
      <w:r w:rsidRPr="00D169C2">
        <w:t>with citrate for CRRT, unless systemic anticoagulation</w:t>
      </w:r>
      <w:r w:rsidR="00B5591B" w:rsidRPr="00D169C2">
        <w:t xml:space="preserve"> </w:t>
      </w:r>
      <w:r w:rsidRPr="00D169C2">
        <w:t>is required for other indications or citrate use</w:t>
      </w:r>
      <w:r w:rsidR="00B5591B" w:rsidRPr="00D169C2">
        <w:t xml:space="preserve"> </w:t>
      </w:r>
      <w:r w:rsidRPr="00D169C2">
        <w:t>is contraindicated</w:t>
      </w:r>
      <w:r w:rsidR="00B5591B" w:rsidRPr="00D169C2">
        <w:t>.</w:t>
      </w:r>
      <w:r w:rsidR="00AF2000" w:rsidRPr="00D169C2">
        <w:fldChar w:fldCharType="begin" w:fldLock="1"/>
      </w:r>
      <w:r w:rsidR="00D37889" w:rsidRPr="00D169C2">
        <w:instrText>ADDIN CSL_CITATION {"citationItems":[{"id":"ITEM-1","itemData":{"DOI":"10.1038/kisup.2012.4","ISBN":"2157-1724","ISSN":"2157-1724","PMID":"25018913","author":[{"dropping-particle":"","family":"KDIGO","given":"","non-dropping-particle":"","parse-names":false,"suffix":""}],"container-title":"Kidney international supplements","id":"ITEM-1","issue":"1","issued":{"date-parts":[["2012"]]},"page":"4","title":"Clinical Practice Guideline for Acute Kidney Injury (AKI)","type":"article-journal","volume":"2"},"uris":["http://www.mendeley.com/documents/?uuid=0affeda3-6692-4d18-b3de-cef736e3567b"]}],"mendeley":{"formattedCitation":"&lt;sup&gt;12&lt;/sup&gt;","plainTextFormattedCitation":"12","previouslyFormattedCitation":"&lt;sup&gt;12&lt;/sup&gt;"},"properties":{"noteIndex":0},"schema":"https://github.com/citation-style-language/schema/raw/master/csl-citation.json"}</w:instrText>
      </w:r>
      <w:r w:rsidR="00AF2000" w:rsidRPr="00D169C2">
        <w:fldChar w:fldCharType="separate"/>
      </w:r>
      <w:r w:rsidR="00AF2000" w:rsidRPr="00D169C2">
        <w:rPr>
          <w:noProof/>
          <w:vertAlign w:val="superscript"/>
        </w:rPr>
        <w:t>12</w:t>
      </w:r>
      <w:r w:rsidR="00AF2000" w:rsidRPr="00D169C2">
        <w:fldChar w:fldCharType="end"/>
      </w:r>
    </w:p>
    <w:p w14:paraId="5E9E0696" w14:textId="77777777" w:rsidR="003F2163" w:rsidRPr="00D169C2" w:rsidRDefault="003F2163" w:rsidP="005620CA">
      <w:pPr>
        <w:widowControl w:val="0"/>
        <w:autoSpaceDE w:val="0"/>
        <w:autoSpaceDN w:val="0"/>
        <w:adjustRightInd w:val="0"/>
        <w:spacing w:before="0" w:after="0" w:line="240" w:lineRule="auto"/>
      </w:pPr>
    </w:p>
    <w:p w14:paraId="2724C039" w14:textId="48701BCC" w:rsidR="003F2163" w:rsidRPr="00D169C2" w:rsidRDefault="00D37889" w:rsidP="005620CA">
      <w:pPr>
        <w:widowControl w:val="0"/>
        <w:autoSpaceDE w:val="0"/>
        <w:autoSpaceDN w:val="0"/>
        <w:adjustRightInd w:val="0"/>
        <w:spacing w:before="0" w:after="0" w:line="240" w:lineRule="auto"/>
        <w:rPr>
          <w:rFonts w:cstheme="minorHAnsi"/>
        </w:rPr>
      </w:pPr>
      <w:r w:rsidRPr="00D169C2">
        <w:rPr>
          <w:rFonts w:cstheme="minorHAnsi"/>
        </w:rPr>
        <w:t xml:space="preserve">There are some opportunities to avoid systemic anticoagulation and </w:t>
      </w:r>
      <w:r w:rsidRPr="00D169C2">
        <w:rPr>
          <w:rFonts w:eastAsiaTheme="minorHAnsi" w:cstheme="minorHAnsi"/>
          <w:color w:val="000000"/>
        </w:rPr>
        <w:t xml:space="preserve">maintain middle molecule clearance and thus maintain myoglobin elimination. One opportunity could be the application of high cutoff (HCO) membranes with a pore size larger than 0.01 </w:t>
      </w:r>
      <w:proofErr w:type="spellStart"/>
      <w:r w:rsidRPr="00D169C2">
        <w:rPr>
          <w:rFonts w:eastAsiaTheme="minorHAnsi" w:cstheme="minorHAnsi"/>
          <w:color w:val="000000"/>
        </w:rPr>
        <w:t>μm</w:t>
      </w:r>
      <w:proofErr w:type="spellEnd"/>
      <w:r w:rsidRPr="00D169C2">
        <w:rPr>
          <w:rFonts w:eastAsiaTheme="minorHAnsi" w:cstheme="minorHAnsi"/>
          <w:color w:val="000000"/>
        </w:rPr>
        <w:t xml:space="preserve"> in CVVHD (CVVHD-HCO).</w:t>
      </w:r>
      <w:r w:rsidRPr="00D169C2">
        <w:rPr>
          <w:rFonts w:eastAsiaTheme="minorHAnsi" w:cstheme="minorHAnsi"/>
          <w:color w:val="000000"/>
        </w:rPr>
        <w:fldChar w:fldCharType="begin" w:fldLock="1"/>
      </w:r>
      <w:r w:rsidR="00241AE0" w:rsidRPr="00D169C2">
        <w:rPr>
          <w:rFonts w:eastAsiaTheme="minorHAnsi" w:cstheme="minorHAnsi"/>
          <w:color w:val="000000"/>
        </w:rPr>
        <w:instrText>ADDIN CSL_CITATION {"citationItems":[{"id":"ITEM-1","itemData":{"DOI":"10.1159/000343564","ISSN":"1660-2110","PMID":"23327834","abstract":"BACKGROUND/AIM Rhabdomyolysis is associated with the release of myoglobin into the circulation, promoting acute kidney injury (AKI). In severe rhabdomyolysis, dialysis-dependent AKI doubles mortality. Standard blood purification techniques have limited efficacy in removing myoglobin. We describe high cut-off (HCO) renal replacement therapy (RRT) as a novel approach for extracorporeal elimination of myoglobin in rhabdomyolysis-associated AKI. METHODS With an in vivo molecular cut-off at 45 kDa, HCO filters are effective in removing myoglobin (17.8 kDa). Clearances across standard and HCO filters using continuous or intermittent RRT are reviewed in a case series of 11 patients with severe rhabdomyolysis and dialysis-dependent AKI. RESULTS Median myoglobin clearance across standard high-flux filters was 3.3 (interquartile range 2.3-3.9) ml/min for sustained low-efficiency daily dialysis (SLEDD) batch hemodialysis (HD) and 3.7 (2.9-6.7) ml/min for conventional HD. Respective clearances using HCO filters (membrane surface area: 1.1 m(2)) were 21.7 (20.3-26.1) ml/min (SLEDD) and 44.2 (41.3-47.0) ml/min (HD). Corrected for filter size, up to 20-fold higher clearances were obtained using HCO filters, resulting in profound and sustained reduction of plasma myoglobin concentration. CONCLUSIONS As a novel approach, HCO RRT allows for rapid and effective removal of myoglobin from the circulation. In light of the pathogenic role in AKI, reducing exposure of the kidney to myoglobin may improve renal recovery and patient outcome. Our data pave the way for prospective trials, addressing this issue.","author":[{"dropping-particle":"","family":"Heyne","given":"Nils","non-dropping-particle":"","parse-names":false,"suffix":""},{"dropping-particle":"","family":"Guthoff","given":"Martina","non-dropping-particle":"","parse-names":false,"suffix":""},{"dropping-particle":"","family":"Krieger","given":"Julia","non-dropping-particle":"","parse-names":false,"suffix":""},{"dropping-particle":"","family":"Haap","given":"Michael","non-dropping-particle":"","parse-names":false,"suffix":""},{"dropping-particle":"","family":"Häring","given":"Hans-Ulrich","non-dropping-particle":"","parse-names":false,"suffix":""}],"container-title":"Nephron. Clinical practice","id":"ITEM-1","issue":"3-4","issued":{"date-parts":[["2012"]]},"page":"c159-64","title":"High cut-off renal replacement therapy for removal of myoglobin in severe rhabdomyolysis and acute kidney injury: a case series.","type":"article-journal","volume":"121"},"uris":["http://www.mendeley.com/documents/?uuid=fab97f6a-05d4-44f1-bf33-cb8d1f69181c"]},{"id":"ITEM-2","itemData":{"DOI":"10.1371/journal.pone.0215823","ISSN":"1932-6203","author":[{"dropping-particle":"","family":"Weidhase","given":"Lorenz","non-dropping-particle":"","parse-names":false,"suffix":""},{"dropping-particle":"","family":"Haussig","given":"Elena","non-dropping-particle":"","parse-names":false,"suffix":""},{"dropping-particle":"","family":"Haussig","given":"Stephan","non-dropping-particle":"","parse-names":false,"suffix":""},{"dropping-particle":"","family":"Kaiser","given":"Thorsten","non-dropping-particle":"","parse-names":false,"suffix":""},{"dropping-particle":"","family":"Fallois","given":"Jonathan","non-dropping-particle":"de","parse-names":false,"suffix":""},{"dropping-particle":"","family":"Petros","given":"Sirak","non-dropping-particle":"","parse-names":false,"suffix":""}],"container-title":"PLOS ONE","editor":[{"dropping-particle":"","family":"Isaka","given":"Yoshitaka","non-dropping-particle":"","parse-names":false,"suffix":""}],"id":"ITEM-2","issue":"4","issued":{"date-parts":[["2019","4","26"]]},"page":"e0215823","title":"Middle molecule clearance with high cut-off dialyzer versus high-flux dialyzer using continuous veno-venous hemodialysis with regional citrate anticoagulation: A prospective randomized controlled trial","type":"article-journal","volume":"14"},"uris":["http://www.mendeley.com/documents/?uuid=6cbddcdd-dfd0-4d62-ad04-d9ce3796baa8"]},{"id":"ITEM-3","itemData":{"DOI":"10.1186/s13054-020-03366-8","ISSN":"1466-609X","PMID":"33176824","abstract":"BACKGROUND Myoglobin clearance in acute kidney injury requiring renal replacement therapy is important because myoglobin has direct renal toxic effects. Clinical data comparing different modalities of renal replacement therapy addressing myoglobin clearance are limited. This study aimed to compare two renal replacement modalities regarding myoglobin clearance. METHODS In this prospective, randomized, single-blinded, single-center trial, 70 critically ill patients requiring renal replacement therapy were randomized 1:1 into an intervention arm using continuous veno-venous hemodialysis with high cutoff dialyzer and a control arm using continuous veno-venous hemodiafiltration postdilution with high-flux dialyzer. Regional citrate anticoagulation was used in both groups to maintain the extracorporeal circuit. The concentrations of myoglobin, urea, creatinine, β2-microglobulin, interleukin-6 and albumin were measured before and after the dialyzer at 1 h, 6 h, 12 h, 24 h and 48 h after initiating continuous renal replacement therapy. RESULTS Thirty-three patients were allocated to the control arm (CVVHDF with high-flux dialyzer) and 35 patients to the intervention arm (CVVHD with high cutoff dialyzer). Myoglobin clearance, as a primary endpoint, was significantly better in the intervention arm than in the control arm throughout the whole study period. The clearance values for urea and creatinine were higher in the control arm. There was no measurable albumin clearance in both arms. The clearance data for β2-microglobulin and interleukin-6 were non-inferior in the intervention arm compared to those for the control arm. Dialyzer lifespan was 57.0 [38.0, 72.0] hours in the control arm and 70.0 [56.75, 72.0] hours in the intervention arm (p = 0.029). CONCLUSIONS Myoglobin clearance using continuous veno-venous hemodialysis with high cutoff dialyzer and regional citrate anticoagulation is better than that with continuous veno-venous hemodiafiltration with regional citrate anticoagulation. TRIAL REGISTRATION German Clinical Trials Registry (DRKS00012407); date of registration 23/05/2017. https://www.drks.de/drks_web/navigate.do?navigationId=trial.HTML&amp;TRIAL_ID=DRKS00012407 .","author":[{"dropping-particle":"","family":"Weidhase","given":"Lorenz","non-dropping-particle":"","parse-names":false,"suffix":""},{"dropping-particle":"","family":"Fallois","given":"Jonathan","non-dropping-particle":"de","parse-names":false,"suffix":""},{"dropping-particle":"","family":"Haußig","given":"Elena","non-dropping-particle":"","parse-names":false,"suffix":""},{"dropping-particle":"","family":"Kaiser","given":"Thorsten","non-dropping-particle":"","parse-names":false,"suffix":""},{"dropping-particle":"","family":"Mende","given":"Meinhard","non-dropping-particle":"","parse-names":false,"suffix":""},{"dropping-particle":"","family":"Petros","given":"Sirak","non-dropping-particle":"","parse-names":false,"suffix":""}],"container-title":"Critical care (London, England)","id":"ITEM-3","issue":"1","issued":{"date-parts":[["2020","12","11"]]},"page":"644","publisher":"BioMed Central","title":"Myoglobin clearance with continuous veno-venous hemodialysis using high cutoff dialyzer versus continuous veno-venous hemodiafiltration using high-flux dialyzer: a prospective randomized controlled trial.","type":"article-journal","volume":"24"},"uris":["http://www.mendeley.com/documents/?uuid=e31ecf45-7258-4e41-b275-7a164cb60ede"]}],"mendeley":{"formattedCitation":"&lt;sup&gt;13–15&lt;/sup&gt;","plainTextFormattedCitation":"13–15","previouslyFormattedCitation":"&lt;sup&gt;13–15&lt;/sup&gt;"},"properties":{"noteIndex":0},"schema":"https://github.com/citation-style-language/schema/raw/master/csl-citation.json"}</w:instrText>
      </w:r>
      <w:r w:rsidRPr="00D169C2">
        <w:rPr>
          <w:rFonts w:eastAsiaTheme="minorHAnsi" w:cstheme="minorHAnsi"/>
          <w:color w:val="000000"/>
        </w:rPr>
        <w:fldChar w:fldCharType="separate"/>
      </w:r>
      <w:r w:rsidRPr="00D169C2">
        <w:rPr>
          <w:rFonts w:eastAsiaTheme="minorHAnsi" w:cstheme="minorHAnsi"/>
          <w:noProof/>
          <w:color w:val="000000"/>
          <w:vertAlign w:val="superscript"/>
        </w:rPr>
        <w:t>13–15</w:t>
      </w:r>
      <w:r w:rsidRPr="00D169C2">
        <w:rPr>
          <w:rFonts w:eastAsiaTheme="minorHAnsi" w:cstheme="minorHAnsi"/>
          <w:color w:val="000000"/>
        </w:rPr>
        <w:fldChar w:fldCharType="end"/>
      </w:r>
      <w:r w:rsidR="00335C20" w:rsidRPr="00D169C2">
        <w:rPr>
          <w:rFonts w:eastAsiaTheme="minorHAnsi" w:cstheme="minorHAnsi"/>
          <w:color w:val="000000"/>
        </w:rPr>
        <w:t xml:space="preserve"> Application of </w:t>
      </w:r>
      <w:r w:rsidR="00D937C7" w:rsidRPr="00D169C2">
        <w:rPr>
          <w:rFonts w:eastAsiaTheme="minorHAnsi" w:cstheme="minorHAnsi"/>
          <w:color w:val="000000"/>
        </w:rPr>
        <w:t xml:space="preserve">an additional </w:t>
      </w:r>
      <w:r w:rsidR="00216019" w:rsidRPr="00D169C2">
        <w:rPr>
          <w:rFonts w:eastAsiaTheme="minorHAnsi" w:cstheme="minorHAnsi"/>
          <w:color w:val="000000"/>
        </w:rPr>
        <w:t xml:space="preserve">extracorporeal </w:t>
      </w:r>
      <w:r w:rsidR="00335C20" w:rsidRPr="00D169C2">
        <w:rPr>
          <w:rFonts w:eastAsiaTheme="minorHAnsi" w:cstheme="minorHAnsi"/>
          <w:color w:val="000000"/>
        </w:rPr>
        <w:t xml:space="preserve">blood </w:t>
      </w:r>
      <w:proofErr w:type="spellStart"/>
      <w:r w:rsidR="00335C20" w:rsidRPr="00D169C2">
        <w:rPr>
          <w:rFonts w:eastAsiaTheme="minorHAnsi" w:cstheme="minorHAnsi"/>
          <w:color w:val="000000"/>
        </w:rPr>
        <w:t>adsorber</w:t>
      </w:r>
      <w:proofErr w:type="spellEnd"/>
      <w:r w:rsidR="00335C20" w:rsidRPr="00D169C2">
        <w:rPr>
          <w:rFonts w:eastAsiaTheme="minorHAnsi" w:cstheme="minorHAnsi"/>
          <w:color w:val="000000"/>
        </w:rPr>
        <w:t xml:space="preserve"> </w:t>
      </w:r>
      <w:r w:rsidR="001E460C" w:rsidRPr="00D169C2">
        <w:rPr>
          <w:rFonts w:eastAsiaTheme="minorHAnsi" w:cstheme="minorHAnsi"/>
          <w:color w:val="000000"/>
        </w:rPr>
        <w:t xml:space="preserve">in CVVHD </w:t>
      </w:r>
      <w:r w:rsidR="00335C20" w:rsidRPr="00D169C2">
        <w:rPr>
          <w:rFonts w:eastAsiaTheme="minorHAnsi" w:cstheme="minorHAnsi"/>
          <w:color w:val="000000"/>
        </w:rPr>
        <w:t>could be another opportunity to eliminate myoglobin.</w:t>
      </w:r>
      <w:r w:rsidR="00216019" w:rsidRPr="00D169C2">
        <w:rPr>
          <w:rFonts w:eastAsiaTheme="minorHAnsi" w:cstheme="minorHAnsi"/>
          <w:color w:val="000000"/>
        </w:rPr>
        <w:t xml:space="preserve"> In recent years </w:t>
      </w:r>
      <w:r w:rsidR="00241AE0" w:rsidRPr="00D169C2">
        <w:rPr>
          <w:rFonts w:eastAsiaTheme="minorHAnsi" w:cstheme="minorHAnsi"/>
          <w:color w:val="000000"/>
        </w:rPr>
        <w:t xml:space="preserve">blood </w:t>
      </w:r>
      <w:proofErr w:type="spellStart"/>
      <w:r w:rsidR="00216019" w:rsidRPr="00D169C2">
        <w:rPr>
          <w:rFonts w:eastAsiaTheme="minorHAnsi" w:cstheme="minorHAnsi"/>
          <w:color w:val="000000"/>
        </w:rPr>
        <w:t>adsorber</w:t>
      </w:r>
      <w:proofErr w:type="spellEnd"/>
      <w:r w:rsidR="00216019" w:rsidRPr="00D169C2">
        <w:rPr>
          <w:rFonts w:eastAsiaTheme="minorHAnsi" w:cstheme="minorHAnsi"/>
          <w:color w:val="000000"/>
        </w:rPr>
        <w:t xml:space="preserve"> were </w:t>
      </w:r>
      <w:r w:rsidR="00241AE0" w:rsidRPr="00D169C2">
        <w:rPr>
          <w:rFonts w:eastAsiaTheme="minorHAnsi" w:cstheme="minorHAnsi"/>
          <w:color w:val="000000"/>
        </w:rPr>
        <w:t>an</w:t>
      </w:r>
      <w:r w:rsidR="00216019" w:rsidRPr="00D169C2">
        <w:rPr>
          <w:rFonts w:eastAsiaTheme="minorHAnsi" w:cstheme="minorHAnsi"/>
          <w:color w:val="000000"/>
        </w:rPr>
        <w:t xml:space="preserve"> approach </w:t>
      </w:r>
      <w:r w:rsidR="00241AE0" w:rsidRPr="00D169C2">
        <w:rPr>
          <w:rFonts w:eastAsiaTheme="minorHAnsi" w:cstheme="minorHAnsi"/>
          <w:color w:val="000000"/>
        </w:rPr>
        <w:t>to treat</w:t>
      </w:r>
      <w:r w:rsidR="00216019" w:rsidRPr="00D169C2">
        <w:rPr>
          <w:rFonts w:eastAsiaTheme="minorHAnsi" w:cstheme="minorHAnsi"/>
          <w:color w:val="000000"/>
        </w:rPr>
        <w:t xml:space="preserve"> cytokine release syndrome</w:t>
      </w:r>
      <w:r w:rsidR="003F2163" w:rsidRPr="00D169C2">
        <w:rPr>
          <w:rFonts w:eastAsiaTheme="minorHAnsi" w:cstheme="minorHAnsi"/>
          <w:color w:val="000000"/>
        </w:rPr>
        <w:t>s</w:t>
      </w:r>
      <w:r w:rsidR="00216019" w:rsidRPr="00D169C2">
        <w:rPr>
          <w:rFonts w:eastAsiaTheme="minorHAnsi" w:cstheme="minorHAnsi"/>
          <w:color w:val="000000"/>
        </w:rPr>
        <w:t xml:space="preserve"> </w:t>
      </w:r>
      <w:r w:rsidR="00241AE0" w:rsidRPr="00D169C2">
        <w:rPr>
          <w:rFonts w:eastAsiaTheme="minorHAnsi" w:cstheme="minorHAnsi"/>
          <w:color w:val="000000"/>
        </w:rPr>
        <w:t>such as septic shock.</w:t>
      </w:r>
      <w:r w:rsidR="00241AE0" w:rsidRPr="00D169C2">
        <w:rPr>
          <w:rFonts w:cstheme="minorHAnsi"/>
        </w:rPr>
        <w:fldChar w:fldCharType="begin" w:fldLock="1"/>
      </w:r>
      <w:r w:rsidR="00241AE0" w:rsidRPr="00D169C2">
        <w:rPr>
          <w:rFonts w:cstheme="minorHAnsi"/>
        </w:rPr>
        <w:instrText>ADDIN CSL_CITATION {"citationItems":[{"id":"ITEM-1","itemData":{"DOI":"10.1016/j.jcrc.2018.11.003","ISSN":"08839441","abstract":"Background: The aim of this proof of concept, prospective, randomized pilot trial was to investigate the effects of extracorporeal cytokine removal (CytoSorb®) applied as a standalone treatment in patients with septic shock. Methods: 20 patients with early (&lt;24 h) onset of septic shock of medical origin, on mechanical ventilation, norepinephrine&gt;10 μg/min, procalcitonin (PCT) &gt; 3 ng/mL without the need for renal replacement therapy were randomized into CytoSorb (n = 10) and Control groups (n = 10). CytoSorb therapy lasted for 24 h. Clinical and laboratory data were recorded at baseline (T0), T12, T24, and T48 hours. Results: Overall SOFA scores did not differ between the groups. In the CytoSorb-group norepinephrine requirements and PCT concentration decreased significantly (norepinephrine: CytoSorb: T0 = 0.54[IQR:0.20–1.22], T48 = 0.16[IQR:0.07–0.48], p =.016; Controls: T0 = 0.43[IQR:0.19–0.64], T48 = 0.25[IQR:0.08–0.65] μg/kg/min; PCT: CytoSorb: T0 median = 20.6[IQR: 6.5–144.5], T48 = 5.6[1.9–54.4], p =.004; Control: T0 = 13.2[7.6–47.8], T48 = 9.2[3.8–44.2]ng/mL). Big-endothelin-1 concentrations were also significantly lower in the CytoSorb group (CytoSorb: T0 = 1.3 ± 0.6, *T24 = 1.0 ± 0.4, T48 = 1.4 ± 0.8, *p =.003; Control: T0 = 1.1 ± 0.7, T24 = 1.1 ± 0.6, T48 = 1.2 ± 0.6 pmol/L, p =.115). There were no CytoSorb therapy-related adverse events. Conclusions: This is the first trial to investigate the effects of early extracorporeal cytokine adsorption treatment in septic shock applied without renal replacement therapy. It was found to be safe with significant effects on norepinephrine requirements, PCT and Big-endothelin-1 concentrations compared to controls. Trial registration: The study has been registered on ClinicalTrials.gov, under the registration number of NCT02288975, registered 13 November 2014.","author":[{"dropping-particle":"","family":"Hawchar","given":"Fatime","non-dropping-particle":"","parse-names":false,"suffix":""},{"dropping-particle":"","family":"László","given":"Ildikó","non-dropping-particle":"","parse-names":false,"suffix":""},{"dropping-particle":"","family":"Öveges","given":"Nándor","non-dropping-particle":"","parse-names":false,"suffix":""},{"dropping-particle":"","family":"Trásy","given":"Domonkos","non-dropping-particle":"","parse-names":false,"suffix":""},{"dropping-particle":"","family":"Ondrik","given":"Zoltán","non-dropping-particle":"","parse-names":false,"suffix":""},{"dropping-particle":"","family":"Molnar","given":"Zsolt","non-dropping-particle":"","parse-names":false,"suffix":""}],"container-title":"Journal of Critical Care","id":"ITEM-1","issued":{"date-parts":[["2019","2"]]},"page":"172-178","publisher":"Elsevier Inc","title":"Extracorporeal cytokine adsorption in septic shock: A proof of concept randomized, controlled pilot study","type":"article-journal","volume":"49"},"uris":["http://www.mendeley.com/documents/?uuid=d78035a9-a340-4e9c-9344-9770136251d3"]},{"id":"ITEM-2","itemData":{"DOI":"10.1177/0391398819866459","ISSN":"03913988","PMID":"31379256","abstract":"Introduction: Septic shock is characterized by severe metabolic and hemodynamic alterations. It is often accompanied by acute kidney injury. A new adjunct treatment is hemoadsorption using a cytokine adsorber in line with continuous veno-venous renal replacement therapy. We studied the feasibility, efficacy, and safety of cytokine adsorption with citrate-anticoagulated continuous veno-venous hemodialysis (regional citrate anticoagulation–continuous veno-venous hemodialysis). Methods: In 11 patients with septic shock and acute kidney injury stage 3, we studied 12 cycles of cytokine adsorption and regional citrate anticoagulation–continuous veno-venous hemodialysis. We monitored parameters of citrate anticoagulation, circuit lifetime, laboratory parameters, hemodynamics, and vasopressor demand. Results: Ten out of 12 adsorber/continuous veno-venous hemodialysis circuits reached the target lifetime of 24 h for the adsorber. One system clotted and one was stopped for non-device-related reasons. Nine of the remaining continuous renal replacement therapy circuits reached 72 h lifetime. With default settings for regional citrate anticoagulation, serum ionized calcium and pH were in the normal range. Urea and creatinine were reduced significantly, and norepinephrine dose decreased from 0.47 (±0.09) to 0.16 (±0.04) µg/kg/min (p = 0.016) after 24 h. Discussion: We show that combined cytokine adsorption/continuous veno-venous hemodialysis is effective to control pH, to reduce urea and creatinine, and to improve hemodynamics by reducing norepinephrine doses in patients with septic shock. It can be applied safely with standard settings of regional citrate anticoagulation rendering sufficiently long filter lifetimes for the adsorber and the continuous veno-venous hemodialysis circuit. Further studies are on the way to investigate whether these effects translate into improved outcomes in septic shock patients.","author":[{"dropping-particle":"","family":"Dimski","given":"Thomas","non-dropping-particle":"","parse-names":false,"suffix":""},{"dropping-particle":"","family":"Brandenburger","given":"Timo","non-dropping-particle":"","parse-names":false,"suffix":""},{"dropping-particle":"","family":"Slowinski","given":"Torsten","non-dropping-particle":"","parse-names":false,"suffix":""},{"dropping-particle":"","family":"Kindgen-Milles","given":"Detlef","non-dropping-particle":"","parse-names":false,"suffix":""}],"container-title":"International Journal of Artificial Organs","id":"ITEM-2","issue":"1","issued":{"date-parts":[["2020"]]},"page":"10-16","title":"Feasibility and safety of combined cytokine adsorption and continuous veno-venous hemodialysis with regional citrate anticoagulation in patients with septic shock","type":"article-journal","volume":"43"},"uris":["http://www.mendeley.com/documents/?uuid=5a3d5a01-4bc9-4d9b-bdf1-f64042f00317"]}],"mendeley":{"formattedCitation":"&lt;sup&gt;16,17&lt;/sup&gt;","plainTextFormattedCitation":"16,17","previouslyFormattedCitation":"&lt;sup&gt;16,17&lt;/sup&gt;"},"properties":{"noteIndex":0},"schema":"https://github.com/citation-style-language/schema/raw/master/csl-citation.json"}</w:instrText>
      </w:r>
      <w:r w:rsidR="00241AE0" w:rsidRPr="00D169C2">
        <w:rPr>
          <w:rFonts w:cstheme="minorHAnsi"/>
        </w:rPr>
        <w:fldChar w:fldCharType="separate"/>
      </w:r>
      <w:r w:rsidR="00241AE0" w:rsidRPr="00D169C2">
        <w:rPr>
          <w:rFonts w:cstheme="minorHAnsi"/>
          <w:noProof/>
          <w:vertAlign w:val="superscript"/>
        </w:rPr>
        <w:t>16,17</w:t>
      </w:r>
      <w:r w:rsidR="00241AE0" w:rsidRPr="00D169C2">
        <w:rPr>
          <w:rFonts w:cstheme="minorHAnsi"/>
        </w:rPr>
        <w:fldChar w:fldCharType="end"/>
      </w:r>
      <w:r w:rsidR="00241AE0" w:rsidRPr="00D169C2">
        <w:rPr>
          <w:rFonts w:cstheme="minorHAnsi"/>
        </w:rPr>
        <w:t xml:space="preserve"> These </w:t>
      </w:r>
      <w:proofErr w:type="spellStart"/>
      <w:r w:rsidR="00241AE0" w:rsidRPr="00D169C2">
        <w:rPr>
          <w:rFonts w:cstheme="minorHAnsi"/>
        </w:rPr>
        <w:t>adsorbers</w:t>
      </w:r>
      <w:proofErr w:type="spellEnd"/>
      <w:r w:rsidR="00241AE0" w:rsidRPr="00D169C2">
        <w:rPr>
          <w:rFonts w:cstheme="minorHAnsi"/>
        </w:rPr>
        <w:t xml:space="preserve"> bind not only cytokines (for example Interleukin 6, Il-6), but also myoglobin and elimination of it seems possible.</w:t>
      </w:r>
      <w:r w:rsidR="00241AE0" w:rsidRPr="00D169C2">
        <w:rPr>
          <w:rFonts w:cstheme="minorHAnsi"/>
        </w:rPr>
        <w:fldChar w:fldCharType="begin" w:fldLock="1"/>
      </w:r>
      <w:r w:rsidR="00241AE0" w:rsidRPr="00D169C2">
        <w:rPr>
          <w:rFonts w:cstheme="minorHAnsi"/>
        </w:rPr>
        <w:instrText>ADDIN CSL_CITATION {"citationItems":[{"id":"ITEM-1","itemData":{"DOI":"10.1155/2018/5248901","ISSN":"2090-6420","PMID":"29854478","abstract":"Background Nontraumatic renal rupture due to pyelonephritis with obstructive uropathy is an uncommon but life-threatening situation. Case Presentation A 25-year-old female presented to the emergency department with acute worsening of abdominal pain that began four weeks earlier. She was found to have peritonitis, leukocytosis, severe lactic acidosis, and a pronounced anemia and imaging was consistent with nontraumatic renal rupture with retroperitoneal abscess, perforation of the colon, and severe necrotizing fasciitis of the right lower limb. She underwent a right nephrectomy, a right hemicolectomy, surgical debridement of the retroperitoneum, and an upper thigh amputation. Due to severe septic shock and rhabdomyolysis with acute renal failure we performed a combined treatment of hemoadsorption using a Cytosorb hemoadsorber and continuous venovenous hemodialysis (CVVHD). Subsequently the patient recovered and was discharged home with no signs of infections and with normal renal function. Conclusion We present a case of pyelonephritis with nontraumatic renal rupture leading to necrotizing fasciitis with osteomyelitis of the lower limb. The early treatment of the patient with a Cytosorb hemoadsorber led to a rapid hemodynamic and metabolic stabilization and preservation of the renal function, suggesting that hemoadsorption might be a rescue therapy in patients with severe septic shock and traumatic rhabdomyolysis.","author":[{"dropping-particle":"","family":"Kousoulas","given":"Lampros","non-dropping-particle":"","parse-names":false,"suffix":""},{"dropping-particle":"","family":"Wittel","given":"Uwe","non-dropping-particle":"","parse-names":false,"suffix":""},{"dropping-particle":"","family":"Fichtner-Feigl","given":"Stefan","non-dropping-particle":"","parse-names":false,"suffix":""},{"dropping-particle":"","family":"Utzolino","given":"Stefan","non-dropping-particle":"","parse-names":false,"suffix":""}],"container-title":"Case reports in critical care","id":"ITEM-1","issued":{"date-parts":[["2018"]]},"page":"5248901","title":"Hemoadsorption in a Case of Severe Septic Shock and Necrotizing Fasciitis Caused by Nontraumatic Renal Rupture due to Pyelonephritis with Obstructive Uropathy.","type":"article-journal","volume":"2018"},"uris":["http://www.mendeley.com/documents/?uuid=39c42e60-21e6-4fe5-b090-b6258ee4f13a"]}],"mendeley":{"formattedCitation":"&lt;sup&gt;18&lt;/sup&gt;","plainTextFormattedCitation":"18","previouslyFormattedCitation":"&lt;sup&gt;18&lt;/sup&gt;"},"properties":{"noteIndex":0},"schema":"https://github.com/citation-style-language/schema/raw/master/csl-citation.json"}</w:instrText>
      </w:r>
      <w:r w:rsidR="00241AE0" w:rsidRPr="00D169C2">
        <w:rPr>
          <w:rFonts w:cstheme="minorHAnsi"/>
        </w:rPr>
        <w:fldChar w:fldCharType="separate"/>
      </w:r>
      <w:r w:rsidR="00241AE0" w:rsidRPr="00D169C2">
        <w:rPr>
          <w:rFonts w:cstheme="minorHAnsi"/>
          <w:noProof/>
          <w:vertAlign w:val="superscript"/>
        </w:rPr>
        <w:t>18</w:t>
      </w:r>
      <w:r w:rsidR="00241AE0" w:rsidRPr="00D169C2">
        <w:rPr>
          <w:rFonts w:cstheme="minorHAnsi"/>
        </w:rPr>
        <w:fldChar w:fldCharType="end"/>
      </w:r>
    </w:p>
    <w:p w14:paraId="5BCE45EC" w14:textId="7AFAE356" w:rsidR="00264552" w:rsidRPr="00D169C2" w:rsidRDefault="006A07F0" w:rsidP="005620CA">
      <w:pPr>
        <w:widowControl w:val="0"/>
      </w:pPr>
      <w:r w:rsidRPr="00D169C2">
        <w:t xml:space="preserve">This pilot trial is supposed to evaluate the individual therapeutic benefit for critical care patients by application of HCO membranes or </w:t>
      </w:r>
      <w:proofErr w:type="spellStart"/>
      <w:r w:rsidRPr="00D169C2">
        <w:t>adsorber</w:t>
      </w:r>
      <w:proofErr w:type="spellEnd"/>
      <w:r w:rsidRPr="00D169C2">
        <w:t xml:space="preserve"> in CVVHD using RCA compared to CVVH with systemic anticoagulation. Advantage of both methods is the minimization for the risk of bleeding and HIT. Probably </w:t>
      </w:r>
      <w:r w:rsidR="004E6716" w:rsidRPr="00D169C2">
        <w:t>the methods are superior in the elimination of toxic myoglobin compared to CVVH.</w:t>
      </w:r>
      <w:r w:rsidR="001E460C" w:rsidRPr="00D169C2">
        <w:t xml:space="preserve"> </w:t>
      </w:r>
      <w:r w:rsidR="001E460C" w:rsidRPr="00D169C2">
        <w:br/>
      </w:r>
      <w:r w:rsidR="00F521A4" w:rsidRPr="00D169C2">
        <w:t>Most recently we demonstrated that the application of CVV</w:t>
      </w:r>
      <w:r w:rsidR="00B64CA8" w:rsidRPr="00D169C2">
        <w:t xml:space="preserve">HD-HCO </w:t>
      </w:r>
      <w:r w:rsidR="00F521A4" w:rsidRPr="00D169C2">
        <w:t xml:space="preserve">has got a higher myoglobin clearance </w:t>
      </w:r>
      <w:r w:rsidR="00D937C7" w:rsidRPr="00D169C2">
        <w:t xml:space="preserve">than </w:t>
      </w:r>
      <w:r w:rsidR="00F521A4" w:rsidRPr="00D169C2">
        <w:t xml:space="preserve">the application of continuous </w:t>
      </w:r>
      <w:proofErr w:type="spellStart"/>
      <w:r w:rsidR="00F521A4" w:rsidRPr="00D169C2">
        <w:t>veno</w:t>
      </w:r>
      <w:proofErr w:type="spellEnd"/>
      <w:r w:rsidR="00F521A4" w:rsidRPr="00D169C2">
        <w:t xml:space="preserve">-venous </w:t>
      </w:r>
      <w:proofErr w:type="spellStart"/>
      <w:r w:rsidR="00F521A4" w:rsidRPr="00D169C2">
        <w:t>hemodiafiltration</w:t>
      </w:r>
      <w:proofErr w:type="spellEnd"/>
      <w:r w:rsidR="00F521A4" w:rsidRPr="00D169C2">
        <w:t xml:space="preserve"> </w:t>
      </w:r>
      <w:r w:rsidR="00B64CA8" w:rsidRPr="00D169C2">
        <w:t>(CVVHDF).</w:t>
      </w:r>
      <w:r w:rsidR="00B64CA8" w:rsidRPr="00D169C2">
        <w:fldChar w:fldCharType="begin" w:fldLock="1"/>
      </w:r>
      <w:r w:rsidR="00241AE0" w:rsidRPr="00D169C2">
        <w:instrText>ADDIN CSL_CITATION {"citationItems":[{"id":"ITEM-1","itemData":{"DOI":"10.1186/s13054-020-03366-8","ISSN":"1466-609X","PMID":"33176824","abstract":"BACKGROUND Myoglobin clearance in acute kidney injury requiring renal replacement therapy is important because myoglobin has direct renal toxic effects. Clinical data comparing different modalities of renal replacement therapy addressing myoglobin clearance are limited. This study aimed to compare two renal replacement modalities regarding myoglobin clearance. METHODS In this prospective, randomized, single-blinded, single-center trial, 70 critically ill patients requiring renal replacement therapy were randomized 1:1 into an intervention arm using continuous veno-venous hemodialysis with high cutoff dialyzer and a control arm using continuous veno-venous hemodiafiltration postdilution with high-flux dialyzer. Regional citrate anticoagulation was used in both groups to maintain the extracorporeal circuit. The concentrations of myoglobin, urea, creatinine, β2-microglobulin, interleukin-6 and albumin were measured before and after the dialyzer at 1 h, 6 h, 12 h, 24 h and 48 h after initiating continuous renal replacement therapy. RESULTS Thirty-three patients were allocated to the control arm (CVVHDF with high-flux dialyzer) and 35 patients to the intervention arm (CVVHD with high</w:instrText>
      </w:r>
      <w:r w:rsidR="00241AE0" w:rsidRPr="007B478F">
        <w:instrText xml:space="preserve"> cutoff dialyzer). Myoglobin clearance, as a primary endpoint, was significantly better in the intervention arm than in the control arm throughout the whole study period. The clearance values for urea and creatinine were higher in the control arm. There was no measurable albumin clearance in both arms. The clearance data for </w:instrText>
      </w:r>
      <w:r w:rsidR="00241AE0" w:rsidRPr="00D169C2">
        <w:instrText>β</w:instrText>
      </w:r>
      <w:r w:rsidR="00241AE0" w:rsidRPr="007B478F">
        <w:instrText>2-microglobulin and interleukin-6 were non-inferior in the intervention arm compared to those for the control arm. Dialyzer lifespan was 57.0 [38.0, 72.0] hours in the control arm and 70.0 [56.75, 72.0] hours in the intervention arm (p = 0.029). CONCLUSIONS Myoglobin clearance using continuous veno-venous hemodialysis with high cutoff dialyzer and regional citrate anticoagulation is better than that with continuous veno-venous hemodiafiltration with regional citrate anticoagulation. TRIAL REGISTRATION German Clinical Trials Registry (DRKS00012407); date of registration 23/05/2017. https://www.drks.de/drks_web/navigate.do?navigationId=trial.HTML&amp;TRIAL_ID=DRKS0001</w:instrText>
      </w:r>
      <w:r w:rsidR="00241AE0" w:rsidRPr="00D169C2">
        <w:instrText>2407 .","author":[{"dropping-particle":"","family":"Weidhase","given":"Lorenz","non-dropping-particle":"","parse-names":false,"suffix":""},{"dropping-particle":"","family":"Fallois","given":"Jonathan","non-dropping-particle":"de","parse-names":false,"suffix":""},{"dropping-particle":"","family":"Haußig","given":"Elena","non-dropping-particle":"","parse-names":false,"suffix":""},{"dropping-particle":"","family":"Kaiser","given":"Thorsten","non-dropping-particle":"","parse-names":false,"suffix":""},{"dropping-particle":"","family":"Mende","given":"Meinhard","non-dropping-particle":"","parse-names":false,"suffix":""},{"dropping-particle":"","family":"Petros","given":"Sirak","non-dropping-particle":"","parse-names":false,"suffix":""}],"container-title":"Critical care (London, England)","id":"ITEM-1","issue":"1","issued":{"date-parts":[["2020","12","11"]]},"page":"644","publisher":"BioMed Central","title":"Myoglobin clearance with continuous veno-venous hemodialysis using high cutoff dialyzer versus continuous veno-venous hemodiafiltration using high-flux dialyzer: a prospective randomized controlled trial.","type":"article-journal","volume":"24"},"uris":["http://www.mendeley.com/documents/?uuid=e31ecf45-7258-4e41-b275-7a164cb60ede"]}],"mendeley":{"formattedCitation":"&lt;sup&gt;15&lt;/sup&gt;","plainTextFormattedCitation":"15","previouslyFormattedCitation":"&lt;sup&gt;15&lt;/sup&gt;"},"properties":{"noteIndex":0},"schema":"https://github.com/citation-style-language/schema/raw/master/csl-citation.json"}</w:instrText>
      </w:r>
      <w:r w:rsidR="00B64CA8" w:rsidRPr="00D169C2">
        <w:fldChar w:fldCharType="separate"/>
      </w:r>
      <w:r w:rsidR="00D37889" w:rsidRPr="00D169C2">
        <w:rPr>
          <w:noProof/>
          <w:vertAlign w:val="superscript"/>
        </w:rPr>
        <w:t>15</w:t>
      </w:r>
      <w:r w:rsidR="00B64CA8" w:rsidRPr="00D169C2">
        <w:fldChar w:fldCharType="end"/>
      </w:r>
      <w:r w:rsidR="000E0270" w:rsidRPr="00D169C2">
        <w:t xml:space="preserve"> </w:t>
      </w:r>
      <w:r w:rsidR="00264552" w:rsidRPr="00D169C2">
        <w:t>Case reports indicate that b</w:t>
      </w:r>
      <w:r w:rsidR="00F521A4" w:rsidRPr="00D169C2">
        <w:t xml:space="preserve">lood </w:t>
      </w:r>
      <w:proofErr w:type="spellStart"/>
      <w:r w:rsidR="00F521A4" w:rsidRPr="00D169C2">
        <w:t>adsorber</w:t>
      </w:r>
      <w:proofErr w:type="spellEnd"/>
      <w:r w:rsidR="00F521A4" w:rsidRPr="00D169C2">
        <w:t xml:space="preserve"> might</w:t>
      </w:r>
      <w:r w:rsidR="00264552" w:rsidRPr="00D169C2">
        <w:t xml:space="preserve"> e</w:t>
      </w:r>
      <w:r w:rsidR="00F521A4" w:rsidRPr="00D169C2">
        <w:t>liminat</w:t>
      </w:r>
      <w:r w:rsidR="00264552" w:rsidRPr="00D169C2">
        <w:t>e myoglobin</w:t>
      </w:r>
      <w:r w:rsidR="009B2FC6" w:rsidRPr="00D169C2">
        <w:t xml:space="preserve"> even</w:t>
      </w:r>
      <w:r w:rsidR="00264552" w:rsidRPr="00D169C2">
        <w:t xml:space="preserve"> more effective.</w:t>
      </w:r>
      <w:r w:rsidR="00264552" w:rsidRPr="00D169C2">
        <w:fldChar w:fldCharType="begin" w:fldLock="1"/>
      </w:r>
      <w:r w:rsidR="00264552" w:rsidRPr="00D169C2">
        <w:instrText>ADDIN CSL_CITATION {"citationItems":[{"id":"ITEM-1","itemData":{"DOI":"10.1159/000505899","ISSN":"14219735","PMID":"32114569","abstract":"Rhabdomyolysis, if severe, can lead to acute kidney injury (AKI). Myoglobin is an iron and oxygen-binding protein that is freely filtered by the glomerulus. Precipitation of myoglobin in the nephrons' distal parts is responsible for tubular damage with AKI as a consequence. Extracorporeal clearance of myoglobin is conventionally attempted by the use of continuous renal replacement therapy (CRRT) with high cut-off dialysis membranes to limit the extent of the damage. We describe a case of a 56-year-old man with traumatic crush injury and a persistent source of muscle ischaemia unresponsive to high dose CRRT with EMiC-2 filter. Due to therapy failure, he was subsequently treated with the addition of a haemoadsorber (CytoSorb®) to the circuit. This reduced myoglobin and creatine kinase levels successfully despite ongoing tissue ischaemia. However, CytoSorb® was not enough to maintain microcirculatory perfusion, resulting in the eventual demise of the patient due to severity of the injury. Our report indicates that myoglobin was efficiently removed with CytoSorb® following exchange with the conventional high cut-off filter in continuous venovenous haemodialysis in severe traumatic rhabdomyolysis.","author":[{"dropping-particle":"","family":"Dilken","given":"Olcay","non-dropping-particle":"","parse-names":false,"suffix":""},{"dropping-particle":"","family":"Ince","given":"Can","non-dropping-particle":"","parse-names":false,"suffix":""},{"dropping-particle":"","family":"Hoven","given":"Ben","non-dropping-particle":"van der","parse-names":false,"suffix":""},{"dropping-particle":"","family":"Thijsse","given":"Sjoerd","non-dropping-particle":"","parse-names":false,"suffix":""},{"dropping-particle":"","family":"Ormskerk","given":"Patricia","non-dropping-particle":"","parse-names":false,"suffix":""},{"dropping-particle":"","family":"Geus","given":"Hilde R.H.","non-dropping-particle":"De","parse-names":false,"suffix":""}],"container-title":"Blood Purification","id":"ITEM-1","issued":{"date-parts":[["2020"]]},"page":"743-747","title":"Successful Reduction of Creatine Kinase and Myoglobin Levels in Severe Rhabdomyolysis Using Extracorporeal Blood Purification (CytoSorb®)","type":"article-journal"},"uris":["http://www.mendeley.com/documents/?uuid=bc665d64-d355-438e-968f-ad2e56844551"]}],"mendeley":{"formattedCitation":"&lt;sup&gt;19&lt;/sup&gt;","plainTextFormattedCitation":"19","previouslyFormattedCitation":"&lt;sup&gt;19&lt;/sup&gt;"},"properties":{"noteIndex":0},"schema":"https://github.com/citation-style-language/schema/raw/master/csl-citation.json"}</w:instrText>
      </w:r>
      <w:r w:rsidR="00264552" w:rsidRPr="00D169C2">
        <w:fldChar w:fldCharType="separate"/>
      </w:r>
      <w:r w:rsidR="00264552" w:rsidRPr="00D169C2">
        <w:rPr>
          <w:noProof/>
          <w:vertAlign w:val="superscript"/>
        </w:rPr>
        <w:t>19</w:t>
      </w:r>
      <w:r w:rsidR="00264552" w:rsidRPr="00D169C2">
        <w:fldChar w:fldCharType="end"/>
      </w:r>
      <w:r w:rsidR="00264552" w:rsidRPr="00D169C2">
        <w:t xml:space="preserve"> Application of blood </w:t>
      </w:r>
      <w:proofErr w:type="spellStart"/>
      <w:r w:rsidR="00264552" w:rsidRPr="00D169C2">
        <w:t>adsorbers</w:t>
      </w:r>
      <w:proofErr w:type="spellEnd"/>
      <w:r w:rsidR="00264552" w:rsidRPr="00D169C2">
        <w:t xml:space="preserve"> </w:t>
      </w:r>
      <w:r w:rsidR="009B2FC6" w:rsidRPr="00D169C2">
        <w:t>is official</w:t>
      </w:r>
      <w:r w:rsidR="00264552" w:rsidRPr="00D169C2">
        <w:t xml:space="preserve"> approved </w:t>
      </w:r>
      <w:r w:rsidR="009B2FC6" w:rsidRPr="00D169C2">
        <w:t>for</w:t>
      </w:r>
      <w:r w:rsidR="00264552" w:rsidRPr="00D169C2">
        <w:t xml:space="preserve"> rhabdomyolysis.</w:t>
      </w:r>
    </w:p>
    <w:p w14:paraId="72FCA71C" w14:textId="40D5D75E" w:rsidR="009B2FC6" w:rsidRPr="00D169C2" w:rsidRDefault="00264552" w:rsidP="005620CA">
      <w:pPr>
        <w:widowControl w:val="0"/>
      </w:pPr>
      <w:r w:rsidRPr="00D169C2">
        <w:t xml:space="preserve">The three above mentioned opportunities of RRT in rhabdomyolysis were regular used during the last years at the </w:t>
      </w:r>
      <w:r w:rsidRPr="00D169C2">
        <w:lastRenderedPageBreak/>
        <w:t>medical ICU at the university hospital Leipzig.</w:t>
      </w:r>
      <w:r w:rsidR="00D67302" w:rsidRPr="00D169C2">
        <w:t xml:space="preserve"> </w:t>
      </w:r>
      <w:r w:rsidR="009B2FC6" w:rsidRPr="00D169C2">
        <w:t>There are no reliable findings</w:t>
      </w:r>
      <w:r w:rsidR="000F0419">
        <w:t xml:space="preserve"> at present</w:t>
      </w:r>
      <w:r w:rsidR="009B2FC6" w:rsidRPr="00D169C2">
        <w:t>, which renal replacement therapy is the best choice in this situation.</w:t>
      </w:r>
    </w:p>
    <w:p w14:paraId="7E04ACD9" w14:textId="66B416F9" w:rsidR="009B2FC6" w:rsidRPr="00D169C2" w:rsidRDefault="009B2FC6" w:rsidP="005620CA">
      <w:pPr>
        <w:widowControl w:val="0"/>
      </w:pPr>
      <w:r w:rsidRPr="00D169C2">
        <w:t>In detail</w:t>
      </w:r>
      <w:r w:rsidR="00D169C2" w:rsidRPr="00D169C2">
        <w:t>,</w:t>
      </w:r>
      <w:r w:rsidRPr="00D169C2">
        <w:t xml:space="preserve"> we plan to enroll patients with acute ki</w:t>
      </w:r>
      <w:r w:rsidR="00D169C2">
        <w:t>d</w:t>
      </w:r>
      <w:r w:rsidRPr="00D169C2">
        <w:t>ney injury requiring RRT and suffering from rhabdomyolysis. Eligible patients will be randomized in the three therapy groups. Myoglobin clearance is calculated as surrogate param</w:t>
      </w:r>
      <w:r w:rsidR="003B628C" w:rsidRPr="00D169C2">
        <w:t>e</w:t>
      </w:r>
      <w:r w:rsidRPr="00D169C2">
        <w:t>ter</w:t>
      </w:r>
      <w:r w:rsidR="003B628C" w:rsidRPr="00D169C2">
        <w:t xml:space="preserve"> and the clearance of other molecules with different molecule weight</w:t>
      </w:r>
      <w:r w:rsidR="001E460C" w:rsidRPr="00D169C2">
        <w:t>.</w:t>
      </w:r>
      <w:r w:rsidR="003B628C" w:rsidRPr="00D169C2">
        <w:t xml:space="preserve"> </w:t>
      </w:r>
      <w:r w:rsidR="001E460C" w:rsidRPr="00D169C2">
        <w:t>Renal</w:t>
      </w:r>
      <w:r w:rsidR="003B628C" w:rsidRPr="00D169C2">
        <w:t xml:space="preserve"> outcome will be monitored.</w:t>
      </w:r>
    </w:p>
    <w:p w14:paraId="5C9126AB" w14:textId="16CA222D" w:rsidR="00D67302" w:rsidRDefault="003B628C" w:rsidP="005620CA">
      <w:pPr>
        <w:widowControl w:val="0"/>
      </w:pPr>
      <w:r w:rsidRPr="00D169C2">
        <w:t xml:space="preserve">In our opinion CVVHD with high cutoff filter or </w:t>
      </w:r>
      <w:proofErr w:type="spellStart"/>
      <w:r w:rsidRPr="00D169C2">
        <w:t>adsorber</w:t>
      </w:r>
      <w:proofErr w:type="spellEnd"/>
      <w:r w:rsidRPr="00D169C2">
        <w:t xml:space="preserve"> using RCA is at least effective then CVVH using systemic anticoagulation in the treatment of AKI and rhabdomyolysis and reduce</w:t>
      </w:r>
      <w:r w:rsidR="003F2163" w:rsidRPr="00D169C2">
        <w:t>s</w:t>
      </w:r>
      <w:r w:rsidRPr="00D169C2">
        <w:t xml:space="preserve"> </w:t>
      </w:r>
      <w:r w:rsidR="003F2163" w:rsidRPr="00D169C2">
        <w:t>the risk of complications. On this account it might improve renal outcome.</w:t>
      </w:r>
    </w:p>
    <w:p w14:paraId="638DC78D" w14:textId="3B47970C" w:rsidR="00C7056E" w:rsidRPr="00D169C2" w:rsidRDefault="00C7056E" w:rsidP="005620CA">
      <w:pPr>
        <w:widowControl w:val="0"/>
      </w:pPr>
      <w:r w:rsidRPr="00D169C2">
        <w:t>The trial is a pilot trial. The objectives of the study are: Firstly, to evaluate different renal replacement therapy in the context of severe rhabdomyolysis and secondly, to test and generate potential clinical outcome parameters for further prospective studies with a larger number of participants.</w:t>
      </w:r>
    </w:p>
    <w:p w14:paraId="04D38194" w14:textId="1BC2F471" w:rsidR="0094751E" w:rsidRDefault="0094751E" w:rsidP="005620CA">
      <w:pPr>
        <w:pStyle w:val="NoSpacing"/>
        <w:widowControl w:val="0"/>
        <w:rPr>
          <w:rFonts w:eastAsia="Times New Roman"/>
          <w:b/>
          <w:sz w:val="24"/>
          <w:szCs w:val="24"/>
        </w:rPr>
      </w:pPr>
      <w:r w:rsidRPr="00F16CFE">
        <w:rPr>
          <w:rFonts w:eastAsia="Times New Roman"/>
          <w:b/>
          <w:sz w:val="24"/>
          <w:szCs w:val="24"/>
        </w:rPr>
        <w:t xml:space="preserve">7. </w:t>
      </w:r>
      <w:r w:rsidR="00DF3D8B" w:rsidRPr="00F16CFE">
        <w:rPr>
          <w:rFonts w:eastAsia="Times New Roman"/>
          <w:b/>
          <w:sz w:val="24"/>
          <w:szCs w:val="24"/>
        </w:rPr>
        <w:t>Methods</w:t>
      </w:r>
    </w:p>
    <w:p w14:paraId="2128542A" w14:textId="77777777" w:rsidR="00A34F2A" w:rsidRPr="00F16CFE" w:rsidRDefault="00A34F2A" w:rsidP="005620CA">
      <w:pPr>
        <w:pStyle w:val="NoSpacing"/>
        <w:widowControl w:val="0"/>
        <w:rPr>
          <w:rFonts w:eastAsia="Times New Roman"/>
          <w:b/>
          <w:sz w:val="24"/>
          <w:szCs w:val="24"/>
        </w:rPr>
      </w:pPr>
    </w:p>
    <w:p w14:paraId="52C618BD" w14:textId="185FDEC8" w:rsidR="007F23B3" w:rsidRPr="00F16CFE" w:rsidRDefault="007F23B3" w:rsidP="005620CA">
      <w:pPr>
        <w:pStyle w:val="NoSpacing"/>
        <w:widowControl w:val="0"/>
        <w:rPr>
          <w:rFonts w:eastAsia="Times New Roman"/>
          <w:b/>
        </w:rPr>
      </w:pPr>
      <w:r w:rsidRPr="00F16CFE">
        <w:rPr>
          <w:b/>
        </w:rPr>
        <w:t xml:space="preserve">7.1. </w:t>
      </w:r>
      <w:r w:rsidR="00F16CFE">
        <w:rPr>
          <w:b/>
        </w:rPr>
        <w:t>S</w:t>
      </w:r>
      <w:r w:rsidRPr="00F16CFE">
        <w:rPr>
          <w:b/>
        </w:rPr>
        <w:t xml:space="preserve">tudy </w:t>
      </w:r>
      <w:r w:rsidR="00A34F2A">
        <w:rPr>
          <w:b/>
        </w:rPr>
        <w:t>o</w:t>
      </w:r>
      <w:r w:rsidR="006518AF" w:rsidRPr="00F16CFE">
        <w:rPr>
          <w:b/>
        </w:rPr>
        <w:t xml:space="preserve">bjectives and </w:t>
      </w:r>
      <w:r w:rsidRPr="00F16CFE">
        <w:rPr>
          <w:b/>
        </w:rPr>
        <w:t>design</w:t>
      </w:r>
      <w:r w:rsidRPr="00F16CFE">
        <w:rPr>
          <w:rFonts w:eastAsia="Times New Roman"/>
          <w:b/>
        </w:rPr>
        <w:t>:</w:t>
      </w:r>
    </w:p>
    <w:p w14:paraId="63613987" w14:textId="69E67D9C" w:rsidR="00477662" w:rsidRDefault="006B291F" w:rsidP="005620CA">
      <w:pPr>
        <w:pStyle w:val="NoSpacing"/>
        <w:widowControl w:val="0"/>
      </w:pPr>
      <w:r w:rsidRPr="00D169C2">
        <w:rPr>
          <w:rFonts w:eastAsia="Times New Roman"/>
        </w:rPr>
        <w:t>We plan a prospective, randomized, single</w:t>
      </w:r>
      <w:r w:rsidR="00D937C7" w:rsidRPr="00D169C2">
        <w:rPr>
          <w:rFonts w:eastAsia="Times New Roman"/>
        </w:rPr>
        <w:t>-</w:t>
      </w:r>
      <w:r w:rsidRPr="00D169C2">
        <w:rPr>
          <w:rFonts w:eastAsia="Times New Roman"/>
        </w:rPr>
        <w:t xml:space="preserve">blinded, single-center </w:t>
      </w:r>
      <w:r w:rsidR="00FF01CD" w:rsidRPr="00D169C2">
        <w:rPr>
          <w:rFonts w:eastAsia="Times New Roman"/>
        </w:rPr>
        <w:t xml:space="preserve">pilot </w:t>
      </w:r>
      <w:r w:rsidRPr="00D169C2">
        <w:rPr>
          <w:rFonts w:eastAsia="Times New Roman"/>
        </w:rPr>
        <w:t>trial. Informed consent is necessity and either given by the patients or their legal guardians. Allocation concealment and unrestricted randomization will carried out using sequentially numbered, opaque sealed envelopes as previously described.</w:t>
      </w:r>
      <w:r w:rsidRPr="00D169C2">
        <w:rPr>
          <w:rFonts w:eastAsia="Times New Roman"/>
        </w:rPr>
        <w:fldChar w:fldCharType="begin" w:fldLock="1"/>
      </w:r>
      <w:r w:rsidR="005215C7" w:rsidRPr="00D169C2">
        <w:rPr>
          <w:rFonts w:eastAsia="Times New Roman"/>
        </w:rPr>
        <w:instrText>ADDIN CSL_CITATION {"citationItems":[{"id":"ITEM-1","itemData":{"DOI":"10.1016/j.jcrc.2005.04.005","ISSN":"08839441","author":[{"dropping-particle":"","family":"Doig","given":"Gordon S","non-dropping-particle":"","parse-names":false,"suffix":""},{"dropping-particle":"","family":"Simpson","given":"Fiona","non-dropping-particle":"","parse-names":false,"suffix":""}],"container-title":"Journal of Critical Care","id":"ITEM-1","issue":"2","issued":{"date-parts":[["2005","6"]]},"page":"187-191","title":"Randomization and allocation concealment: a practical guide for researchers","type":"article-journal","volume":"20"},"uris":["http://www.mendeley.com/documents/?uuid=9e6e1cba-f5ee-40b4-ae93-0260b37dac98"]}],"mendeley":{"formattedCitation":"&lt;sup&gt;20&lt;/sup&gt;","plainTextFormattedCitation":"20","previouslyFormattedCitation":"&lt;sup&gt;20&lt;/sup&gt;"},"properties":{"noteIndex":0},"schema":"https://github.com/citation-style-language/schema/raw/master/csl-citation.json"}</w:instrText>
      </w:r>
      <w:r w:rsidRPr="00D169C2">
        <w:rPr>
          <w:rFonts w:eastAsia="Times New Roman"/>
        </w:rPr>
        <w:fldChar w:fldCharType="separate"/>
      </w:r>
      <w:r w:rsidRPr="00D169C2">
        <w:rPr>
          <w:rFonts w:eastAsia="Times New Roman"/>
          <w:noProof/>
          <w:vertAlign w:val="superscript"/>
        </w:rPr>
        <w:t>20</w:t>
      </w:r>
      <w:r w:rsidRPr="00D169C2">
        <w:rPr>
          <w:rFonts w:eastAsia="Times New Roman"/>
        </w:rPr>
        <w:fldChar w:fldCharType="end"/>
      </w:r>
      <w:r w:rsidRPr="00D169C2">
        <w:rPr>
          <w:rFonts w:eastAsia="Times New Roman"/>
        </w:rPr>
        <w:t xml:space="preserve"> For technical reasons, only patients </w:t>
      </w:r>
      <w:r w:rsidR="00FF01CD" w:rsidRPr="00D169C2">
        <w:rPr>
          <w:rFonts w:eastAsia="Times New Roman"/>
        </w:rPr>
        <w:t xml:space="preserve">can be </w:t>
      </w:r>
      <w:r w:rsidRPr="00D169C2">
        <w:rPr>
          <w:rFonts w:eastAsia="Times New Roman"/>
        </w:rPr>
        <w:t>blinded to the treatment arm.</w:t>
      </w:r>
      <w:r w:rsidR="00477662" w:rsidRPr="00D169C2">
        <w:t xml:space="preserve"> </w:t>
      </w:r>
    </w:p>
    <w:p w14:paraId="4A6DBF9C" w14:textId="77777777" w:rsidR="00A34F2A" w:rsidRPr="00D169C2" w:rsidRDefault="00A34F2A" w:rsidP="005620CA">
      <w:pPr>
        <w:pStyle w:val="NoSpacing"/>
        <w:widowControl w:val="0"/>
      </w:pPr>
    </w:p>
    <w:p w14:paraId="5023EC15" w14:textId="5465F194" w:rsidR="005215C7" w:rsidRPr="00A34F2A" w:rsidRDefault="005215C7" w:rsidP="005620CA">
      <w:pPr>
        <w:pStyle w:val="NoSpacing"/>
        <w:widowControl w:val="0"/>
        <w:rPr>
          <w:rFonts w:eastAsia="Times New Roman"/>
          <w:b/>
        </w:rPr>
      </w:pPr>
      <w:r w:rsidRPr="00A34F2A">
        <w:rPr>
          <w:rFonts w:eastAsia="Times New Roman"/>
          <w:b/>
        </w:rPr>
        <w:t>7.2.1. Inclusion criteria:</w:t>
      </w:r>
    </w:p>
    <w:p w14:paraId="25F52B5C" w14:textId="3C131D5C" w:rsidR="005215C7" w:rsidRPr="00D169C2" w:rsidRDefault="005215C7" w:rsidP="005620CA">
      <w:pPr>
        <w:pStyle w:val="NoSpacing"/>
        <w:widowControl w:val="0"/>
        <w:numPr>
          <w:ilvl w:val="0"/>
          <w:numId w:val="39"/>
        </w:numPr>
        <w:ind w:left="714" w:hanging="357"/>
      </w:pPr>
      <w:r w:rsidRPr="00D169C2">
        <w:t>Informed consent</w:t>
      </w:r>
    </w:p>
    <w:p w14:paraId="59D176C5" w14:textId="3E2C9691" w:rsidR="005215C7" w:rsidRPr="00D169C2" w:rsidRDefault="005215C7" w:rsidP="005620CA">
      <w:pPr>
        <w:pStyle w:val="ListParagraph"/>
        <w:widowControl w:val="0"/>
        <w:numPr>
          <w:ilvl w:val="0"/>
          <w:numId w:val="39"/>
        </w:numPr>
        <w:spacing w:before="0" w:after="0" w:line="240" w:lineRule="auto"/>
        <w:ind w:left="714" w:hanging="357"/>
      </w:pPr>
      <w:r w:rsidRPr="00D169C2">
        <w:t>Acute kidney injury requiring renal replacement therapy (according KDIGO guidelines)</w:t>
      </w:r>
      <w:r w:rsidRPr="00D169C2">
        <w:fldChar w:fldCharType="begin" w:fldLock="1"/>
      </w:r>
      <w:r w:rsidR="001D3845" w:rsidRPr="00D169C2">
        <w:instrText>ADDIN CSL_CITATION {"citationItems":[{"id":"ITEM-1","itemData":{"DOI":"10.1038/kisup.2012.4","ISBN":"2157-1724","ISSN":"2157-1724","PMID":"25018913","author":[{"dropping-particle":"","family":"KDIGO","given":"","non-dropping-particle":"","parse-names":false,"suffix":""}],"container-title":"Kidney international supplements","id":"ITEM-1","issue":"1","issued":{"date-parts":[["2012"]]},"page":"4","title":"Clinical Practice Guideline for Acute Kidney Injury (AKI)","type":"article-journal","volume":"2"},"uris":["http://www.mendeley.com/documents/?uuid=0affeda3-6692-4d18-b3de-cef736e3567b"]}],"mendeley":{"formattedCitation":"&lt;sup&gt;12&lt;/sup&gt;","plainTextFormattedCitation":"12","previouslyFormattedCitation":"&lt;sup&gt;12&lt;/sup&gt;"},"properties":{"noteIndex":0},"schema":"https://github.com/citation-style-language/schema/raw/master/csl-citation.json"}</w:instrText>
      </w:r>
      <w:r w:rsidRPr="00D169C2">
        <w:fldChar w:fldCharType="separate"/>
      </w:r>
      <w:r w:rsidRPr="00D169C2">
        <w:rPr>
          <w:noProof/>
          <w:vertAlign w:val="superscript"/>
        </w:rPr>
        <w:t>12</w:t>
      </w:r>
      <w:r w:rsidRPr="00D169C2">
        <w:fldChar w:fldCharType="end"/>
      </w:r>
    </w:p>
    <w:p w14:paraId="0AB1F7C1" w14:textId="74B5B061" w:rsidR="005215C7" w:rsidRPr="00D169C2" w:rsidRDefault="005215C7" w:rsidP="005620CA">
      <w:pPr>
        <w:pStyle w:val="ListParagraph"/>
        <w:widowControl w:val="0"/>
        <w:numPr>
          <w:ilvl w:val="0"/>
          <w:numId w:val="39"/>
        </w:numPr>
        <w:spacing w:before="0" w:after="0" w:line="240" w:lineRule="auto"/>
        <w:ind w:left="714" w:hanging="357"/>
      </w:pPr>
      <w:r w:rsidRPr="00D169C2">
        <w:t xml:space="preserve">Plasma myoglobin level above </w:t>
      </w:r>
      <w:r w:rsidRPr="00D169C2">
        <w:rPr>
          <w:rFonts w:eastAsia="Times New Roman" w:cstheme="minorHAnsi"/>
        </w:rPr>
        <w:t>4000 µg/l</w:t>
      </w:r>
      <w:r w:rsidRPr="00D169C2">
        <w:t>.</w:t>
      </w:r>
    </w:p>
    <w:p w14:paraId="2AABB6CB" w14:textId="77777777" w:rsidR="00A34F2A" w:rsidRDefault="00A34F2A" w:rsidP="005620CA">
      <w:pPr>
        <w:pStyle w:val="NoSpacing"/>
        <w:widowControl w:val="0"/>
      </w:pPr>
    </w:p>
    <w:p w14:paraId="4CDA19EC" w14:textId="0B6895AA" w:rsidR="003906C1" w:rsidRPr="00A34F2A" w:rsidRDefault="005215C7" w:rsidP="005620CA">
      <w:pPr>
        <w:pStyle w:val="NoSpacing"/>
        <w:widowControl w:val="0"/>
        <w:rPr>
          <w:b/>
        </w:rPr>
      </w:pPr>
      <w:r w:rsidRPr="00A34F2A">
        <w:rPr>
          <w:b/>
        </w:rPr>
        <w:t xml:space="preserve">7.2.2. </w:t>
      </w:r>
      <w:r w:rsidR="00A34F2A">
        <w:rPr>
          <w:b/>
        </w:rPr>
        <w:t>E</w:t>
      </w:r>
      <w:r w:rsidRPr="00A34F2A">
        <w:rPr>
          <w:b/>
        </w:rPr>
        <w:t>xclusion criteria:</w:t>
      </w:r>
    </w:p>
    <w:p w14:paraId="5C020BAE" w14:textId="35DB5C7D" w:rsidR="005215C7" w:rsidRPr="00D169C2" w:rsidRDefault="005215C7" w:rsidP="005620CA">
      <w:pPr>
        <w:pStyle w:val="ListParagraph"/>
        <w:widowControl w:val="0"/>
        <w:numPr>
          <w:ilvl w:val="0"/>
          <w:numId w:val="36"/>
        </w:numPr>
        <w:spacing w:before="0" w:after="0" w:line="240" w:lineRule="auto"/>
        <w:ind w:left="357" w:hanging="357"/>
        <w:jc w:val="both"/>
        <w:rPr>
          <w:rFonts w:eastAsia="Times New Roman" w:cstheme="minorHAnsi"/>
        </w:rPr>
      </w:pPr>
      <w:r w:rsidRPr="00D169C2">
        <w:rPr>
          <w:rFonts w:eastAsia="Times New Roman" w:cstheme="minorHAnsi"/>
        </w:rPr>
        <w:t>Refuse to participate</w:t>
      </w:r>
    </w:p>
    <w:p w14:paraId="55870CA5" w14:textId="0C000EA7" w:rsidR="005215C7" w:rsidRPr="00D169C2" w:rsidRDefault="003906C1" w:rsidP="005620CA">
      <w:pPr>
        <w:pStyle w:val="ListParagraph"/>
        <w:widowControl w:val="0"/>
        <w:numPr>
          <w:ilvl w:val="0"/>
          <w:numId w:val="36"/>
        </w:numPr>
        <w:spacing w:before="0" w:after="0" w:line="240" w:lineRule="auto"/>
        <w:jc w:val="both"/>
        <w:rPr>
          <w:rFonts w:eastAsia="Times New Roman" w:cstheme="minorHAnsi"/>
        </w:rPr>
      </w:pPr>
      <w:r w:rsidRPr="00D169C2">
        <w:rPr>
          <w:rFonts w:eastAsia="Times New Roman" w:cstheme="minorHAnsi"/>
        </w:rPr>
        <w:t xml:space="preserve">Rejection of renal replacement therapy </w:t>
      </w:r>
    </w:p>
    <w:p w14:paraId="38FCE823" w14:textId="56412583" w:rsidR="005215C7" w:rsidRPr="00D169C2" w:rsidRDefault="003906C1" w:rsidP="005620CA">
      <w:pPr>
        <w:pStyle w:val="ListParagraph"/>
        <w:widowControl w:val="0"/>
        <w:numPr>
          <w:ilvl w:val="0"/>
          <w:numId w:val="36"/>
        </w:numPr>
        <w:spacing w:before="0" w:after="0" w:line="240" w:lineRule="auto"/>
        <w:jc w:val="both"/>
        <w:rPr>
          <w:rFonts w:eastAsia="Times New Roman" w:cstheme="minorHAnsi"/>
        </w:rPr>
      </w:pPr>
      <w:r w:rsidRPr="00D169C2">
        <w:rPr>
          <w:rFonts w:eastAsia="Times New Roman" w:cstheme="minorHAnsi"/>
        </w:rPr>
        <w:t>Age &lt; 18 years</w:t>
      </w:r>
    </w:p>
    <w:p w14:paraId="714DA603" w14:textId="2EED9A59" w:rsidR="003906C1" w:rsidRDefault="003906C1" w:rsidP="005620CA">
      <w:pPr>
        <w:pStyle w:val="ListParagraph"/>
        <w:widowControl w:val="0"/>
        <w:numPr>
          <w:ilvl w:val="0"/>
          <w:numId w:val="36"/>
        </w:numPr>
        <w:spacing w:before="0" w:after="0" w:line="240" w:lineRule="auto"/>
        <w:jc w:val="both"/>
        <w:rPr>
          <w:rFonts w:eastAsia="Times New Roman" w:cstheme="minorHAnsi"/>
        </w:rPr>
      </w:pPr>
      <w:r w:rsidRPr="00D169C2">
        <w:rPr>
          <w:rFonts w:eastAsia="Times New Roman" w:cstheme="minorHAnsi"/>
        </w:rPr>
        <w:t>Contraindication for renal replacement therapy, for example end-stage underlying disease</w:t>
      </w:r>
    </w:p>
    <w:p w14:paraId="6C471009" w14:textId="5C9E3144" w:rsidR="00996306" w:rsidRPr="00D169C2" w:rsidRDefault="00996306" w:rsidP="005620CA">
      <w:pPr>
        <w:pStyle w:val="ListParagraph"/>
        <w:widowControl w:val="0"/>
        <w:numPr>
          <w:ilvl w:val="0"/>
          <w:numId w:val="36"/>
        </w:numPr>
        <w:spacing w:before="0" w:after="0" w:line="240" w:lineRule="auto"/>
        <w:jc w:val="both"/>
        <w:rPr>
          <w:rFonts w:eastAsia="Times New Roman" w:cstheme="minorHAnsi"/>
        </w:rPr>
      </w:pPr>
      <w:r>
        <w:rPr>
          <w:rFonts w:eastAsia="Times New Roman" w:cstheme="minorHAnsi"/>
        </w:rPr>
        <w:t>HIT</w:t>
      </w:r>
    </w:p>
    <w:p w14:paraId="59626A85" w14:textId="72BE8621" w:rsidR="005215C7" w:rsidRPr="00D169C2" w:rsidRDefault="003906C1" w:rsidP="005620CA">
      <w:pPr>
        <w:pStyle w:val="ListParagraph"/>
        <w:widowControl w:val="0"/>
        <w:numPr>
          <w:ilvl w:val="0"/>
          <w:numId w:val="36"/>
        </w:numPr>
        <w:spacing w:before="0" w:after="0" w:line="240" w:lineRule="auto"/>
        <w:jc w:val="both"/>
        <w:rPr>
          <w:rFonts w:eastAsia="Times New Roman" w:cstheme="minorHAnsi"/>
        </w:rPr>
      </w:pPr>
      <w:r w:rsidRPr="00D169C2">
        <w:rPr>
          <w:rFonts w:eastAsia="Times New Roman" w:cstheme="minorHAnsi"/>
        </w:rPr>
        <w:t>Preexisting end stage kidney disease (CKD G5)/chronic intermittent hemodialysis</w:t>
      </w:r>
    </w:p>
    <w:p w14:paraId="2F9D480F" w14:textId="52457EAE" w:rsidR="005215C7" w:rsidRDefault="003906C1" w:rsidP="005620CA">
      <w:pPr>
        <w:pStyle w:val="ListParagraph"/>
        <w:widowControl w:val="0"/>
        <w:numPr>
          <w:ilvl w:val="0"/>
          <w:numId w:val="36"/>
        </w:numPr>
        <w:spacing w:before="0" w:after="0" w:line="240" w:lineRule="auto"/>
        <w:jc w:val="both"/>
        <w:rPr>
          <w:rFonts w:eastAsia="Times New Roman" w:cstheme="minorHAnsi"/>
        </w:rPr>
      </w:pPr>
      <w:r w:rsidRPr="00D169C2">
        <w:rPr>
          <w:rFonts w:eastAsia="Times New Roman" w:cstheme="minorHAnsi"/>
        </w:rPr>
        <w:t>Pregnancy and lactation</w:t>
      </w:r>
    </w:p>
    <w:p w14:paraId="6437B957" w14:textId="1CB640CD" w:rsidR="005215C7" w:rsidRPr="00A34F2A" w:rsidRDefault="00A34F2A" w:rsidP="005620CA">
      <w:pPr>
        <w:pStyle w:val="ListParagraph"/>
        <w:widowControl w:val="0"/>
        <w:numPr>
          <w:ilvl w:val="0"/>
          <w:numId w:val="36"/>
        </w:numPr>
        <w:spacing w:before="0" w:after="0" w:line="240" w:lineRule="auto"/>
        <w:jc w:val="both"/>
        <w:rPr>
          <w:rFonts w:eastAsia="Times New Roman"/>
        </w:rPr>
      </w:pPr>
      <w:r w:rsidRPr="00A34F2A">
        <w:rPr>
          <w:rFonts w:eastAsia="Times New Roman" w:cstheme="minorHAnsi"/>
        </w:rPr>
        <w:t>P</w:t>
      </w:r>
      <w:r w:rsidR="003906C1" w:rsidRPr="00A34F2A">
        <w:rPr>
          <w:rFonts w:eastAsia="Times New Roman"/>
        </w:rPr>
        <w:t xml:space="preserve">articipation in other treatment studies </w:t>
      </w:r>
    </w:p>
    <w:p w14:paraId="27A34914" w14:textId="77777777" w:rsidR="00A34F2A" w:rsidRDefault="00A34F2A" w:rsidP="005620CA">
      <w:pPr>
        <w:pStyle w:val="NoSpacing"/>
        <w:widowControl w:val="0"/>
      </w:pPr>
    </w:p>
    <w:p w14:paraId="2A40919E" w14:textId="540B23BA" w:rsidR="005215C7" w:rsidRPr="00A34F2A" w:rsidRDefault="00315875" w:rsidP="005620CA">
      <w:pPr>
        <w:pStyle w:val="NoSpacing"/>
        <w:widowControl w:val="0"/>
        <w:rPr>
          <w:b/>
        </w:rPr>
      </w:pPr>
      <w:r w:rsidRPr="00A34F2A">
        <w:rPr>
          <w:b/>
        </w:rPr>
        <w:t>7.</w:t>
      </w:r>
      <w:r w:rsidR="00722CEF" w:rsidRPr="00A34F2A">
        <w:rPr>
          <w:b/>
        </w:rPr>
        <w:t>3</w:t>
      </w:r>
      <w:r w:rsidRPr="00A34F2A">
        <w:rPr>
          <w:b/>
        </w:rPr>
        <w:t xml:space="preserve">. </w:t>
      </w:r>
      <w:r w:rsidR="00A34F2A">
        <w:rPr>
          <w:b/>
        </w:rPr>
        <w:t>P</w:t>
      </w:r>
      <w:r w:rsidRPr="00A34F2A">
        <w:rPr>
          <w:b/>
        </w:rPr>
        <w:t>atients</w:t>
      </w:r>
      <w:r w:rsidR="005215C7" w:rsidRPr="00A34F2A">
        <w:rPr>
          <w:b/>
        </w:rPr>
        <w:t>:</w:t>
      </w:r>
    </w:p>
    <w:p w14:paraId="3BCA3BF8" w14:textId="72D2D92D" w:rsidR="00315875" w:rsidRPr="00D169C2" w:rsidRDefault="00315875" w:rsidP="005620CA">
      <w:pPr>
        <w:pStyle w:val="NoSpacing"/>
        <w:widowControl w:val="0"/>
      </w:pPr>
      <w:r w:rsidRPr="00D169C2">
        <w:t xml:space="preserve">All patients who are admitted to our medical ICU will be screened for eligibility during the recruitment period. </w:t>
      </w:r>
      <w:r w:rsidR="005215C7" w:rsidRPr="00D169C2">
        <w:t>If they meet i</w:t>
      </w:r>
      <w:r w:rsidRPr="00D169C2">
        <w:t xml:space="preserve">nclusion criteria patients </w:t>
      </w:r>
      <w:r w:rsidR="003906C1" w:rsidRPr="00D169C2">
        <w:t>will be</w:t>
      </w:r>
      <w:r w:rsidRPr="00D169C2">
        <w:t xml:space="preserve"> randomized </w:t>
      </w:r>
      <w:r w:rsidR="005215C7" w:rsidRPr="00D169C2">
        <w:t xml:space="preserve">1:1:1 </w:t>
      </w:r>
      <w:r w:rsidRPr="00D169C2">
        <w:t>to one of the following treatment groups:</w:t>
      </w:r>
    </w:p>
    <w:p w14:paraId="41C073A5" w14:textId="144A3120" w:rsidR="005215C7" w:rsidRPr="00D169C2" w:rsidRDefault="005215C7" w:rsidP="005620CA">
      <w:pPr>
        <w:widowControl w:val="0"/>
        <w:ind w:left="1440" w:hanging="1440"/>
        <w:rPr>
          <w:rFonts w:ascii="Calibri" w:hAnsi="Calibri"/>
        </w:rPr>
      </w:pPr>
      <w:r w:rsidRPr="00D169C2">
        <w:rPr>
          <w:rFonts w:ascii="Calibri" w:hAnsi="Calibri"/>
        </w:rPr>
        <w:t>Gr</w:t>
      </w:r>
      <w:r w:rsidR="003906C1" w:rsidRPr="00D169C2">
        <w:rPr>
          <w:rFonts w:ascii="Calibri" w:hAnsi="Calibri"/>
        </w:rPr>
        <w:t>oup</w:t>
      </w:r>
      <w:r w:rsidRPr="00D169C2">
        <w:rPr>
          <w:rFonts w:ascii="Calibri" w:hAnsi="Calibri"/>
        </w:rPr>
        <w:t xml:space="preserve"> A</w:t>
      </w:r>
      <w:r w:rsidRPr="00D169C2">
        <w:rPr>
          <w:rFonts w:ascii="Calibri" w:hAnsi="Calibri"/>
        </w:rPr>
        <w:tab/>
        <w:t>CVVH-</w:t>
      </w:r>
      <w:proofErr w:type="spellStart"/>
      <w:r w:rsidRPr="00D169C2">
        <w:rPr>
          <w:rFonts w:ascii="Calibri" w:hAnsi="Calibri"/>
        </w:rPr>
        <w:t>postfilter</w:t>
      </w:r>
      <w:proofErr w:type="spellEnd"/>
      <w:r w:rsidRPr="00D169C2">
        <w:rPr>
          <w:rFonts w:ascii="Calibri" w:hAnsi="Calibri"/>
        </w:rPr>
        <w:t xml:space="preserve"> </w:t>
      </w:r>
      <w:r w:rsidR="003906C1" w:rsidRPr="00D169C2">
        <w:rPr>
          <w:rFonts w:ascii="Calibri" w:hAnsi="Calibri"/>
        </w:rPr>
        <w:t>with</w:t>
      </w:r>
      <w:r w:rsidRPr="00D169C2">
        <w:rPr>
          <w:rFonts w:ascii="Calibri" w:hAnsi="Calibri"/>
        </w:rPr>
        <w:t xml:space="preserve"> high-flux filter (</w:t>
      </w:r>
      <w:proofErr w:type="spellStart"/>
      <w:r w:rsidRPr="00D169C2">
        <w:rPr>
          <w:rFonts w:ascii="Calibri" w:hAnsi="Calibri"/>
        </w:rPr>
        <w:t>Ultraflux</w:t>
      </w:r>
      <w:proofErr w:type="spellEnd"/>
      <w:r w:rsidRPr="00D169C2">
        <w:rPr>
          <w:rFonts w:ascii="Calibri" w:hAnsi="Calibri" w:cs="Calibri"/>
        </w:rPr>
        <w:t xml:space="preserve">® </w:t>
      </w:r>
      <w:r w:rsidRPr="00D169C2">
        <w:rPr>
          <w:rFonts w:ascii="Calibri" w:hAnsi="Calibri"/>
        </w:rPr>
        <w:t>AV</w:t>
      </w:r>
      <w:r w:rsidR="004B758C">
        <w:rPr>
          <w:rFonts w:ascii="Calibri" w:hAnsi="Calibri"/>
        </w:rPr>
        <w:t>10</w:t>
      </w:r>
      <w:r w:rsidRPr="00D169C2">
        <w:rPr>
          <w:rFonts w:ascii="Calibri" w:hAnsi="Calibri"/>
        </w:rPr>
        <w:t>00</w:t>
      </w:r>
      <w:r w:rsidR="003A309F">
        <w:rPr>
          <w:rFonts w:ascii="Calibri" w:hAnsi="Calibri"/>
        </w:rPr>
        <w:t>S</w:t>
      </w:r>
      <w:r w:rsidRPr="00D169C2">
        <w:rPr>
          <w:rFonts w:ascii="Calibri" w:hAnsi="Calibri"/>
        </w:rPr>
        <w:t>, Fresenius Medical Care AG &amp; Co., Else-</w:t>
      </w:r>
      <w:proofErr w:type="spellStart"/>
      <w:r w:rsidRPr="00D169C2">
        <w:rPr>
          <w:rFonts w:ascii="Calibri" w:hAnsi="Calibri"/>
        </w:rPr>
        <w:t>Kroener</w:t>
      </w:r>
      <w:proofErr w:type="spellEnd"/>
      <w:r w:rsidRPr="00D169C2">
        <w:rPr>
          <w:rFonts w:ascii="Calibri" w:hAnsi="Calibri"/>
        </w:rPr>
        <w:t>-</w:t>
      </w:r>
      <w:proofErr w:type="spellStart"/>
      <w:r w:rsidRPr="00D169C2">
        <w:rPr>
          <w:rFonts w:ascii="Calibri" w:hAnsi="Calibri"/>
        </w:rPr>
        <w:t>Stra</w:t>
      </w:r>
      <w:r w:rsidR="003906C1" w:rsidRPr="00D169C2">
        <w:rPr>
          <w:rFonts w:ascii="Calibri" w:hAnsi="Calibri"/>
        </w:rPr>
        <w:t>ß</w:t>
      </w:r>
      <w:r w:rsidRPr="00D169C2">
        <w:rPr>
          <w:rFonts w:ascii="Calibri" w:hAnsi="Calibri"/>
        </w:rPr>
        <w:t>e</w:t>
      </w:r>
      <w:proofErr w:type="spellEnd"/>
      <w:r w:rsidRPr="00D169C2">
        <w:rPr>
          <w:rFonts w:ascii="Calibri" w:hAnsi="Calibri"/>
        </w:rPr>
        <w:t xml:space="preserve"> 1, </w:t>
      </w:r>
      <w:proofErr w:type="gramStart"/>
      <w:r w:rsidRPr="00D169C2">
        <w:rPr>
          <w:rFonts w:ascii="Calibri" w:hAnsi="Calibri"/>
        </w:rPr>
        <w:t>Bad</w:t>
      </w:r>
      <w:proofErr w:type="gramEnd"/>
      <w:r w:rsidRPr="00D169C2">
        <w:rPr>
          <w:rFonts w:ascii="Calibri" w:hAnsi="Calibri"/>
        </w:rPr>
        <w:t xml:space="preserve"> Homburg</w:t>
      </w:r>
      <w:r w:rsidR="003906C1" w:rsidRPr="00D169C2">
        <w:rPr>
          <w:rFonts w:ascii="Calibri" w:hAnsi="Calibri"/>
        </w:rPr>
        <w:t>, Germany</w:t>
      </w:r>
      <w:r w:rsidRPr="00D169C2">
        <w:rPr>
          <w:rFonts w:ascii="Calibri" w:hAnsi="Calibri"/>
        </w:rPr>
        <w:t>)</w:t>
      </w:r>
    </w:p>
    <w:p w14:paraId="0F216859" w14:textId="4FBF2007" w:rsidR="005215C7" w:rsidRPr="00D169C2" w:rsidRDefault="005215C7" w:rsidP="005620CA">
      <w:pPr>
        <w:widowControl w:val="0"/>
        <w:ind w:left="1440" w:hanging="1440"/>
        <w:rPr>
          <w:rFonts w:ascii="Calibri" w:hAnsi="Calibri"/>
        </w:rPr>
      </w:pPr>
      <w:r w:rsidRPr="00D169C2">
        <w:rPr>
          <w:rFonts w:ascii="Calibri" w:hAnsi="Calibri"/>
        </w:rPr>
        <w:t>Gr</w:t>
      </w:r>
      <w:r w:rsidR="003906C1" w:rsidRPr="00D169C2">
        <w:rPr>
          <w:rFonts w:ascii="Calibri" w:hAnsi="Calibri"/>
        </w:rPr>
        <w:t>oup</w:t>
      </w:r>
      <w:r w:rsidRPr="00D169C2">
        <w:rPr>
          <w:rFonts w:ascii="Calibri" w:hAnsi="Calibri"/>
        </w:rPr>
        <w:t xml:space="preserve"> B</w:t>
      </w:r>
      <w:r w:rsidRPr="00D169C2">
        <w:rPr>
          <w:rFonts w:ascii="Calibri" w:hAnsi="Calibri"/>
        </w:rPr>
        <w:tab/>
        <w:t xml:space="preserve">CVVHD </w:t>
      </w:r>
      <w:r w:rsidR="00722CEF" w:rsidRPr="00D169C2">
        <w:rPr>
          <w:rFonts w:ascii="Calibri" w:hAnsi="Calibri"/>
        </w:rPr>
        <w:t xml:space="preserve">with </w:t>
      </w:r>
      <w:r w:rsidRPr="00D169C2">
        <w:rPr>
          <w:rFonts w:ascii="Calibri" w:hAnsi="Calibri"/>
        </w:rPr>
        <w:t>HCO</w:t>
      </w:r>
      <w:r w:rsidR="00722CEF" w:rsidRPr="00D169C2">
        <w:rPr>
          <w:rFonts w:ascii="Calibri" w:hAnsi="Calibri"/>
        </w:rPr>
        <w:t xml:space="preserve"> f</w:t>
      </w:r>
      <w:r w:rsidRPr="00D169C2">
        <w:rPr>
          <w:rFonts w:ascii="Calibri" w:hAnsi="Calibri"/>
        </w:rPr>
        <w:t>ilter (EMiC</w:t>
      </w:r>
      <w:r w:rsidRPr="00D169C2">
        <w:rPr>
          <w:rFonts w:ascii="Calibri" w:hAnsi="Calibri" w:cs="Calibri"/>
        </w:rPr>
        <w:t>®</w:t>
      </w:r>
      <w:r w:rsidRPr="00D169C2">
        <w:rPr>
          <w:rFonts w:ascii="Calibri" w:hAnsi="Calibri"/>
        </w:rPr>
        <w:t>2, Fresenius Medical Care AG &amp; Co., Else-</w:t>
      </w:r>
      <w:proofErr w:type="spellStart"/>
      <w:r w:rsidRPr="00D169C2">
        <w:rPr>
          <w:rFonts w:ascii="Calibri" w:hAnsi="Calibri"/>
        </w:rPr>
        <w:t>Kroener</w:t>
      </w:r>
      <w:proofErr w:type="spellEnd"/>
      <w:r w:rsidRPr="00D169C2">
        <w:rPr>
          <w:rFonts w:ascii="Calibri" w:hAnsi="Calibri"/>
        </w:rPr>
        <w:t>-</w:t>
      </w:r>
      <w:proofErr w:type="spellStart"/>
      <w:r w:rsidRPr="00D169C2">
        <w:rPr>
          <w:rFonts w:ascii="Calibri" w:hAnsi="Calibri"/>
        </w:rPr>
        <w:t>Stra</w:t>
      </w:r>
      <w:r w:rsidR="00722CEF" w:rsidRPr="00D169C2">
        <w:rPr>
          <w:rFonts w:ascii="Calibri" w:hAnsi="Calibri"/>
        </w:rPr>
        <w:t>ß</w:t>
      </w:r>
      <w:r w:rsidRPr="00D169C2">
        <w:rPr>
          <w:rFonts w:ascii="Calibri" w:hAnsi="Calibri"/>
        </w:rPr>
        <w:t>e</w:t>
      </w:r>
      <w:proofErr w:type="spellEnd"/>
      <w:r w:rsidRPr="00D169C2">
        <w:rPr>
          <w:rFonts w:ascii="Calibri" w:hAnsi="Calibri"/>
        </w:rPr>
        <w:t xml:space="preserve"> 1, Bad Homburg</w:t>
      </w:r>
      <w:r w:rsidR="00722CEF" w:rsidRPr="00D169C2">
        <w:rPr>
          <w:rFonts w:ascii="Calibri" w:hAnsi="Calibri"/>
        </w:rPr>
        <w:t>, Germany</w:t>
      </w:r>
      <w:r w:rsidRPr="00D169C2">
        <w:rPr>
          <w:rFonts w:ascii="Calibri" w:hAnsi="Calibri"/>
        </w:rPr>
        <w:t>)</w:t>
      </w:r>
    </w:p>
    <w:p w14:paraId="0FACC4EC" w14:textId="7D4B5EAE" w:rsidR="005215C7" w:rsidRDefault="005215C7" w:rsidP="005620CA">
      <w:pPr>
        <w:widowControl w:val="0"/>
        <w:ind w:left="1440" w:hanging="1440"/>
        <w:rPr>
          <w:rFonts w:ascii="Calibri" w:hAnsi="Calibri"/>
        </w:rPr>
      </w:pPr>
      <w:r w:rsidRPr="00D169C2">
        <w:rPr>
          <w:rFonts w:ascii="Calibri" w:hAnsi="Calibri"/>
        </w:rPr>
        <w:t>Gr</w:t>
      </w:r>
      <w:r w:rsidR="00722CEF" w:rsidRPr="00D169C2">
        <w:rPr>
          <w:rFonts w:ascii="Calibri" w:hAnsi="Calibri"/>
        </w:rPr>
        <w:t>oup</w:t>
      </w:r>
      <w:r w:rsidRPr="00D169C2">
        <w:rPr>
          <w:rFonts w:ascii="Calibri" w:hAnsi="Calibri"/>
        </w:rPr>
        <w:t xml:space="preserve"> C</w:t>
      </w:r>
      <w:r w:rsidRPr="00D169C2">
        <w:rPr>
          <w:rFonts w:ascii="Calibri" w:hAnsi="Calibri"/>
        </w:rPr>
        <w:tab/>
        <w:t xml:space="preserve">CVVHD </w:t>
      </w:r>
      <w:r w:rsidR="00722CEF" w:rsidRPr="00D169C2">
        <w:rPr>
          <w:rFonts w:ascii="Calibri" w:hAnsi="Calibri"/>
        </w:rPr>
        <w:t>with</w:t>
      </w:r>
      <w:r w:rsidRPr="00D169C2">
        <w:rPr>
          <w:rFonts w:ascii="Calibri" w:hAnsi="Calibri"/>
        </w:rPr>
        <w:t xml:space="preserve"> high-flux filter (</w:t>
      </w:r>
      <w:proofErr w:type="spellStart"/>
      <w:r w:rsidRPr="00D169C2">
        <w:rPr>
          <w:rFonts w:ascii="Calibri" w:hAnsi="Calibri"/>
        </w:rPr>
        <w:t>Ultraflux</w:t>
      </w:r>
      <w:proofErr w:type="spellEnd"/>
      <w:r w:rsidRPr="00D169C2">
        <w:rPr>
          <w:rFonts w:ascii="Calibri" w:hAnsi="Calibri" w:cs="Calibri"/>
        </w:rPr>
        <w:t>®</w:t>
      </w:r>
      <w:r w:rsidRPr="00D169C2">
        <w:rPr>
          <w:rFonts w:ascii="Calibri" w:hAnsi="Calibri"/>
        </w:rPr>
        <w:t xml:space="preserve"> AV1000</w:t>
      </w:r>
      <w:r w:rsidR="003A309F">
        <w:rPr>
          <w:rFonts w:ascii="Calibri" w:hAnsi="Calibri"/>
        </w:rPr>
        <w:t>S</w:t>
      </w:r>
      <w:r w:rsidRPr="00D169C2">
        <w:rPr>
          <w:rFonts w:ascii="Calibri" w:hAnsi="Calibri"/>
        </w:rPr>
        <w:t>, Fresenius Medical Care AG &amp; Co., Else-</w:t>
      </w:r>
      <w:proofErr w:type="spellStart"/>
      <w:r w:rsidRPr="00D169C2">
        <w:rPr>
          <w:rFonts w:ascii="Calibri" w:hAnsi="Calibri"/>
        </w:rPr>
        <w:t>Kroener</w:t>
      </w:r>
      <w:proofErr w:type="spellEnd"/>
      <w:r w:rsidRPr="00D169C2">
        <w:rPr>
          <w:rFonts w:ascii="Calibri" w:hAnsi="Calibri"/>
        </w:rPr>
        <w:t>-</w:t>
      </w:r>
      <w:proofErr w:type="spellStart"/>
      <w:r w:rsidRPr="00D169C2">
        <w:rPr>
          <w:rFonts w:ascii="Calibri" w:hAnsi="Calibri"/>
        </w:rPr>
        <w:t>Strasse</w:t>
      </w:r>
      <w:proofErr w:type="spellEnd"/>
      <w:r w:rsidRPr="00D169C2">
        <w:rPr>
          <w:rFonts w:ascii="Calibri" w:hAnsi="Calibri"/>
        </w:rPr>
        <w:t xml:space="preserve"> 1, </w:t>
      </w:r>
      <w:proofErr w:type="gramStart"/>
      <w:r w:rsidRPr="00D169C2">
        <w:rPr>
          <w:rFonts w:ascii="Calibri" w:hAnsi="Calibri"/>
        </w:rPr>
        <w:t>Bad</w:t>
      </w:r>
      <w:proofErr w:type="gramEnd"/>
      <w:r w:rsidRPr="00D169C2">
        <w:rPr>
          <w:rFonts w:ascii="Calibri" w:hAnsi="Calibri"/>
        </w:rPr>
        <w:t xml:space="preserve"> Homburg</w:t>
      </w:r>
      <w:r w:rsidR="00722CEF" w:rsidRPr="00D169C2">
        <w:rPr>
          <w:rFonts w:ascii="Calibri" w:hAnsi="Calibri"/>
        </w:rPr>
        <w:t>, Germany</w:t>
      </w:r>
      <w:r w:rsidRPr="00D169C2">
        <w:rPr>
          <w:rFonts w:ascii="Calibri" w:hAnsi="Calibri"/>
        </w:rPr>
        <w:t>)</w:t>
      </w:r>
      <w:r w:rsidR="00722CEF" w:rsidRPr="00D169C2">
        <w:rPr>
          <w:rFonts w:ascii="Calibri" w:hAnsi="Calibri"/>
        </w:rPr>
        <w:t xml:space="preserve"> and </w:t>
      </w:r>
      <w:proofErr w:type="spellStart"/>
      <w:r w:rsidR="00722CEF" w:rsidRPr="00D169C2">
        <w:rPr>
          <w:rFonts w:ascii="Calibri" w:hAnsi="Calibri"/>
        </w:rPr>
        <w:t>adsorber</w:t>
      </w:r>
      <w:proofErr w:type="spellEnd"/>
      <w:r w:rsidRPr="00D169C2">
        <w:rPr>
          <w:rFonts w:ascii="Calibri" w:hAnsi="Calibri"/>
        </w:rPr>
        <w:t xml:space="preserve"> (</w:t>
      </w:r>
      <w:proofErr w:type="spellStart"/>
      <w:r w:rsidRPr="00D169C2">
        <w:rPr>
          <w:rFonts w:ascii="Calibri" w:hAnsi="Calibri"/>
        </w:rPr>
        <w:t>CytoSorb</w:t>
      </w:r>
      <w:proofErr w:type="spellEnd"/>
      <w:r w:rsidRPr="00D169C2">
        <w:rPr>
          <w:rFonts w:cstheme="minorHAnsi"/>
        </w:rPr>
        <w:t>®</w:t>
      </w:r>
      <w:r w:rsidRPr="00D169C2">
        <w:t xml:space="preserve">, </w:t>
      </w:r>
      <w:proofErr w:type="spellStart"/>
      <w:r w:rsidRPr="00D169C2">
        <w:rPr>
          <w:rFonts w:ascii="Calibri" w:hAnsi="Calibri"/>
        </w:rPr>
        <w:t>CytoSorbents</w:t>
      </w:r>
      <w:proofErr w:type="spellEnd"/>
      <w:r w:rsidRPr="00D169C2">
        <w:rPr>
          <w:rFonts w:ascii="Calibri" w:hAnsi="Calibri"/>
        </w:rPr>
        <w:t xml:space="preserve"> Europe GmbH, </w:t>
      </w:r>
      <w:proofErr w:type="spellStart"/>
      <w:r w:rsidRPr="00D169C2">
        <w:rPr>
          <w:rFonts w:ascii="Calibri" w:hAnsi="Calibri"/>
        </w:rPr>
        <w:t>Müggelseedamm</w:t>
      </w:r>
      <w:proofErr w:type="spellEnd"/>
      <w:r w:rsidRPr="00D169C2">
        <w:rPr>
          <w:rFonts w:ascii="Calibri" w:hAnsi="Calibri"/>
        </w:rPr>
        <w:t xml:space="preserve"> 131, Berlin</w:t>
      </w:r>
      <w:r w:rsidR="00722CEF" w:rsidRPr="00D169C2">
        <w:rPr>
          <w:rFonts w:ascii="Calibri" w:hAnsi="Calibri"/>
        </w:rPr>
        <w:t>, Germany</w:t>
      </w:r>
      <w:r w:rsidRPr="00D169C2">
        <w:rPr>
          <w:rFonts w:ascii="Calibri" w:hAnsi="Calibri"/>
        </w:rPr>
        <w:t>)</w:t>
      </w:r>
    </w:p>
    <w:p w14:paraId="1E135150" w14:textId="2F12459F" w:rsidR="00944DFC" w:rsidRPr="00A34F2A" w:rsidRDefault="00944DFC" w:rsidP="005620CA">
      <w:pPr>
        <w:pStyle w:val="NoSpacing"/>
        <w:widowControl w:val="0"/>
        <w:rPr>
          <w:b/>
        </w:rPr>
      </w:pPr>
      <w:r w:rsidRPr="00A34F2A">
        <w:rPr>
          <w:b/>
        </w:rPr>
        <w:lastRenderedPageBreak/>
        <w:t>7.4. Procedure:</w:t>
      </w:r>
    </w:p>
    <w:p w14:paraId="66232D92" w14:textId="3E77D1AF" w:rsidR="00944DFC" w:rsidRPr="00D169C2" w:rsidRDefault="00944DFC" w:rsidP="005620CA">
      <w:pPr>
        <w:widowControl w:val="0"/>
        <w:autoSpaceDE w:val="0"/>
        <w:autoSpaceDN w:val="0"/>
        <w:adjustRightInd w:val="0"/>
        <w:spacing w:before="0" w:after="0" w:line="240" w:lineRule="auto"/>
        <w:rPr>
          <w:rFonts w:ascii="Calibri" w:hAnsi="Calibri"/>
        </w:rPr>
      </w:pPr>
      <w:r w:rsidRPr="00D169C2">
        <w:t>A central venous access using a 13 French double-lumen high-flow catheter (</w:t>
      </w:r>
      <w:proofErr w:type="spellStart"/>
      <w:r w:rsidRPr="00D169C2">
        <w:t>Achim</w:t>
      </w:r>
      <w:proofErr w:type="spellEnd"/>
      <w:r w:rsidRPr="00D169C2">
        <w:t xml:space="preserve"> Schulz-</w:t>
      </w:r>
      <w:proofErr w:type="spellStart"/>
      <w:r w:rsidRPr="00D169C2">
        <w:t>Lauterbach</w:t>
      </w:r>
      <w:proofErr w:type="spellEnd"/>
      <w:r w:rsidRPr="00D169C2">
        <w:t xml:space="preserve"> VMP, Iserlohn, Germany) will be placed. The control group A will be managed with CVVH </w:t>
      </w:r>
      <w:proofErr w:type="spellStart"/>
      <w:r w:rsidRPr="00D169C2">
        <w:t>postdilution</w:t>
      </w:r>
      <w:proofErr w:type="spellEnd"/>
      <w:r w:rsidRPr="00D169C2">
        <w:t xml:space="preserve"> using the high-flux dialyzer </w:t>
      </w:r>
      <w:proofErr w:type="spellStart"/>
      <w:r w:rsidRPr="00D169C2">
        <w:t>Ultraflux</w:t>
      </w:r>
      <w:proofErr w:type="spellEnd"/>
      <w:r w:rsidRPr="00D169C2">
        <w:t xml:space="preserve"> AV</w:t>
      </w:r>
      <w:r w:rsidR="003A309F">
        <w:t>10</w:t>
      </w:r>
      <w:r w:rsidRPr="00D169C2">
        <w:t>00</w:t>
      </w:r>
      <w:r w:rsidR="003A309F">
        <w:t>S</w:t>
      </w:r>
      <w:r w:rsidRPr="00D169C2">
        <w:t xml:space="preserve"> (Fresenius Medical Care, Bad Homburg, Germany). Intervention group B will be managed with CVVHD using the high cut-off dialyzer </w:t>
      </w:r>
      <w:proofErr w:type="spellStart"/>
      <w:r w:rsidRPr="00D169C2">
        <w:t>Ultraflux</w:t>
      </w:r>
      <w:proofErr w:type="spellEnd"/>
      <w:r w:rsidRPr="00D169C2">
        <w:t xml:space="preserve"> EMiC2 (Fresenius Medical Care, Bad Homburg, Germany) and intervention group C using the high-flux filter </w:t>
      </w:r>
      <w:proofErr w:type="spellStart"/>
      <w:r w:rsidRPr="00D169C2">
        <w:t>Ultraflux</w:t>
      </w:r>
      <w:proofErr w:type="spellEnd"/>
      <w:r w:rsidRPr="00D169C2">
        <w:t xml:space="preserve"> AV1000S (Fresenius Medical Care, Bad Homburg, Germany) and in series the </w:t>
      </w:r>
      <w:proofErr w:type="spellStart"/>
      <w:r w:rsidRPr="00D169C2">
        <w:t>adsorber</w:t>
      </w:r>
      <w:proofErr w:type="spellEnd"/>
      <w:r w:rsidRPr="00D169C2">
        <w:t xml:space="preserve"> </w:t>
      </w:r>
      <w:proofErr w:type="spellStart"/>
      <w:r w:rsidRPr="00D169C2">
        <w:rPr>
          <w:rFonts w:ascii="Calibri" w:hAnsi="Calibri"/>
        </w:rPr>
        <w:t>CytoSorb</w:t>
      </w:r>
      <w:proofErr w:type="spellEnd"/>
      <w:r w:rsidRPr="00D169C2">
        <w:rPr>
          <w:rFonts w:cstheme="minorHAnsi"/>
        </w:rPr>
        <w:t>® (</w:t>
      </w:r>
      <w:proofErr w:type="spellStart"/>
      <w:r w:rsidRPr="00D169C2">
        <w:rPr>
          <w:rFonts w:ascii="Calibri" w:hAnsi="Calibri"/>
        </w:rPr>
        <w:t>CytoSorbents</w:t>
      </w:r>
      <w:proofErr w:type="spellEnd"/>
      <w:r w:rsidRPr="00D169C2">
        <w:rPr>
          <w:rFonts w:ascii="Calibri" w:hAnsi="Calibri"/>
        </w:rPr>
        <w:t xml:space="preserve"> Europe GmbH, </w:t>
      </w:r>
      <w:proofErr w:type="spellStart"/>
      <w:r w:rsidRPr="00D169C2">
        <w:rPr>
          <w:rFonts w:ascii="Calibri" w:hAnsi="Calibri"/>
        </w:rPr>
        <w:t>Müggelseedamm</w:t>
      </w:r>
      <w:proofErr w:type="spellEnd"/>
      <w:r w:rsidRPr="00D169C2">
        <w:rPr>
          <w:rFonts w:ascii="Calibri" w:hAnsi="Calibri"/>
        </w:rPr>
        <w:t xml:space="preserve"> 131, Berlin, Germany). </w:t>
      </w:r>
      <w:r w:rsidR="00E8060D">
        <w:rPr>
          <w:rFonts w:ascii="Calibri" w:hAnsi="Calibri"/>
        </w:rPr>
        <w:t xml:space="preserve">The </w:t>
      </w:r>
      <w:proofErr w:type="spellStart"/>
      <w:r w:rsidR="00E8060D">
        <w:rPr>
          <w:rFonts w:ascii="Calibri" w:hAnsi="Calibri"/>
        </w:rPr>
        <w:t>adsorber</w:t>
      </w:r>
      <w:proofErr w:type="spellEnd"/>
      <w:r w:rsidR="00E8060D">
        <w:rPr>
          <w:rFonts w:ascii="Calibri" w:hAnsi="Calibri"/>
        </w:rPr>
        <w:t xml:space="preserve"> will be placed before dialyzer. </w:t>
      </w:r>
      <w:r w:rsidRPr="00D169C2">
        <w:t xml:space="preserve">Dialysis </w:t>
      </w:r>
      <w:r w:rsidR="009F283C">
        <w:t>will be performed by</w:t>
      </w:r>
      <w:r w:rsidRPr="00D169C2">
        <w:t xml:space="preserve"> </w:t>
      </w:r>
      <w:proofErr w:type="spellStart"/>
      <w:r w:rsidRPr="00D169C2">
        <w:t>multiFiltrate</w:t>
      </w:r>
      <w:proofErr w:type="spellEnd"/>
      <w:r w:rsidRPr="00D169C2">
        <w:t>® (Fresenius Medical Care, Bad Homburg, Germany)</w:t>
      </w:r>
      <w:r w:rsidRPr="00D169C2">
        <w:rPr>
          <w:rFonts w:cstheme="minorHAnsi"/>
        </w:rPr>
        <w:t xml:space="preserve"> </w:t>
      </w:r>
      <w:r w:rsidRPr="00D169C2">
        <w:t xml:space="preserve">in all groups. </w:t>
      </w:r>
    </w:p>
    <w:p w14:paraId="6E982D20" w14:textId="77777777" w:rsidR="00944DFC" w:rsidRPr="00D169C2" w:rsidRDefault="00944DFC" w:rsidP="005620CA">
      <w:pPr>
        <w:widowControl w:val="0"/>
        <w:autoSpaceDE w:val="0"/>
        <w:autoSpaceDN w:val="0"/>
        <w:adjustRightInd w:val="0"/>
        <w:spacing w:line="240" w:lineRule="auto"/>
        <w:rPr>
          <w:rFonts w:cstheme="minorHAnsi"/>
        </w:rPr>
      </w:pPr>
      <w:r w:rsidRPr="00D169C2">
        <w:rPr>
          <w:rFonts w:cstheme="minorHAnsi"/>
        </w:rPr>
        <w:t>In group A bicarbonate-buffered replacement fluid (</w:t>
      </w:r>
      <w:proofErr w:type="spellStart"/>
      <w:r w:rsidRPr="00D169C2">
        <w:rPr>
          <w:rFonts w:cstheme="minorHAnsi"/>
        </w:rPr>
        <w:t>multiBic</w:t>
      </w:r>
      <w:proofErr w:type="spellEnd"/>
      <w:r w:rsidRPr="00D169C2">
        <w:rPr>
          <w:rFonts w:cstheme="minorHAnsi"/>
        </w:rPr>
        <w:t>® K4 or K2, Fresenius medical care, Bad Homburg, Germany) and in group B and C dialysate (</w:t>
      </w:r>
      <w:proofErr w:type="spellStart"/>
      <w:r w:rsidRPr="00D169C2">
        <w:rPr>
          <w:rFonts w:cstheme="minorHAnsi"/>
        </w:rPr>
        <w:t>CiCa</w:t>
      </w:r>
      <w:proofErr w:type="spellEnd"/>
      <w:r w:rsidRPr="00D169C2">
        <w:rPr>
          <w:rFonts w:cstheme="minorHAnsi"/>
        </w:rPr>
        <w:t>® dialysate K4 or K2, Fresenius medical care, Bad Homburg, Germany) will applied.</w:t>
      </w:r>
    </w:p>
    <w:p w14:paraId="5F0824D3" w14:textId="06E8C5EC" w:rsidR="00944DFC" w:rsidRPr="00D169C2" w:rsidRDefault="00944DFC" w:rsidP="005620CA">
      <w:pPr>
        <w:widowControl w:val="0"/>
        <w:autoSpaceDE w:val="0"/>
        <w:autoSpaceDN w:val="0"/>
        <w:adjustRightInd w:val="0"/>
        <w:spacing w:line="240" w:lineRule="auto"/>
      </w:pPr>
      <w:r w:rsidRPr="00D169C2">
        <w:rPr>
          <w:rFonts w:cstheme="minorHAnsi"/>
        </w:rPr>
        <w:t>The preferred a</w:t>
      </w:r>
      <w:r w:rsidRPr="00D169C2">
        <w:t xml:space="preserve">nticoagulation of the extracorporeal circuit is regional citrate anticoagulation in group B and C. In group </w:t>
      </w:r>
      <w:proofErr w:type="gramStart"/>
      <w:r w:rsidRPr="00D169C2">
        <w:t>A</w:t>
      </w:r>
      <w:proofErr w:type="gramEnd"/>
      <w:r w:rsidRPr="00D169C2">
        <w:t xml:space="preserve"> systemic anticoagulation is required. The decision will be made by the attending intensivist in accordance with the recommendation of KDIGO.</w:t>
      </w:r>
      <w:r w:rsidRPr="00D169C2">
        <w:fldChar w:fldCharType="begin" w:fldLock="1"/>
      </w:r>
      <w:r w:rsidRPr="00D169C2">
        <w:instrText>ADDIN CSL_CITATION {"citationItems":[{"id":"ITEM-1","itemData":{"DOI":"10.1038/kisup.2012.4","ISBN":"2157-1724","ISSN":"2157-1724","PMID":"25018913","author":[{"dropping-particle":"","family":"KDIGO","given":"","non-dropping-particle":"","parse-names":false,"suffix":""}],"container-title":"Kidney international supplements","id":"ITEM-1","issue":"1","issued":{"date-parts":[["2012"]]},"page":"4","title":"Clinical Practice Guideline for Acute Kidney Injury (AKI)","type":"article-journal","volume":"2"},"uris":["http://www.mendeley.com/documents/?uuid=0affeda3-6692-4d18-b3de-cef736e3567b"]}],"mendeley":{"formattedCitation":"&lt;sup&gt;12&lt;/sup&gt;","plainTextFormattedCitation":"12","previouslyFormattedCitation":"&lt;sup&gt;12&lt;/sup&gt;"},"properties":{"noteIndex":0},"schema":"https://github.com/citation-style-language/schema/raw/master/csl-citation.json"}</w:instrText>
      </w:r>
      <w:r w:rsidRPr="00D169C2">
        <w:fldChar w:fldCharType="separate"/>
      </w:r>
      <w:r w:rsidRPr="00D169C2">
        <w:rPr>
          <w:noProof/>
          <w:vertAlign w:val="superscript"/>
        </w:rPr>
        <w:t>12</w:t>
      </w:r>
      <w:r w:rsidRPr="00D169C2">
        <w:fldChar w:fldCharType="end"/>
      </w:r>
      <w:r w:rsidRPr="00D169C2">
        <w:t xml:space="preserve"> </w:t>
      </w:r>
      <w:r w:rsidRPr="00D169C2">
        <w:br/>
        <w:t xml:space="preserve">In group A systemic anticoagulation with heparin will be monitored twice daily by partial thromboplastin time (PTT) aiming 60s. </w:t>
      </w:r>
      <w:r w:rsidR="005E1E7D">
        <w:t xml:space="preserve">First control of PTT will be after two hours of starting treatment. </w:t>
      </w:r>
      <w:r w:rsidRPr="00D169C2">
        <w:t xml:space="preserve">Heparin will be started with 18 IE/kg/h (ideal body weight) and adjusted during treatment period. If bleeding </w:t>
      </w:r>
      <w:proofErr w:type="gramStart"/>
      <w:r w:rsidRPr="00D169C2">
        <w:t>occur</w:t>
      </w:r>
      <w:proofErr w:type="gramEnd"/>
      <w:r w:rsidRPr="00D169C2">
        <w:t xml:space="preserve"> heparin should be reduced or stopped. </w:t>
      </w:r>
      <w:r w:rsidRPr="00D169C2">
        <w:br/>
        <w:t>RCA</w:t>
      </w:r>
      <w:r w:rsidRPr="00D169C2">
        <w:rPr>
          <w:rFonts w:cstheme="minorHAnsi"/>
        </w:rPr>
        <w:t xml:space="preserve"> of the extracorporeal circuit in group B and C will be monitored by measuring ionized </w:t>
      </w:r>
      <w:proofErr w:type="spellStart"/>
      <w:r w:rsidRPr="00D169C2">
        <w:rPr>
          <w:rFonts w:cstheme="minorHAnsi"/>
        </w:rPr>
        <w:t>postfilter</w:t>
      </w:r>
      <w:proofErr w:type="spellEnd"/>
      <w:r w:rsidRPr="00D169C2">
        <w:rPr>
          <w:rFonts w:cstheme="minorHAnsi"/>
        </w:rPr>
        <w:t xml:space="preserve"> calcium and guided by citrate supply (citrate: 136 </w:t>
      </w:r>
      <w:proofErr w:type="spellStart"/>
      <w:r w:rsidRPr="00D169C2">
        <w:rPr>
          <w:rFonts w:cstheme="minorHAnsi"/>
        </w:rPr>
        <w:t>mmol</w:t>
      </w:r>
      <w:proofErr w:type="spellEnd"/>
      <w:r w:rsidRPr="00D169C2">
        <w:rPr>
          <w:rFonts w:cstheme="minorHAnsi"/>
        </w:rPr>
        <w:t xml:space="preserve">/l). </w:t>
      </w:r>
      <w:proofErr w:type="gramStart"/>
      <w:r w:rsidRPr="00D169C2">
        <w:rPr>
          <w:rFonts w:cstheme="minorHAnsi"/>
        </w:rPr>
        <w:t>An ionized</w:t>
      </w:r>
      <w:proofErr w:type="gramEnd"/>
      <w:r w:rsidRPr="00D169C2">
        <w:rPr>
          <w:rFonts w:cstheme="minorHAnsi"/>
        </w:rPr>
        <w:t xml:space="preserve"> </w:t>
      </w:r>
      <w:proofErr w:type="spellStart"/>
      <w:r w:rsidRPr="00D169C2">
        <w:rPr>
          <w:rFonts w:cstheme="minorHAnsi"/>
        </w:rPr>
        <w:t>postfilter</w:t>
      </w:r>
      <w:proofErr w:type="spellEnd"/>
      <w:r w:rsidRPr="00D169C2">
        <w:rPr>
          <w:rFonts w:cstheme="minorHAnsi"/>
        </w:rPr>
        <w:t xml:space="preserve"> calcium of 0.25-0.34 </w:t>
      </w:r>
      <w:proofErr w:type="spellStart"/>
      <w:r w:rsidRPr="00D169C2">
        <w:rPr>
          <w:rFonts w:cstheme="minorHAnsi"/>
        </w:rPr>
        <w:t>mmol</w:t>
      </w:r>
      <w:proofErr w:type="spellEnd"/>
      <w:r w:rsidRPr="00D169C2">
        <w:rPr>
          <w:rFonts w:cstheme="minorHAnsi"/>
        </w:rPr>
        <w:t xml:space="preserve">/l will be targeted and </w:t>
      </w:r>
      <w:r w:rsidRPr="00D169C2">
        <w:rPr>
          <w:rFonts w:eastAsia="Calibri" w:cs="Arial"/>
          <w:lang w:eastAsia="de-DE"/>
        </w:rPr>
        <w:t xml:space="preserve">at the start of treatment citrate flow will be set to 4.0 </w:t>
      </w:r>
      <w:proofErr w:type="spellStart"/>
      <w:r w:rsidRPr="00D169C2">
        <w:rPr>
          <w:rFonts w:eastAsia="Calibri" w:cs="Arial"/>
          <w:lang w:eastAsia="de-DE"/>
        </w:rPr>
        <w:t>mmol</w:t>
      </w:r>
      <w:proofErr w:type="spellEnd"/>
      <w:r w:rsidRPr="00D169C2">
        <w:rPr>
          <w:rFonts w:eastAsia="Calibri" w:cs="Arial"/>
          <w:lang w:eastAsia="de-DE"/>
        </w:rPr>
        <w:t xml:space="preserve"> citrate/l blood.</w:t>
      </w:r>
      <w:r w:rsidRPr="00D169C2">
        <w:rPr>
          <w:rFonts w:cstheme="minorHAnsi"/>
        </w:rPr>
        <w:t xml:space="preserve"> To keep systemic ionized calcium stable between 1.12–1.20 </w:t>
      </w:r>
      <w:proofErr w:type="spellStart"/>
      <w:r w:rsidRPr="00D169C2">
        <w:rPr>
          <w:rFonts w:cstheme="minorHAnsi"/>
        </w:rPr>
        <w:t>mmol</w:t>
      </w:r>
      <w:proofErr w:type="spellEnd"/>
      <w:r w:rsidRPr="00D169C2">
        <w:rPr>
          <w:rFonts w:cstheme="minorHAnsi"/>
        </w:rPr>
        <w:t xml:space="preserve">/l, a calcium chloride solution (calcium: 83 </w:t>
      </w:r>
      <w:proofErr w:type="spellStart"/>
      <w:r w:rsidRPr="00D169C2">
        <w:rPr>
          <w:rFonts w:cstheme="minorHAnsi"/>
        </w:rPr>
        <w:t>mmol</w:t>
      </w:r>
      <w:proofErr w:type="spellEnd"/>
      <w:r w:rsidRPr="00D169C2">
        <w:rPr>
          <w:rFonts w:cstheme="minorHAnsi"/>
        </w:rPr>
        <w:t>/l) will be added to the extracorporeal circuit near the backflow to the patient.</w:t>
      </w:r>
      <w:r w:rsidRPr="00D169C2">
        <w:rPr>
          <w:rFonts w:eastAsia="Calibri" w:cs="Arial"/>
          <w:lang w:eastAsia="de-DE"/>
        </w:rPr>
        <w:t xml:space="preserve"> Flow will be started with 1.7 </w:t>
      </w:r>
      <w:proofErr w:type="spellStart"/>
      <w:r w:rsidRPr="00D169C2">
        <w:rPr>
          <w:rFonts w:eastAsia="Calibri" w:cs="Arial"/>
          <w:lang w:eastAsia="de-DE"/>
        </w:rPr>
        <w:t>mmol</w:t>
      </w:r>
      <w:proofErr w:type="spellEnd"/>
      <w:r w:rsidRPr="00D169C2">
        <w:rPr>
          <w:rFonts w:eastAsia="Calibri" w:cs="Arial"/>
          <w:lang w:eastAsia="de-DE"/>
        </w:rPr>
        <w:t xml:space="preserve"> Ca</w:t>
      </w:r>
      <w:r w:rsidRPr="00D169C2">
        <w:rPr>
          <w:rFonts w:eastAsia="Calibri" w:cs="Arial"/>
          <w:vertAlign w:val="superscript"/>
          <w:lang w:eastAsia="de-DE"/>
        </w:rPr>
        <w:t>2+</w:t>
      </w:r>
      <w:r w:rsidRPr="00D169C2">
        <w:rPr>
          <w:rFonts w:eastAsia="Calibri" w:cs="Arial"/>
          <w:lang w:eastAsia="de-DE"/>
        </w:rPr>
        <w:t>/l dialysate.</w:t>
      </w:r>
      <w:r w:rsidRPr="00D169C2">
        <w:rPr>
          <w:rFonts w:cstheme="minorHAnsi"/>
        </w:rPr>
        <w:br/>
      </w:r>
      <w:r w:rsidRPr="00D169C2">
        <w:t>Total turnover rate (TTR) (dialysate or replacement fluid) will be calculated at 25 ml/kg ideal or adjusted body weight/h.</w:t>
      </w:r>
      <w:r w:rsidRPr="00D169C2">
        <w:fldChar w:fldCharType="begin" w:fldLock="1"/>
      </w:r>
      <w:r w:rsidRPr="00D169C2">
        <w:instrText>ADDIN CSL_CITATION {"citationItems":[{"id":"ITEM-1","itemData":{"DOI":"10.1002/14651858.CD010613.pub2.www.cochranelibrary.com","ISSN":"14651858","abstract":"Background Acute kidney injury (AKI) is a common condition among patients in intensive care units (ICU), and is associated with substantial morbidity andmortality.Continuous renal replacement therapy (CRRT) is a blood purification technique used to treat themost severe forms of AKI but its effectiveness remains unclear. Objectives To assess the effects of different intensities (intensive and less intensive) of CRRT on mortality and recovery of kidney function in critically ill AKI patients. Search methods We searchedCochraneKidney andTransplant’s SpecialisedRegister to 9 February 2016 through contact with the Information Specialist using search terms relevant to this review. Studies contained in the SpecialisedRegister are identified through search strategies specifically designed for CENTRAL,MEDLINE, and EMBASE; handsearching conference proceedings; and searching the International Clinical Trials Register (ICTRP) Search Portal and ClinicalTrials.gov. We also searched LILACS to 9 February 2016. Selection criteria We included all randomised controlled trials (RCTs).We included all patients with AKI in ICU regardless of age, comparing intensive (usually a prescribed dose ≥35 mL/kg/h) versus less intensive CRRT (usually a prescribed dose &lt; 35 mL/kg/h). For safety and cost outcomes we planned to include cohort studies and non-RCTs. Data collection and analysis Data were extracted independently by two authors. The random-effects model was used and results were reported as risk ratios (RR) for dichotomous outcomes and mean differences (MD) for continuous outcomes, with 95% confidence intervals (CI). Main results We included six studies enrolling 3185 participants. Studieswere assessed as being at lowor unclear risk of bias. Therewas no significant difference between intensive versus less intensive CRRT on mortality risk at day 30 (5 studies, 2402 participants: RR 0.88, 95% CI 0.71 to 1.08; I2 = 75%; low quality of evidence) or after 30 days post randomisation (5 studies, 2759 participants: RR 0.92, 95% CI 0.80 to 1.06; I2 = 65%; low quality of evidence). There were no significant differences between intensive versus less intensive CRRT in the numbers of patients who were free of RRT after CRRT discontinuation (5 studies, 2402 participants: RR 1.12, 95% CI 0.91 to 1.37; I2 = 71%; low quality of evidence) or among survivors at day 30 (5 studies, 1415 participants: RR 1.03, 95% CI 0.96 to 1.11; I 2 = 69%; low quality of evidence) and day 90 (3 studies, 988 parti…","author":[{"dropping-particle":"","family":"Fayad","given":"Alicia I","non-dropping-particle":"","parse-names":false,"suffix":""},{"dropping-particle":"","family":"Buamscha","given":"Daniel G","non-dropping-particle":"","parse-names":false,"suffix":""},{"dropping-particle":"","family":"Ciapponi","given":"Agustín","non-dropping-particle":"","parse-names":false,"suffix":""},{"dropping-particle":"","family":"Ai","given":"Fayad","non-dropping-particle":"","parse-names":false,"suffix":""},{"dropping-particle":"","family":"Dg","given":"Buamscha","non-dropping-particle":"","parse-names":false,"suffix":""},{"dropping-particle":"","family":"Ciapponi","given":"Agustín","non-dropping-particle":"","parse-names":false,"suffix":""}],"container-title":"Cochrane Database of Systematic Reviews","id":"ITEM-1","issue":"10","issued":{"date-parts":[["2016","10","4"]]},"page":"CD010613","title":"Intensity of continuous renal replacement therapy for acute kidney injury ( Review )","type":"article-journal"},"uris":["http://www.mendeley.com/documents/?uuid=8f7e336d-d718-4732-93dc-ad66521f5558"]}],"mendeley":{"formattedCitation":"&lt;sup&gt;21&lt;/sup&gt;","plainTextFormattedCitation":"21","previouslyFormattedCitation":"&lt;sup&gt;21&lt;/sup&gt;"},"properties":{"noteIndex":0},"schema":"https://github.com/citation-style-language/schema/raw/master/csl-citation.json"}</w:instrText>
      </w:r>
      <w:r w:rsidRPr="00D169C2">
        <w:fldChar w:fldCharType="separate"/>
      </w:r>
      <w:r w:rsidRPr="00D169C2">
        <w:rPr>
          <w:noProof/>
          <w:vertAlign w:val="superscript"/>
        </w:rPr>
        <w:t>21</w:t>
      </w:r>
      <w:r w:rsidRPr="00D169C2">
        <w:fldChar w:fldCharType="end"/>
      </w:r>
      <w:r w:rsidRPr="00D169C2">
        <w:t xml:space="preserve"> </w:t>
      </w:r>
    </w:p>
    <w:p w14:paraId="5679AAC3" w14:textId="59F2D651" w:rsidR="00944DFC" w:rsidRPr="00D169C2" w:rsidRDefault="00944DFC" w:rsidP="005620CA">
      <w:pPr>
        <w:widowControl w:val="0"/>
        <w:autoSpaceDE w:val="0"/>
        <w:autoSpaceDN w:val="0"/>
        <w:adjustRightInd w:val="0"/>
        <w:spacing w:line="240" w:lineRule="auto"/>
        <w:rPr>
          <w:rFonts w:ascii="Calibri" w:hAnsi="Calibri"/>
        </w:rPr>
      </w:pPr>
      <w:r w:rsidRPr="00D169C2">
        <w:t>Ideal body weight</w:t>
      </w:r>
      <w:r w:rsidR="000F6BF2">
        <w:t xml:space="preserve"> </w:t>
      </w:r>
      <w:r w:rsidRPr="00D169C2">
        <w:t xml:space="preserve">will be calculated using the </w:t>
      </w:r>
      <w:proofErr w:type="spellStart"/>
      <w:r w:rsidRPr="00D169C2">
        <w:t>Hamwi</w:t>
      </w:r>
      <w:proofErr w:type="spellEnd"/>
      <w:r w:rsidRPr="00D169C2">
        <w:t xml:space="preserve"> equation (for males: 48 kg for the first 152 cm + 1.1 kg for each additional cm; for females 45 kg for the first 152 cm + 0.9 kg for each additional cm). If the quotient of actual body weight divided by ideal body weight is more than 1.3,</w:t>
      </w:r>
      <w:r w:rsidRPr="00D169C2">
        <w:fldChar w:fldCharType="begin" w:fldLock="1"/>
      </w:r>
      <w:r w:rsidRPr="00D169C2">
        <w:instrText>ADDIN CSL_CITATION {"citationItems":[{"id":"ITEM-1","itemData":{"DOI":"10.1177/0148607199023003147","ISSN":"0148-6071","PMID":"10338222","abstract":"BACKGROUND Accuracy of predictive formulae is crucial for therapeutic planning because indirect calorimetry measurement is not always possible or cost effective. Energy requirements are more difficult to predict in the acutely ill obese patient compared with lean patients because of an increased resting energy expenditure per lean body mass and a variable stress response to illness. METHODS A retrospective review of 726 patients identified 57 patients (32 spontaneous breathing, S; 25 ventilator dependent, V) with body mass indexes of 30-50 kg/m2. Limits-of-agreement analysis determined bias (the mean difference between measured and predicted values) and precision (the standard deviation of the bias) to evaluate the accuracy of predictive formulae compared with measured resting energy expenditure (MREE) by a Deltatrac Metabolic Monitor. Predictive accuracy was determined within+/-10% MREE. The predictive formulae examined were: variations of the Harris-Benedict equations using ideal, adjusted weights of 25% and 50% and actual weights with stress factors ranging from 1.0 to 1.5; the Ireton-Jones equation for obesity; the Ireton-Jones equations for hospitalized patients (S and V); and the ratio of 21 kcalories per kilogram actual weight. RESULTS The mean MREE was 21 kcal/kg actual weight. The adjusted Harris-Benedict average weight equation was optimal for predicting MREE for the combined S and V sets (bias = 182+/-123; 67%+/-10% MREE), as well as the S subset (bias = 159+/-112; 69%+/-10% MREE). CONCLUSIONS The Harris-Benedict equations using the average of actual and ideal weight and a stress factor of 1.3 most accurately predicted MREE in acutely ill, obese patients with BMIs of 30-50 kg/m2. Predictive formulae were least accurate for obese, ventilator-dependent patients.","author":[{"dropping-particle":"","family":"Glynn","given":"Cecelia C.","non-dropping-particle":"","parse-names":false,"suffix":""},{"dropping-particle":"","family":"Greene","given":"Geoffrey W","non-dropping-particle":"","parse-names":false,"suffix":""},{"dropping-particle":"","family":"Winkler","given":"Marion F.","non-dropping-particle":"","parse-names":false,"suffix":""},{"dropping-particle":"","family":"Albina","given":"Jorge E","non-dropping-particle":"","parse-names":false,"suffix":""}],"container-title":"JPEN. Journal of parenteral and enteral nutrition","id":"ITEM-1","issue":"3","issued":{"date-parts":[["1999","5","2"]]},"page":"147-54","title":"Predictive versus measured energy expenditure using limits-of-agreement analysis in hospitalized, obese patients.","type":"article-journal","volume":"23"},"uris":["http://www.mendeley.com/documents/?uuid=cf5d638b-fce1-4826-89ea-cd0f09222a75"]}],"mendeley":{"formattedCitation":"&lt;sup&gt;22&lt;/sup&gt;","plainTextFormattedCitation":"22","previouslyFormattedCitation":"&lt;sup&gt;22&lt;/sup&gt;"},"properties":{"noteIndex":0},"schema":"https://github.com/citation-style-language/schema/raw/master/csl-citation.json"}</w:instrText>
      </w:r>
      <w:r w:rsidRPr="00D169C2">
        <w:fldChar w:fldCharType="separate"/>
      </w:r>
      <w:r w:rsidRPr="00D169C2">
        <w:rPr>
          <w:noProof/>
          <w:vertAlign w:val="superscript"/>
        </w:rPr>
        <w:t>22</w:t>
      </w:r>
      <w:r w:rsidRPr="00D169C2">
        <w:fldChar w:fldCharType="end"/>
      </w:r>
      <w:r w:rsidRPr="00D169C2">
        <w:t xml:space="preserve"> the adjusted body weight will be used for calculation of dialysate or replacement fluid flow (for males: (actual body weight-ideal body weight) * 0.38 + ideal body weight; for females: (actual body weight-ideal body weight) * 0.32 +  ideal body weight).</w:t>
      </w:r>
      <w:r w:rsidRPr="00D169C2">
        <w:fldChar w:fldCharType="begin" w:fldLock="1"/>
      </w:r>
      <w:r w:rsidRPr="00D169C2">
        <w:instrText>ADDIN CSL_CITATION {"citationItems":[{"id":"ITEM-1","itemData":{"DOI":"10.1177/0115426505020004468","ISSN":"0884-5336","abstract":"The optimal nutrition regimen for obese hospitalized patients remains controversial, and clinicians use a variety of different methods for estimating needs of obese patients who require nutrition support. Adjusted body weight has been proposed as one method to improve the accuracy of predictive equations when calculating calorie expenditure of obese patients. Although adjusted body weight has been criticized as a \"nonscientific method,\" several studies have investigated the accuracy of adjusted body weight calculations and found it comparable or superior to several prediction equations. This article will summarize the results and discuss the limitations of data from studies regarding calculations for obese hospitalized patients. The use of adjusted body weight is discussed in the context of what is clinically significant in calculations of energy expenditure and in light of the limitations of current outcome data.","author":[{"dropping-particle":"","family":"Krenitsky","given":"Joe","non-dropping-particle":"","parse-names":false,"suffix":""}],"container-title":"Nutrition in Clinical Practice","id":"ITEM-1","issue":"4","issued":{"date-parts":[["2005","8","6"]]},"page":"468-473","title":"Adjusted Body Weight, Pro: Evidence to Support the Use of Adjusted Body Weight in Calculating Calorie Requirements","type":"article-journal","volume":"20"},"uris":["http://www.mendeley.com/documents/?uuid=395065b6-d05f-4ea6-8718-38504fa661b6"]}],"mendeley":{"formattedCitation":"&lt;sup&gt;23&lt;/sup&gt;","plainTextFormattedCitation":"23"},"properties":{"noteIndex":0},"schema":"https://github.com/citation-style-language/schema/raw/master/csl-citation.json"}</w:instrText>
      </w:r>
      <w:r w:rsidRPr="00D169C2">
        <w:fldChar w:fldCharType="separate"/>
      </w:r>
      <w:r w:rsidRPr="00D169C2">
        <w:rPr>
          <w:noProof/>
          <w:vertAlign w:val="superscript"/>
        </w:rPr>
        <w:t>23</w:t>
      </w:r>
      <w:r w:rsidRPr="00D169C2">
        <w:fldChar w:fldCharType="end"/>
      </w:r>
      <w:r w:rsidRPr="00D169C2">
        <w:br/>
      </w:r>
      <w:r w:rsidRPr="00D169C2">
        <w:br/>
        <w:t>Blood flow (QB) will be the threefold of the dialysate flow and in the CVVH group blood flow will be just as 20% of the filtration fraction (QB=TTR/0.2).</w:t>
      </w:r>
      <w:r w:rsidRPr="00D169C2">
        <w:rPr>
          <w:rFonts w:ascii="Calibri" w:hAnsi="Calibri"/>
        </w:rPr>
        <w:t xml:space="preserve"> </w:t>
      </w:r>
    </w:p>
    <w:p w14:paraId="02A45072" w14:textId="480285F6" w:rsidR="00944DFC" w:rsidRDefault="00944DFC" w:rsidP="005620CA">
      <w:pPr>
        <w:widowControl w:val="0"/>
        <w:rPr>
          <w:rFonts w:ascii="Calibri" w:hAnsi="Calibri"/>
        </w:rPr>
      </w:pPr>
      <w:r w:rsidRPr="00D169C2">
        <w:rPr>
          <w:rFonts w:ascii="Calibri" w:hAnsi="Calibri"/>
        </w:rPr>
        <w:t xml:space="preserve">Volume reduction will be defined by the attending intensivists considering patient`s requirements. </w:t>
      </w:r>
      <w:r w:rsidRPr="00D169C2">
        <w:t xml:space="preserve">According to the statement of the manufacturer, the maximum dialyzer lifespan will be limited to 72 hours and the maximum </w:t>
      </w:r>
      <w:proofErr w:type="spellStart"/>
      <w:r w:rsidRPr="00D169C2">
        <w:t>adsorber</w:t>
      </w:r>
      <w:proofErr w:type="spellEnd"/>
      <w:r w:rsidRPr="00D169C2">
        <w:t xml:space="preserve"> lifespan to 24 hours. After the </w:t>
      </w:r>
      <w:r w:rsidR="005E1E7D">
        <w:t xml:space="preserve">first </w:t>
      </w:r>
      <w:r w:rsidRPr="00D169C2">
        <w:t xml:space="preserve">24 hours the </w:t>
      </w:r>
      <w:r w:rsidR="00F74C4B">
        <w:t xml:space="preserve">treatment should be continued, if myoglobin persists &gt;4000 µg/l and ongoing reduction of renal </w:t>
      </w:r>
      <w:r w:rsidR="0054397D">
        <w:t>function.</w:t>
      </w:r>
      <w:r w:rsidR="00F74C4B">
        <w:t xml:space="preserve"> </w:t>
      </w:r>
      <w:r w:rsidR="00C947C9">
        <w:t xml:space="preserve">In </w:t>
      </w:r>
      <w:r w:rsidR="00C947C9" w:rsidRPr="00D169C2">
        <w:rPr>
          <w:rFonts w:ascii="Calibri" w:hAnsi="Calibri"/>
        </w:rPr>
        <w:t>Group</w:t>
      </w:r>
      <w:r w:rsidR="00C947C9">
        <w:rPr>
          <w:rFonts w:ascii="Calibri" w:hAnsi="Calibri"/>
        </w:rPr>
        <w:t xml:space="preserve"> C (</w:t>
      </w:r>
      <w:r w:rsidR="00C947C9" w:rsidRPr="00D169C2">
        <w:rPr>
          <w:rFonts w:ascii="Calibri" w:hAnsi="Calibri"/>
        </w:rPr>
        <w:t xml:space="preserve">CVVHD with high-flux filter Fresenius Medical Care and </w:t>
      </w:r>
      <w:proofErr w:type="spellStart"/>
      <w:r w:rsidR="00C947C9" w:rsidRPr="00D169C2">
        <w:rPr>
          <w:rFonts w:ascii="Calibri" w:hAnsi="Calibri"/>
        </w:rPr>
        <w:t>adsorber</w:t>
      </w:r>
      <w:proofErr w:type="spellEnd"/>
      <w:r w:rsidR="00C947C9">
        <w:rPr>
          <w:rFonts w:ascii="Calibri" w:hAnsi="Calibri"/>
        </w:rPr>
        <w:t xml:space="preserve">) the </w:t>
      </w:r>
      <w:proofErr w:type="spellStart"/>
      <w:r w:rsidR="00C947C9">
        <w:rPr>
          <w:rFonts w:ascii="Calibri" w:hAnsi="Calibri"/>
        </w:rPr>
        <w:t>adsorber</w:t>
      </w:r>
      <w:proofErr w:type="spellEnd"/>
      <w:r w:rsidR="00C947C9">
        <w:rPr>
          <w:rFonts w:ascii="Calibri" w:hAnsi="Calibri"/>
        </w:rPr>
        <w:t xml:space="preserve"> has to be changed every 24h if myoglobin level persists &gt; 4000ug/l </w:t>
      </w:r>
      <w:r w:rsidR="00C947C9">
        <w:t>and ongoing reduction of renal function</w:t>
      </w:r>
      <w:r w:rsidR="00C947C9">
        <w:rPr>
          <w:rFonts w:ascii="Calibri" w:hAnsi="Calibri"/>
        </w:rPr>
        <w:t xml:space="preserve">. After 72h renal replacement therapy should be continued following </w:t>
      </w:r>
      <w:r w:rsidR="00895F06">
        <w:rPr>
          <w:rFonts w:ascii="Calibri" w:hAnsi="Calibri"/>
        </w:rPr>
        <w:t>physicians’</w:t>
      </w:r>
      <w:r w:rsidR="00C947C9">
        <w:rPr>
          <w:rFonts w:ascii="Calibri" w:hAnsi="Calibri"/>
        </w:rPr>
        <w:t xml:space="preserve"> decision. </w:t>
      </w:r>
    </w:p>
    <w:p w14:paraId="067C281C" w14:textId="2A6BDD6E" w:rsidR="004731D6" w:rsidRPr="00D169C2" w:rsidRDefault="004731D6" w:rsidP="005620CA">
      <w:pPr>
        <w:widowControl w:val="0"/>
        <w:rPr>
          <w:rFonts w:ascii="Calibri" w:hAnsi="Calibri"/>
        </w:rPr>
      </w:pPr>
      <w:r>
        <w:rPr>
          <w:rFonts w:ascii="Calibri" w:hAnsi="Calibri"/>
        </w:rPr>
        <w:t>In g</w:t>
      </w:r>
      <w:r w:rsidRPr="00D169C2">
        <w:rPr>
          <w:rFonts w:ascii="Calibri" w:hAnsi="Calibri"/>
        </w:rPr>
        <w:t xml:space="preserve">roup </w:t>
      </w:r>
      <w:r>
        <w:rPr>
          <w:rFonts w:ascii="Calibri" w:hAnsi="Calibri"/>
        </w:rPr>
        <w:t>A (</w:t>
      </w:r>
      <w:r w:rsidRPr="00D169C2">
        <w:rPr>
          <w:rFonts w:ascii="Calibri" w:hAnsi="Calibri"/>
        </w:rPr>
        <w:t>CVVH-</w:t>
      </w:r>
      <w:proofErr w:type="spellStart"/>
      <w:r w:rsidRPr="00D169C2">
        <w:rPr>
          <w:rFonts w:ascii="Calibri" w:hAnsi="Calibri"/>
        </w:rPr>
        <w:t>postfilter</w:t>
      </w:r>
      <w:proofErr w:type="spellEnd"/>
      <w:r w:rsidRPr="00D169C2">
        <w:rPr>
          <w:rFonts w:ascii="Calibri" w:hAnsi="Calibri"/>
        </w:rPr>
        <w:t xml:space="preserve"> with high-flux filter</w:t>
      </w:r>
      <w:r>
        <w:rPr>
          <w:rFonts w:ascii="Calibri" w:hAnsi="Calibri"/>
        </w:rPr>
        <w:t>)</w:t>
      </w:r>
      <w:r w:rsidRPr="00D169C2">
        <w:rPr>
          <w:rFonts w:ascii="Calibri" w:hAnsi="Calibri"/>
        </w:rPr>
        <w:t xml:space="preserve"> </w:t>
      </w:r>
      <w:r>
        <w:rPr>
          <w:rFonts w:ascii="Calibri" w:hAnsi="Calibri"/>
        </w:rPr>
        <w:t>and group B (</w:t>
      </w:r>
      <w:r w:rsidRPr="00D169C2">
        <w:rPr>
          <w:rFonts w:ascii="Calibri" w:hAnsi="Calibri"/>
        </w:rPr>
        <w:t>CVVHD with HCO filter</w:t>
      </w:r>
      <w:r>
        <w:rPr>
          <w:rFonts w:ascii="Calibri" w:hAnsi="Calibri"/>
        </w:rPr>
        <w:t>)</w:t>
      </w:r>
      <w:r w:rsidRPr="00D169C2">
        <w:rPr>
          <w:rFonts w:ascii="Calibri" w:hAnsi="Calibri"/>
        </w:rPr>
        <w:t xml:space="preserve"> </w:t>
      </w:r>
      <w:r>
        <w:rPr>
          <w:rFonts w:ascii="Calibri" w:hAnsi="Calibri"/>
        </w:rPr>
        <w:t>blood samples will be collected before (pre) and after (post) dialyzer. In group C (</w:t>
      </w:r>
      <w:r w:rsidRPr="00D169C2">
        <w:rPr>
          <w:rFonts w:ascii="Calibri" w:hAnsi="Calibri"/>
        </w:rPr>
        <w:t xml:space="preserve">CVVHD with high-flux filter and </w:t>
      </w:r>
      <w:proofErr w:type="spellStart"/>
      <w:r w:rsidRPr="00D169C2">
        <w:rPr>
          <w:rFonts w:ascii="Calibri" w:hAnsi="Calibri"/>
        </w:rPr>
        <w:t>adsorber</w:t>
      </w:r>
      <w:proofErr w:type="spellEnd"/>
      <w:r>
        <w:rPr>
          <w:rFonts w:ascii="Calibri" w:hAnsi="Calibri"/>
        </w:rPr>
        <w:t xml:space="preserve">) blood samples will be taken before (pre) </w:t>
      </w:r>
      <w:proofErr w:type="spellStart"/>
      <w:r w:rsidR="00E8060D">
        <w:rPr>
          <w:rFonts w:ascii="Calibri" w:hAnsi="Calibri"/>
        </w:rPr>
        <w:t>adsorber</w:t>
      </w:r>
      <w:proofErr w:type="spellEnd"/>
      <w:r w:rsidR="008C7816">
        <w:rPr>
          <w:rFonts w:ascii="Calibri" w:hAnsi="Calibri"/>
        </w:rPr>
        <w:t>, between (</w:t>
      </w:r>
      <w:proofErr w:type="spellStart"/>
      <w:r w:rsidR="008C7816">
        <w:rPr>
          <w:rFonts w:ascii="Calibri" w:hAnsi="Calibri"/>
        </w:rPr>
        <w:t>int</w:t>
      </w:r>
      <w:proofErr w:type="spellEnd"/>
      <w:r w:rsidR="008C7816">
        <w:rPr>
          <w:rFonts w:ascii="Calibri" w:hAnsi="Calibri"/>
        </w:rPr>
        <w:t xml:space="preserve">) </w:t>
      </w:r>
      <w:proofErr w:type="spellStart"/>
      <w:r w:rsidR="00E8060D">
        <w:rPr>
          <w:rFonts w:ascii="Calibri" w:hAnsi="Calibri"/>
        </w:rPr>
        <w:t>adsorber</w:t>
      </w:r>
      <w:proofErr w:type="spellEnd"/>
      <w:r w:rsidR="00E8060D">
        <w:rPr>
          <w:rFonts w:ascii="Calibri" w:hAnsi="Calibri"/>
        </w:rPr>
        <w:t xml:space="preserve"> </w:t>
      </w:r>
      <w:r w:rsidR="008C7816">
        <w:rPr>
          <w:rFonts w:ascii="Calibri" w:hAnsi="Calibri"/>
        </w:rPr>
        <w:t xml:space="preserve">and </w:t>
      </w:r>
      <w:r w:rsidR="00E8060D">
        <w:rPr>
          <w:rFonts w:ascii="Calibri" w:hAnsi="Calibri"/>
        </w:rPr>
        <w:t xml:space="preserve">dialyzer </w:t>
      </w:r>
      <w:r>
        <w:rPr>
          <w:rFonts w:ascii="Calibri" w:hAnsi="Calibri"/>
        </w:rPr>
        <w:t xml:space="preserve">and after (post) </w:t>
      </w:r>
      <w:r w:rsidR="00E8060D">
        <w:rPr>
          <w:rFonts w:ascii="Calibri" w:hAnsi="Calibri"/>
        </w:rPr>
        <w:t>dialyzer</w:t>
      </w:r>
      <w:r w:rsidR="008C7816">
        <w:rPr>
          <w:rFonts w:ascii="Calibri" w:hAnsi="Calibri"/>
        </w:rPr>
        <w:t xml:space="preserve">. </w:t>
      </w:r>
    </w:p>
    <w:p w14:paraId="23DA019D" w14:textId="4ABFCD74" w:rsidR="004731D6" w:rsidRDefault="004731D6" w:rsidP="005620CA">
      <w:pPr>
        <w:widowControl w:val="0"/>
      </w:pPr>
    </w:p>
    <w:p w14:paraId="3B39BC79" w14:textId="77777777" w:rsidR="00A34F2A" w:rsidRPr="000F6BF2" w:rsidRDefault="00A34F2A" w:rsidP="005620CA">
      <w:pPr>
        <w:widowControl w:val="0"/>
      </w:pPr>
    </w:p>
    <w:p w14:paraId="57CDD392" w14:textId="038F132E" w:rsidR="00330C48" w:rsidRDefault="00330C48" w:rsidP="005620CA">
      <w:pPr>
        <w:pStyle w:val="NoSpacing"/>
        <w:widowControl w:val="0"/>
        <w:rPr>
          <w:rFonts w:eastAsia="Times New Roman"/>
          <w:b/>
        </w:rPr>
      </w:pPr>
      <w:r w:rsidRPr="00A34F2A">
        <w:rPr>
          <w:rFonts w:eastAsia="Times New Roman"/>
          <w:b/>
        </w:rPr>
        <w:lastRenderedPageBreak/>
        <w:t>7.</w:t>
      </w:r>
      <w:r w:rsidR="0054397D" w:rsidRPr="00A34F2A">
        <w:rPr>
          <w:rFonts w:eastAsia="Times New Roman"/>
          <w:b/>
        </w:rPr>
        <w:t>5</w:t>
      </w:r>
      <w:r w:rsidR="00A34F2A" w:rsidRPr="00A34F2A">
        <w:rPr>
          <w:rFonts w:eastAsia="Times New Roman"/>
          <w:b/>
        </w:rPr>
        <w:t xml:space="preserve">. </w:t>
      </w:r>
      <w:r w:rsidRPr="00A34F2A">
        <w:rPr>
          <w:rFonts w:eastAsia="Times New Roman"/>
          <w:b/>
        </w:rPr>
        <w:t>Endp</w:t>
      </w:r>
      <w:r w:rsidR="00A34F2A" w:rsidRPr="00A34F2A">
        <w:rPr>
          <w:rFonts w:eastAsia="Times New Roman"/>
          <w:b/>
        </w:rPr>
        <w:t>oi</w:t>
      </w:r>
      <w:r w:rsidRPr="00A34F2A">
        <w:rPr>
          <w:rFonts w:eastAsia="Times New Roman"/>
          <w:b/>
        </w:rPr>
        <w:t>nts</w:t>
      </w:r>
    </w:p>
    <w:p w14:paraId="22DF8449" w14:textId="77777777" w:rsidR="00A34F2A" w:rsidRPr="00A34F2A" w:rsidRDefault="00A34F2A" w:rsidP="005620CA">
      <w:pPr>
        <w:pStyle w:val="NoSpacing"/>
        <w:widowControl w:val="0"/>
        <w:rPr>
          <w:rFonts w:eastAsia="Times New Roman"/>
          <w:b/>
        </w:rPr>
      </w:pPr>
    </w:p>
    <w:p w14:paraId="411EC3F0" w14:textId="78D7618E" w:rsidR="0094751E" w:rsidRPr="00A34F2A" w:rsidRDefault="0094751E" w:rsidP="005620CA">
      <w:pPr>
        <w:pStyle w:val="NoSpacing"/>
        <w:widowControl w:val="0"/>
        <w:rPr>
          <w:rFonts w:eastAsia="Times New Roman"/>
          <w:b/>
        </w:rPr>
      </w:pPr>
      <w:r w:rsidRPr="00A34F2A">
        <w:rPr>
          <w:rFonts w:eastAsia="Times New Roman"/>
          <w:b/>
        </w:rPr>
        <w:t>7.</w:t>
      </w:r>
      <w:r w:rsidR="0054397D" w:rsidRPr="00A34F2A">
        <w:rPr>
          <w:rFonts w:eastAsia="Times New Roman"/>
          <w:b/>
        </w:rPr>
        <w:t>5</w:t>
      </w:r>
      <w:r w:rsidRPr="00A34F2A">
        <w:rPr>
          <w:rFonts w:eastAsia="Times New Roman"/>
          <w:b/>
        </w:rPr>
        <w:t>.</w:t>
      </w:r>
      <w:r w:rsidR="00722CEF" w:rsidRPr="00A34F2A">
        <w:rPr>
          <w:rFonts w:eastAsia="Times New Roman"/>
          <w:b/>
        </w:rPr>
        <w:t>1.</w:t>
      </w:r>
      <w:r w:rsidRPr="00A34F2A">
        <w:rPr>
          <w:rFonts w:eastAsia="Times New Roman"/>
          <w:b/>
        </w:rPr>
        <w:t xml:space="preserve"> </w:t>
      </w:r>
      <w:r w:rsidR="00A34F2A">
        <w:rPr>
          <w:rFonts w:eastAsia="Times New Roman"/>
          <w:b/>
        </w:rPr>
        <w:t>P</w:t>
      </w:r>
      <w:r w:rsidR="00DF3D8B" w:rsidRPr="00A34F2A">
        <w:rPr>
          <w:rFonts w:eastAsia="Times New Roman"/>
          <w:b/>
        </w:rPr>
        <w:t>rimary endpoint</w:t>
      </w:r>
      <w:r w:rsidRPr="00A34F2A">
        <w:rPr>
          <w:rFonts w:eastAsia="Times New Roman"/>
          <w:b/>
        </w:rPr>
        <w:t xml:space="preserve">: </w:t>
      </w:r>
    </w:p>
    <w:p w14:paraId="42DAF2B0" w14:textId="0E86D90A" w:rsidR="00150980" w:rsidRPr="00D169C2" w:rsidRDefault="00895F06" w:rsidP="005620CA">
      <w:pPr>
        <w:pStyle w:val="NoSpacing"/>
        <w:widowControl w:val="0"/>
        <w:rPr>
          <w:rFonts w:eastAsia="Times New Roman" w:cstheme="minorHAnsi"/>
        </w:rPr>
      </w:pPr>
      <w:bookmarkStart w:id="3" w:name="_Hlk64998227"/>
      <w:r>
        <w:rPr>
          <w:rFonts w:eastAsia="Times New Roman" w:cstheme="minorHAnsi"/>
        </w:rPr>
        <w:t>M</w:t>
      </w:r>
      <w:r w:rsidR="00A57DC1">
        <w:rPr>
          <w:rFonts w:eastAsia="Times New Roman" w:cstheme="minorHAnsi"/>
        </w:rPr>
        <w:t xml:space="preserve">arginal means </w:t>
      </w:r>
      <w:r>
        <w:rPr>
          <w:rFonts w:eastAsia="Times New Roman" w:cstheme="minorHAnsi"/>
        </w:rPr>
        <w:t xml:space="preserve">of </w:t>
      </w:r>
      <w:r w:rsidR="00A57DC1" w:rsidRPr="00D169C2">
        <w:rPr>
          <w:rFonts w:eastAsia="Times New Roman" w:cstheme="minorHAnsi"/>
        </w:rPr>
        <w:t xml:space="preserve">myoglobin </w:t>
      </w:r>
      <w:bookmarkEnd w:id="3"/>
      <w:r w:rsidR="00A57DC1" w:rsidRPr="00D169C2">
        <w:rPr>
          <w:rFonts w:eastAsia="Times New Roman" w:cstheme="minorHAnsi"/>
        </w:rPr>
        <w:t>clearance</w:t>
      </w:r>
      <w:r w:rsidR="00A57DC1">
        <w:rPr>
          <w:rFonts w:eastAsia="Times New Roman" w:cstheme="minorHAnsi"/>
        </w:rPr>
        <w:t xml:space="preserve"> </w:t>
      </w:r>
      <w:r w:rsidR="00DF3D8B" w:rsidRPr="00D169C2">
        <w:rPr>
          <w:rFonts w:eastAsia="Times New Roman" w:cstheme="minorHAnsi"/>
        </w:rPr>
        <w:t>(</w:t>
      </w:r>
      <w:r w:rsidR="00734DA2" w:rsidRPr="00D169C2">
        <w:rPr>
          <w:rFonts w:eastAsia="Times New Roman" w:cstheme="minorHAnsi"/>
        </w:rPr>
        <w:t>CVVH, CVVHD-HCO und CVVHD-</w:t>
      </w:r>
      <w:proofErr w:type="spellStart"/>
      <w:r w:rsidR="00734DA2" w:rsidRPr="00D169C2">
        <w:rPr>
          <w:rFonts w:eastAsia="Times New Roman" w:cstheme="minorHAnsi"/>
        </w:rPr>
        <w:t>Cytosorb</w:t>
      </w:r>
      <w:proofErr w:type="spellEnd"/>
      <w:r w:rsidR="00734DA2" w:rsidRPr="00D169C2">
        <w:rPr>
          <w:rFonts w:eastAsia="Times New Roman" w:cstheme="minorHAnsi"/>
        </w:rPr>
        <w:t>®</w:t>
      </w:r>
      <w:r w:rsidR="00DF3D8B" w:rsidRPr="00D169C2">
        <w:rPr>
          <w:rFonts w:eastAsia="Times New Roman" w:cstheme="minorHAnsi"/>
        </w:rPr>
        <w:t>)</w:t>
      </w:r>
      <w:r w:rsidR="00150980" w:rsidRPr="00D169C2">
        <w:rPr>
          <w:rFonts w:eastAsia="Times New Roman" w:cstheme="minorHAnsi"/>
        </w:rPr>
        <w:t xml:space="preserve"> </w:t>
      </w:r>
    </w:p>
    <w:p w14:paraId="0CE3C828" w14:textId="77777777" w:rsidR="00A34F2A" w:rsidRDefault="00A34F2A" w:rsidP="005620CA">
      <w:pPr>
        <w:pStyle w:val="NoSpacing"/>
        <w:widowControl w:val="0"/>
        <w:rPr>
          <w:rFonts w:eastAsia="Times New Roman" w:cstheme="minorHAnsi"/>
        </w:rPr>
      </w:pPr>
    </w:p>
    <w:p w14:paraId="7051D919" w14:textId="2062E479" w:rsidR="00B94A0C" w:rsidRPr="00A34F2A" w:rsidRDefault="0094751E" w:rsidP="005620CA">
      <w:pPr>
        <w:pStyle w:val="NoSpacing"/>
        <w:widowControl w:val="0"/>
        <w:rPr>
          <w:rFonts w:eastAsia="Times New Roman" w:cstheme="minorHAnsi"/>
          <w:b/>
        </w:rPr>
      </w:pPr>
      <w:r w:rsidRPr="00A34F2A">
        <w:rPr>
          <w:rFonts w:eastAsia="Times New Roman" w:cstheme="minorHAnsi"/>
          <w:b/>
        </w:rPr>
        <w:t>7.</w:t>
      </w:r>
      <w:r w:rsidR="0054397D" w:rsidRPr="00A34F2A">
        <w:rPr>
          <w:rFonts w:eastAsia="Times New Roman" w:cstheme="minorHAnsi"/>
          <w:b/>
        </w:rPr>
        <w:t>5</w:t>
      </w:r>
      <w:r w:rsidR="00722CEF" w:rsidRPr="00A34F2A">
        <w:rPr>
          <w:rFonts w:eastAsia="Times New Roman" w:cstheme="minorHAnsi"/>
          <w:b/>
        </w:rPr>
        <w:t>.2.</w:t>
      </w:r>
      <w:r w:rsidRPr="00A34F2A">
        <w:rPr>
          <w:rFonts w:eastAsia="Times New Roman" w:cstheme="minorHAnsi"/>
          <w:b/>
        </w:rPr>
        <w:t xml:space="preserve"> Se</w:t>
      </w:r>
      <w:r w:rsidR="00DF3D8B" w:rsidRPr="00A34F2A">
        <w:rPr>
          <w:rFonts w:eastAsia="Times New Roman" w:cstheme="minorHAnsi"/>
          <w:b/>
        </w:rPr>
        <w:t>condary endpoint</w:t>
      </w:r>
      <w:r w:rsidR="00330C48" w:rsidRPr="00A34F2A">
        <w:rPr>
          <w:rFonts w:eastAsia="Times New Roman" w:cstheme="minorHAnsi"/>
          <w:b/>
        </w:rPr>
        <w:t>s</w:t>
      </w:r>
      <w:r w:rsidRPr="00A34F2A">
        <w:rPr>
          <w:rFonts w:eastAsia="Times New Roman" w:cstheme="minorHAnsi"/>
          <w:b/>
        </w:rPr>
        <w:t>:</w:t>
      </w:r>
    </w:p>
    <w:p w14:paraId="5890C471" w14:textId="54893C1B" w:rsidR="00150980" w:rsidRDefault="00026E33" w:rsidP="005620CA">
      <w:pPr>
        <w:pStyle w:val="ListParagraph"/>
        <w:widowControl w:val="0"/>
        <w:numPr>
          <w:ilvl w:val="0"/>
          <w:numId w:val="23"/>
        </w:numPr>
        <w:spacing w:before="0" w:after="0" w:line="240" w:lineRule="auto"/>
        <w:rPr>
          <w:rFonts w:eastAsia="Times New Roman" w:cstheme="minorHAnsi"/>
        </w:rPr>
      </w:pPr>
      <w:r w:rsidRPr="00D169C2">
        <w:rPr>
          <w:rFonts w:eastAsia="Times New Roman" w:cstheme="minorHAnsi"/>
        </w:rPr>
        <w:t xml:space="preserve">Clearance of other molecules with different molecule weight (creatinine, urea, beta-2 </w:t>
      </w:r>
      <w:proofErr w:type="spellStart"/>
      <w:r w:rsidRPr="00D169C2">
        <w:rPr>
          <w:rFonts w:eastAsia="Times New Roman" w:cstheme="minorHAnsi"/>
        </w:rPr>
        <w:t>microglobulin</w:t>
      </w:r>
      <w:proofErr w:type="spellEnd"/>
      <w:r w:rsidRPr="00D169C2">
        <w:rPr>
          <w:rFonts w:eastAsia="Times New Roman" w:cstheme="minorHAnsi"/>
        </w:rPr>
        <w:t>, Il-6, albumin) after 1h, 6h, 12h and 24 hours</w:t>
      </w:r>
    </w:p>
    <w:p w14:paraId="2FD3BA0A" w14:textId="45FC4244" w:rsidR="004B4EC3" w:rsidRDefault="004B4EC3" w:rsidP="005620CA">
      <w:pPr>
        <w:pStyle w:val="ListParagraph"/>
        <w:widowControl w:val="0"/>
        <w:numPr>
          <w:ilvl w:val="0"/>
          <w:numId w:val="23"/>
        </w:numPr>
        <w:spacing w:before="0" w:after="0" w:line="240" w:lineRule="auto"/>
        <w:rPr>
          <w:rFonts w:eastAsia="Times New Roman" w:cstheme="minorHAnsi"/>
        </w:rPr>
      </w:pPr>
      <w:r>
        <w:rPr>
          <w:rFonts w:eastAsia="Times New Roman" w:cstheme="minorHAnsi"/>
        </w:rPr>
        <w:t xml:space="preserve">Myoglobin clearance </w:t>
      </w:r>
      <w:r w:rsidRPr="00D169C2">
        <w:rPr>
          <w:rFonts w:eastAsia="Times New Roman" w:cstheme="minorHAnsi"/>
        </w:rPr>
        <w:t>after 1h, 6h, 12h and 24 hours</w:t>
      </w:r>
      <w:r>
        <w:rPr>
          <w:rFonts w:eastAsia="Times New Roman" w:cstheme="minorHAnsi"/>
        </w:rPr>
        <w:t xml:space="preserve"> </w:t>
      </w:r>
      <w:r w:rsidR="00895F06">
        <w:rPr>
          <w:rFonts w:eastAsia="Times New Roman" w:cstheme="minorHAnsi"/>
        </w:rPr>
        <w:t>a</w:t>
      </w:r>
      <w:r>
        <w:rPr>
          <w:rFonts w:eastAsia="Times New Roman" w:cstheme="minorHAnsi"/>
        </w:rPr>
        <w:t>nd in the course of time</w:t>
      </w:r>
    </w:p>
    <w:p w14:paraId="6942D96B" w14:textId="3637C5E1" w:rsidR="00150980" w:rsidRPr="00D169C2" w:rsidRDefault="00E310B5" w:rsidP="005620CA">
      <w:pPr>
        <w:pStyle w:val="ListParagraph"/>
        <w:widowControl w:val="0"/>
        <w:numPr>
          <w:ilvl w:val="0"/>
          <w:numId w:val="15"/>
        </w:numPr>
        <w:spacing w:before="0" w:after="0" w:line="240" w:lineRule="auto"/>
        <w:rPr>
          <w:rFonts w:eastAsia="Times New Roman" w:cstheme="minorHAnsi"/>
        </w:rPr>
      </w:pPr>
      <w:r w:rsidRPr="00D169C2">
        <w:rPr>
          <w:rFonts w:eastAsia="Times New Roman" w:cstheme="minorHAnsi"/>
        </w:rPr>
        <w:t>L</w:t>
      </w:r>
      <w:r w:rsidR="00026E33" w:rsidRPr="00D169C2">
        <w:rPr>
          <w:rFonts w:eastAsia="Times New Roman" w:cstheme="minorHAnsi"/>
        </w:rPr>
        <w:t>ifetime of extracorporeal circuit (filter lifetime)</w:t>
      </w:r>
    </w:p>
    <w:p w14:paraId="1E08240D" w14:textId="62BB9633" w:rsidR="0017495D" w:rsidRPr="00895F06" w:rsidRDefault="00026E33" w:rsidP="005620CA">
      <w:pPr>
        <w:pStyle w:val="ListParagraph"/>
        <w:widowControl w:val="0"/>
        <w:numPr>
          <w:ilvl w:val="0"/>
          <w:numId w:val="15"/>
        </w:numPr>
        <w:spacing w:before="0" w:after="0" w:line="240" w:lineRule="auto"/>
        <w:rPr>
          <w:rFonts w:eastAsia="Times New Roman" w:cstheme="minorHAnsi"/>
        </w:rPr>
      </w:pPr>
      <w:r w:rsidRPr="00D169C2">
        <w:rPr>
          <w:rFonts w:eastAsia="Times New Roman" w:cstheme="minorHAnsi"/>
        </w:rPr>
        <w:t xml:space="preserve">90 day outcome: Composite endpoint of patient dead, persistent </w:t>
      </w:r>
      <w:r w:rsidR="00181B0C" w:rsidRPr="00D169C2">
        <w:rPr>
          <w:rFonts w:eastAsia="Times New Roman" w:cstheme="minorHAnsi"/>
        </w:rPr>
        <w:t xml:space="preserve">loss of renal function requiring dialysis or </w:t>
      </w:r>
      <w:r w:rsidR="00E310B5" w:rsidRPr="00D169C2">
        <w:rPr>
          <w:rFonts w:eastAsia="Times New Roman" w:cstheme="minorHAnsi"/>
        </w:rPr>
        <w:t>persistent decline in</w:t>
      </w:r>
      <w:r w:rsidR="00181B0C" w:rsidRPr="00D169C2">
        <w:rPr>
          <w:rFonts w:eastAsia="Times New Roman" w:cstheme="minorHAnsi"/>
        </w:rPr>
        <w:t xml:space="preserve"> GFR </w:t>
      </w:r>
      <w:r w:rsidR="00E310B5" w:rsidRPr="00D169C2">
        <w:rPr>
          <w:rFonts w:eastAsia="Times New Roman" w:cstheme="minorHAnsi"/>
        </w:rPr>
        <w:t>(</w:t>
      </w:r>
      <w:r w:rsidR="00A57DC1">
        <w:rPr>
          <w:rFonts w:eastAsia="Times New Roman" w:cstheme="minorHAnsi"/>
        </w:rPr>
        <w:t>&gt;25% of baseline value)</w:t>
      </w:r>
    </w:p>
    <w:p w14:paraId="5B857137" w14:textId="6238ED9D" w:rsidR="00E310B5" w:rsidRPr="00D169C2" w:rsidRDefault="00E310B5" w:rsidP="005620CA">
      <w:pPr>
        <w:pStyle w:val="ListParagraph"/>
        <w:widowControl w:val="0"/>
        <w:numPr>
          <w:ilvl w:val="0"/>
          <w:numId w:val="28"/>
        </w:numPr>
        <w:spacing w:before="0" w:after="0" w:line="240" w:lineRule="auto"/>
        <w:rPr>
          <w:rFonts w:eastAsia="Times New Roman" w:cstheme="minorHAnsi"/>
        </w:rPr>
      </w:pPr>
      <w:r w:rsidRPr="00D169C2">
        <w:rPr>
          <w:rFonts w:eastAsia="Times New Roman" w:cstheme="minorHAnsi"/>
        </w:rPr>
        <w:t xml:space="preserve">Clinical endpoints: </w:t>
      </w:r>
    </w:p>
    <w:p w14:paraId="39B71949" w14:textId="1CE7B61B" w:rsidR="00E310B5" w:rsidRPr="00D169C2" w:rsidRDefault="00E310B5" w:rsidP="005620CA">
      <w:pPr>
        <w:pStyle w:val="ListParagraph"/>
        <w:widowControl w:val="0"/>
        <w:numPr>
          <w:ilvl w:val="1"/>
          <w:numId w:val="28"/>
        </w:numPr>
        <w:spacing w:before="0" w:after="0" w:line="240" w:lineRule="auto"/>
        <w:rPr>
          <w:rFonts w:eastAsia="Times New Roman" w:cstheme="minorHAnsi"/>
        </w:rPr>
      </w:pPr>
      <w:r w:rsidRPr="00D169C2">
        <w:rPr>
          <w:rFonts w:eastAsia="Times New Roman" w:cstheme="minorHAnsi"/>
        </w:rPr>
        <w:t>ICU length of stay (days)</w:t>
      </w:r>
    </w:p>
    <w:p w14:paraId="4051EA4C" w14:textId="0FD8F266" w:rsidR="00E310B5" w:rsidRPr="00D169C2" w:rsidRDefault="00E310B5" w:rsidP="005620CA">
      <w:pPr>
        <w:pStyle w:val="ListParagraph"/>
        <w:widowControl w:val="0"/>
        <w:numPr>
          <w:ilvl w:val="1"/>
          <w:numId w:val="28"/>
        </w:numPr>
        <w:spacing w:before="0" w:after="0" w:line="240" w:lineRule="auto"/>
        <w:rPr>
          <w:rFonts w:eastAsia="Times New Roman" w:cstheme="minorHAnsi"/>
        </w:rPr>
      </w:pPr>
      <w:r w:rsidRPr="00D169C2">
        <w:rPr>
          <w:rFonts w:eastAsia="Times New Roman" w:cstheme="minorHAnsi"/>
        </w:rPr>
        <w:t xml:space="preserve">ICU mortality </w:t>
      </w:r>
    </w:p>
    <w:p w14:paraId="21964B37" w14:textId="59AE3ACB" w:rsidR="00E310B5" w:rsidRPr="00D169C2" w:rsidRDefault="00E310B5" w:rsidP="005620CA">
      <w:pPr>
        <w:pStyle w:val="ListParagraph"/>
        <w:widowControl w:val="0"/>
        <w:numPr>
          <w:ilvl w:val="1"/>
          <w:numId w:val="28"/>
        </w:numPr>
        <w:spacing w:before="0" w:after="0" w:line="240" w:lineRule="auto"/>
        <w:rPr>
          <w:rFonts w:eastAsia="Times New Roman" w:cstheme="minorHAnsi"/>
        </w:rPr>
      </w:pPr>
      <w:r w:rsidRPr="00D169C2">
        <w:rPr>
          <w:rFonts w:eastAsia="Times New Roman" w:cstheme="minorHAnsi"/>
        </w:rPr>
        <w:t xml:space="preserve">Hospital mortality </w:t>
      </w:r>
    </w:p>
    <w:p w14:paraId="1DD03C26" w14:textId="466EEDA6" w:rsidR="00E310B5" w:rsidRPr="00D169C2" w:rsidRDefault="00E310B5" w:rsidP="005620CA">
      <w:pPr>
        <w:pStyle w:val="ListParagraph"/>
        <w:widowControl w:val="0"/>
        <w:numPr>
          <w:ilvl w:val="1"/>
          <w:numId w:val="28"/>
        </w:numPr>
        <w:spacing w:before="0" w:after="0" w:line="240" w:lineRule="auto"/>
        <w:rPr>
          <w:rFonts w:eastAsia="Times New Roman" w:cstheme="minorHAnsi"/>
        </w:rPr>
      </w:pPr>
      <w:r w:rsidRPr="00D169C2">
        <w:rPr>
          <w:rFonts w:eastAsia="Times New Roman" w:cstheme="minorHAnsi"/>
        </w:rPr>
        <w:t xml:space="preserve">Mortality day 28 </w:t>
      </w:r>
    </w:p>
    <w:p w14:paraId="7C61F0FA" w14:textId="58A03600" w:rsidR="00150980" w:rsidRPr="00D169C2" w:rsidRDefault="00E310B5" w:rsidP="005620CA">
      <w:pPr>
        <w:pStyle w:val="ListParagraph"/>
        <w:widowControl w:val="0"/>
        <w:numPr>
          <w:ilvl w:val="1"/>
          <w:numId w:val="28"/>
        </w:numPr>
        <w:spacing w:before="0" w:after="0" w:line="240" w:lineRule="auto"/>
        <w:rPr>
          <w:rFonts w:eastAsia="Times New Roman" w:cstheme="minorHAnsi"/>
        </w:rPr>
      </w:pPr>
      <w:r w:rsidRPr="00D169C2">
        <w:rPr>
          <w:rFonts w:eastAsia="Times New Roman" w:cstheme="minorHAnsi"/>
        </w:rPr>
        <w:t>Mortality day 90</w:t>
      </w:r>
    </w:p>
    <w:p w14:paraId="7B33FC43" w14:textId="20F27324" w:rsidR="00150980" w:rsidRPr="00D169C2" w:rsidRDefault="00E310B5" w:rsidP="005620CA">
      <w:pPr>
        <w:pStyle w:val="ListParagraph"/>
        <w:widowControl w:val="0"/>
        <w:numPr>
          <w:ilvl w:val="0"/>
          <w:numId w:val="28"/>
        </w:numPr>
        <w:spacing w:before="0" w:after="0" w:line="240" w:lineRule="auto"/>
        <w:rPr>
          <w:rFonts w:eastAsia="Times New Roman" w:cstheme="minorHAnsi"/>
        </w:rPr>
      </w:pPr>
      <w:r w:rsidRPr="00D169C2">
        <w:rPr>
          <w:rFonts w:eastAsia="Times New Roman" w:cstheme="minorHAnsi"/>
        </w:rPr>
        <w:t>Safety endpoints</w:t>
      </w:r>
      <w:r w:rsidR="003518AA" w:rsidRPr="00D169C2">
        <w:rPr>
          <w:rFonts w:eastAsia="Times New Roman" w:cstheme="minorHAnsi"/>
        </w:rPr>
        <w:t xml:space="preserve"> (Intervention period</w:t>
      </w:r>
      <w:r w:rsidR="0017495D">
        <w:rPr>
          <w:rFonts w:eastAsia="Times New Roman" w:cstheme="minorHAnsi"/>
        </w:rPr>
        <w:t xml:space="preserve"> 72 hours</w:t>
      </w:r>
      <w:r w:rsidR="003518AA" w:rsidRPr="00D169C2">
        <w:rPr>
          <w:rFonts w:eastAsia="Times New Roman" w:cstheme="minorHAnsi"/>
        </w:rPr>
        <w:t>)</w:t>
      </w:r>
      <w:r w:rsidRPr="00D169C2">
        <w:rPr>
          <w:rFonts w:eastAsia="Times New Roman" w:cstheme="minorHAnsi"/>
        </w:rPr>
        <w:t>:</w:t>
      </w:r>
    </w:p>
    <w:p w14:paraId="53B37926" w14:textId="78C1F66E" w:rsidR="0057416A" w:rsidRPr="00D169C2" w:rsidRDefault="0057416A" w:rsidP="005620CA">
      <w:pPr>
        <w:pStyle w:val="ListParagraph"/>
        <w:widowControl w:val="0"/>
        <w:numPr>
          <w:ilvl w:val="1"/>
          <w:numId w:val="28"/>
        </w:numPr>
        <w:spacing w:before="0" w:after="0" w:line="240" w:lineRule="auto"/>
        <w:rPr>
          <w:rFonts w:eastAsia="Times New Roman" w:cstheme="minorHAnsi"/>
        </w:rPr>
      </w:pPr>
      <w:r w:rsidRPr="00D169C2">
        <w:rPr>
          <w:rFonts w:eastAsia="Times New Roman" w:cstheme="minorHAnsi"/>
        </w:rPr>
        <w:t>Adverse events:</w:t>
      </w:r>
    </w:p>
    <w:p w14:paraId="3950F505" w14:textId="6946F984" w:rsidR="00E310B5" w:rsidRPr="00D169C2" w:rsidRDefault="00E310B5" w:rsidP="005620CA">
      <w:pPr>
        <w:pStyle w:val="ListParagraph"/>
        <w:widowControl w:val="0"/>
        <w:numPr>
          <w:ilvl w:val="2"/>
          <w:numId w:val="28"/>
        </w:numPr>
        <w:spacing w:before="0" w:after="0" w:line="240" w:lineRule="auto"/>
        <w:rPr>
          <w:rFonts w:eastAsia="Times New Roman" w:cstheme="minorHAnsi"/>
        </w:rPr>
      </w:pPr>
      <w:r w:rsidRPr="00D169C2">
        <w:rPr>
          <w:rFonts w:eastAsia="Times New Roman" w:cstheme="minorHAnsi"/>
        </w:rPr>
        <w:t xml:space="preserve">Hypocalcemia </w:t>
      </w:r>
    </w:p>
    <w:p w14:paraId="71D484A0" w14:textId="3A317D36" w:rsidR="00E310B5" w:rsidRPr="00D169C2" w:rsidRDefault="00E310B5" w:rsidP="005620CA">
      <w:pPr>
        <w:pStyle w:val="ListParagraph"/>
        <w:widowControl w:val="0"/>
        <w:numPr>
          <w:ilvl w:val="2"/>
          <w:numId w:val="28"/>
        </w:numPr>
        <w:spacing w:before="0" w:after="0" w:line="240" w:lineRule="auto"/>
        <w:rPr>
          <w:rFonts w:eastAsia="Times New Roman" w:cstheme="minorHAnsi"/>
        </w:rPr>
      </w:pPr>
      <w:r w:rsidRPr="00D169C2">
        <w:rPr>
          <w:rFonts w:eastAsia="Times New Roman" w:cstheme="minorHAnsi"/>
        </w:rPr>
        <w:t xml:space="preserve">Metabolic alkalosis </w:t>
      </w:r>
    </w:p>
    <w:p w14:paraId="00F0D6BB" w14:textId="7CC5BE75" w:rsidR="00E310B5" w:rsidRPr="00D169C2" w:rsidRDefault="00E310B5" w:rsidP="005620CA">
      <w:pPr>
        <w:pStyle w:val="ListParagraph"/>
        <w:widowControl w:val="0"/>
        <w:numPr>
          <w:ilvl w:val="2"/>
          <w:numId w:val="28"/>
        </w:numPr>
        <w:spacing w:before="0" w:after="0" w:line="240" w:lineRule="auto"/>
        <w:rPr>
          <w:rFonts w:eastAsia="Times New Roman" w:cstheme="minorHAnsi"/>
        </w:rPr>
      </w:pPr>
      <w:r w:rsidRPr="00D169C2">
        <w:rPr>
          <w:rFonts w:eastAsia="Times New Roman" w:cstheme="minorHAnsi"/>
        </w:rPr>
        <w:t xml:space="preserve">Citrate accumulation </w:t>
      </w:r>
    </w:p>
    <w:p w14:paraId="505AEDBA" w14:textId="77777777" w:rsidR="0017495D" w:rsidRDefault="00E310B5" w:rsidP="005620CA">
      <w:pPr>
        <w:pStyle w:val="ListParagraph"/>
        <w:widowControl w:val="0"/>
        <w:numPr>
          <w:ilvl w:val="2"/>
          <w:numId w:val="28"/>
        </w:numPr>
        <w:spacing w:before="0" w:after="0" w:line="240" w:lineRule="auto"/>
        <w:rPr>
          <w:rFonts w:eastAsia="Times New Roman" w:cstheme="minorHAnsi"/>
        </w:rPr>
      </w:pPr>
      <w:r w:rsidRPr="00D169C2">
        <w:rPr>
          <w:rFonts w:eastAsia="Times New Roman" w:cstheme="minorHAnsi"/>
        </w:rPr>
        <w:t>Bleeding</w:t>
      </w:r>
      <w:r w:rsidR="0057416A" w:rsidRPr="00D169C2">
        <w:rPr>
          <w:rFonts w:eastAsia="Times New Roman" w:cstheme="minorHAnsi"/>
        </w:rPr>
        <w:t xml:space="preserve"> requiring blood transfusion</w:t>
      </w:r>
    </w:p>
    <w:p w14:paraId="183ED840" w14:textId="005E6756" w:rsidR="00E310B5" w:rsidRPr="00D169C2" w:rsidRDefault="00E310B5" w:rsidP="005620CA">
      <w:pPr>
        <w:pStyle w:val="ListParagraph"/>
        <w:widowControl w:val="0"/>
        <w:numPr>
          <w:ilvl w:val="2"/>
          <w:numId w:val="28"/>
        </w:numPr>
        <w:spacing w:before="0" w:after="0" w:line="240" w:lineRule="auto"/>
        <w:rPr>
          <w:rFonts w:eastAsia="Times New Roman" w:cstheme="minorHAnsi"/>
        </w:rPr>
      </w:pPr>
      <w:r w:rsidRPr="00D169C2">
        <w:rPr>
          <w:rFonts w:eastAsia="Times New Roman" w:cstheme="minorHAnsi"/>
        </w:rPr>
        <w:t>Heparin induced Thrombocytop</w:t>
      </w:r>
      <w:r w:rsidR="0057416A" w:rsidRPr="00D169C2">
        <w:rPr>
          <w:rFonts w:eastAsia="Times New Roman" w:cstheme="minorHAnsi"/>
        </w:rPr>
        <w:t>enia</w:t>
      </w:r>
      <w:r w:rsidRPr="00D169C2">
        <w:rPr>
          <w:rFonts w:eastAsia="Times New Roman" w:cstheme="minorHAnsi"/>
        </w:rPr>
        <w:t xml:space="preserve"> (HIT)</w:t>
      </w:r>
    </w:p>
    <w:p w14:paraId="326A66ED" w14:textId="2CA18FB1" w:rsidR="00E310B5" w:rsidRPr="00D169C2" w:rsidRDefault="00E310B5" w:rsidP="005620CA">
      <w:pPr>
        <w:pStyle w:val="ListParagraph"/>
        <w:widowControl w:val="0"/>
        <w:numPr>
          <w:ilvl w:val="2"/>
          <w:numId w:val="28"/>
        </w:numPr>
        <w:spacing w:before="0" w:after="0" w:line="240" w:lineRule="auto"/>
        <w:rPr>
          <w:rFonts w:eastAsia="Times New Roman" w:cstheme="minorHAnsi"/>
        </w:rPr>
      </w:pPr>
      <w:r w:rsidRPr="00D169C2">
        <w:rPr>
          <w:rFonts w:eastAsia="Times New Roman" w:cstheme="minorHAnsi"/>
        </w:rPr>
        <w:t xml:space="preserve">Catheter malfunction </w:t>
      </w:r>
    </w:p>
    <w:p w14:paraId="36FB6545" w14:textId="308D607C" w:rsidR="00E310B5" w:rsidRPr="00D169C2" w:rsidRDefault="00E310B5" w:rsidP="005620CA">
      <w:pPr>
        <w:pStyle w:val="ListParagraph"/>
        <w:widowControl w:val="0"/>
        <w:numPr>
          <w:ilvl w:val="1"/>
          <w:numId w:val="28"/>
        </w:numPr>
        <w:spacing w:before="0" w:after="0" w:line="240" w:lineRule="auto"/>
        <w:rPr>
          <w:rFonts w:eastAsia="Times New Roman" w:cstheme="minorHAnsi"/>
        </w:rPr>
      </w:pPr>
      <w:r w:rsidRPr="00D169C2">
        <w:rPr>
          <w:rFonts w:eastAsia="Times New Roman" w:cstheme="minorHAnsi"/>
        </w:rPr>
        <w:t xml:space="preserve">Severe adverse events: </w:t>
      </w:r>
    </w:p>
    <w:p w14:paraId="05EBE366" w14:textId="26AA763E" w:rsidR="00E310B5" w:rsidRPr="00D169C2" w:rsidRDefault="00E310B5" w:rsidP="005620CA">
      <w:pPr>
        <w:pStyle w:val="ListParagraph"/>
        <w:widowControl w:val="0"/>
        <w:numPr>
          <w:ilvl w:val="2"/>
          <w:numId w:val="28"/>
        </w:numPr>
        <w:spacing w:before="0" w:after="0" w:line="240" w:lineRule="auto"/>
        <w:rPr>
          <w:rFonts w:eastAsia="Times New Roman" w:cstheme="minorHAnsi"/>
        </w:rPr>
      </w:pPr>
      <w:r w:rsidRPr="00D169C2">
        <w:rPr>
          <w:rFonts w:eastAsia="Times New Roman" w:cstheme="minorHAnsi"/>
        </w:rPr>
        <w:t>Treatment-associated life-threatening complication</w:t>
      </w:r>
    </w:p>
    <w:p w14:paraId="602D2800" w14:textId="066196E3" w:rsidR="00B63DCC" w:rsidRPr="000F6BF2" w:rsidRDefault="00E310B5" w:rsidP="005620CA">
      <w:pPr>
        <w:pStyle w:val="ListParagraph"/>
        <w:widowControl w:val="0"/>
        <w:numPr>
          <w:ilvl w:val="2"/>
          <w:numId w:val="28"/>
        </w:numPr>
        <w:spacing w:before="0" w:after="0" w:line="240" w:lineRule="auto"/>
        <w:rPr>
          <w:rFonts w:eastAsia="Times New Roman" w:cstheme="minorHAnsi"/>
        </w:rPr>
      </w:pPr>
      <w:r w:rsidRPr="00D169C2">
        <w:rPr>
          <w:rFonts w:eastAsia="Times New Roman" w:cstheme="minorHAnsi"/>
        </w:rPr>
        <w:t>Dead of any cause during intervention</w:t>
      </w:r>
    </w:p>
    <w:p w14:paraId="7FA97801" w14:textId="77777777" w:rsidR="00A34F2A" w:rsidRDefault="00A34F2A" w:rsidP="005620CA">
      <w:pPr>
        <w:pStyle w:val="NoSpacing"/>
        <w:widowControl w:val="0"/>
        <w:rPr>
          <w:rFonts w:eastAsia="Times New Roman"/>
        </w:rPr>
      </w:pPr>
    </w:p>
    <w:p w14:paraId="42FABDE2" w14:textId="045A96DF" w:rsidR="008570DE" w:rsidRPr="00A34F2A" w:rsidRDefault="00FD3D0F" w:rsidP="005620CA">
      <w:pPr>
        <w:pStyle w:val="NoSpacing"/>
        <w:widowControl w:val="0"/>
        <w:rPr>
          <w:rFonts w:eastAsia="Times New Roman"/>
          <w:b/>
        </w:rPr>
      </w:pPr>
      <w:r w:rsidRPr="00A34F2A">
        <w:rPr>
          <w:rFonts w:eastAsia="Times New Roman"/>
          <w:b/>
        </w:rPr>
        <w:t>7.</w:t>
      </w:r>
      <w:r w:rsidR="0054397D" w:rsidRPr="00A34F2A">
        <w:rPr>
          <w:rFonts w:eastAsia="Times New Roman"/>
          <w:b/>
        </w:rPr>
        <w:t>6</w:t>
      </w:r>
      <w:r w:rsidR="0094751E" w:rsidRPr="00A34F2A">
        <w:rPr>
          <w:rFonts w:eastAsia="Times New Roman"/>
          <w:b/>
        </w:rPr>
        <w:t xml:space="preserve">. </w:t>
      </w:r>
      <w:r w:rsidR="008570DE" w:rsidRPr="00A34F2A">
        <w:rPr>
          <w:rFonts w:eastAsia="Times New Roman"/>
          <w:b/>
        </w:rPr>
        <w:t>D</w:t>
      </w:r>
      <w:r w:rsidR="00A34F2A">
        <w:rPr>
          <w:rFonts w:eastAsia="Times New Roman"/>
          <w:b/>
        </w:rPr>
        <w:t>a</w:t>
      </w:r>
      <w:r w:rsidR="008570DE" w:rsidRPr="00A34F2A">
        <w:rPr>
          <w:rFonts w:eastAsia="Times New Roman"/>
          <w:b/>
        </w:rPr>
        <w:t>ta collection:</w:t>
      </w:r>
    </w:p>
    <w:p w14:paraId="538AA2FC" w14:textId="6FC412CF" w:rsidR="00DA4357" w:rsidRPr="00D169C2" w:rsidRDefault="008570DE" w:rsidP="005620CA">
      <w:pPr>
        <w:pStyle w:val="ListParagraph"/>
        <w:widowControl w:val="0"/>
        <w:numPr>
          <w:ilvl w:val="0"/>
          <w:numId w:val="38"/>
        </w:numPr>
        <w:spacing w:before="0" w:afterLines="60" w:after="144" w:line="240" w:lineRule="auto"/>
      </w:pPr>
      <w:r w:rsidRPr="00D169C2">
        <w:t>Demographic and clinical data at time of initiating RRT:</w:t>
      </w:r>
    </w:p>
    <w:p w14:paraId="1F7A96E6" w14:textId="4C32CA60" w:rsidR="00DA4357" w:rsidRPr="00D169C2" w:rsidRDefault="008570DE" w:rsidP="005620CA">
      <w:pPr>
        <w:pStyle w:val="ListParagraph"/>
        <w:widowControl w:val="0"/>
        <w:numPr>
          <w:ilvl w:val="1"/>
          <w:numId w:val="38"/>
        </w:numPr>
        <w:spacing w:before="0" w:afterLines="60" w:after="144" w:line="240" w:lineRule="auto"/>
      </w:pPr>
      <w:r w:rsidRPr="00D169C2">
        <w:t>renal function (creatinine, urea, diuresis</w:t>
      </w:r>
      <w:r w:rsidR="00DA4357" w:rsidRPr="00D169C2">
        <w:t>)</w:t>
      </w:r>
    </w:p>
    <w:p w14:paraId="0676CEB6" w14:textId="7D933CF4" w:rsidR="00DA4357" w:rsidRPr="00D169C2" w:rsidRDefault="008570DE" w:rsidP="005620CA">
      <w:pPr>
        <w:pStyle w:val="ListParagraph"/>
        <w:widowControl w:val="0"/>
        <w:numPr>
          <w:ilvl w:val="1"/>
          <w:numId w:val="38"/>
        </w:numPr>
        <w:spacing w:before="0" w:afterLines="60" w:after="144" w:line="240" w:lineRule="auto"/>
      </w:pPr>
      <w:r w:rsidRPr="00D169C2">
        <w:t>admission diagnosis, indication for renal replacement therapy, Acute Physiology And Chronic Health Evaluation II (APACHE II), Sequential Organ Failure Assessment (SOFA), Simplified Acute Physiology Score II (SAPS II), mean arterial blood pressure, need for mechanical ventilation, need for vasopressor, sepsis, concomitant medication and</w:t>
      </w:r>
      <w:r w:rsidRPr="00D169C2">
        <w:rPr>
          <w:rFonts w:cstheme="minorHAnsi"/>
          <w:color w:val="212121"/>
          <w:shd w:val="clear" w:color="auto" w:fill="FFFFFF"/>
        </w:rPr>
        <w:t xml:space="preserve"> pre-existing diseases</w:t>
      </w:r>
      <w:r w:rsidRPr="00D169C2">
        <w:t xml:space="preserve">. </w:t>
      </w:r>
    </w:p>
    <w:p w14:paraId="431C91DB" w14:textId="54BA9131" w:rsidR="009D7992" w:rsidRPr="00D169C2" w:rsidRDefault="008570DE" w:rsidP="005620CA">
      <w:pPr>
        <w:pStyle w:val="ListParagraph"/>
        <w:widowControl w:val="0"/>
        <w:numPr>
          <w:ilvl w:val="0"/>
          <w:numId w:val="38"/>
        </w:numPr>
        <w:spacing w:before="0" w:afterLines="60" w:after="144" w:line="240" w:lineRule="auto"/>
      </w:pPr>
      <w:r w:rsidRPr="00D169C2">
        <w:t xml:space="preserve">Laboratory and clinical data during the </w:t>
      </w:r>
      <w:r w:rsidR="007F630F" w:rsidRPr="00D169C2">
        <w:t>observation</w:t>
      </w:r>
      <w:r w:rsidR="009D7992" w:rsidRPr="00D169C2">
        <w:t xml:space="preserve"> </w:t>
      </w:r>
      <w:r w:rsidR="006B07DF" w:rsidRPr="00D169C2">
        <w:t xml:space="preserve">period </w:t>
      </w:r>
      <w:r w:rsidR="009D7992" w:rsidRPr="00D169C2">
        <w:t>(</w:t>
      </w:r>
      <w:r w:rsidR="006B07DF" w:rsidRPr="00D169C2">
        <w:t>72</w:t>
      </w:r>
      <w:r w:rsidR="009D7992" w:rsidRPr="00D169C2">
        <w:t xml:space="preserve"> hours</w:t>
      </w:r>
      <w:r w:rsidR="0079495D">
        <w:t>, daily monitoring)</w:t>
      </w:r>
      <w:r w:rsidR="007F630F" w:rsidRPr="00D169C2">
        <w:t>:</w:t>
      </w:r>
    </w:p>
    <w:p w14:paraId="31F0544A" w14:textId="362DDAD8" w:rsidR="008570DE" w:rsidRPr="00D169C2" w:rsidRDefault="008570DE" w:rsidP="005620CA">
      <w:pPr>
        <w:pStyle w:val="ListParagraph"/>
        <w:widowControl w:val="0"/>
        <w:numPr>
          <w:ilvl w:val="1"/>
          <w:numId w:val="38"/>
        </w:numPr>
        <w:spacing w:before="0" w:afterLines="60" w:after="144" w:line="240" w:lineRule="auto"/>
      </w:pPr>
      <w:r w:rsidRPr="00D169C2">
        <w:t>creatinine, sodium, potassium, chloride, phosphate, calcium, magnesium, hemoglobin, hematocrit, platelet count, white blood cell count, albumin, pH, bicarbonate, base excess, lactate, mean arterial pressure, heart rate and oxygen saturation.</w:t>
      </w:r>
    </w:p>
    <w:p w14:paraId="33706E5A" w14:textId="2AC6DC78" w:rsidR="009D7992" w:rsidRPr="00D169C2" w:rsidRDefault="008570DE" w:rsidP="005620CA">
      <w:pPr>
        <w:pStyle w:val="ListParagraph"/>
        <w:widowControl w:val="0"/>
        <w:numPr>
          <w:ilvl w:val="0"/>
          <w:numId w:val="38"/>
        </w:numPr>
        <w:spacing w:before="0" w:afterLines="60" w:after="144" w:line="240" w:lineRule="auto"/>
      </w:pPr>
      <w:r w:rsidRPr="00D169C2">
        <w:t>Clinical follow up data</w:t>
      </w:r>
      <w:r w:rsidR="009D7992" w:rsidRPr="00D169C2">
        <w:t>:</w:t>
      </w:r>
    </w:p>
    <w:p w14:paraId="67132A28" w14:textId="7D39057B" w:rsidR="009D7992" w:rsidRPr="00D169C2" w:rsidRDefault="009D7992" w:rsidP="005620CA">
      <w:pPr>
        <w:pStyle w:val="ListParagraph"/>
        <w:widowControl w:val="0"/>
        <w:numPr>
          <w:ilvl w:val="1"/>
          <w:numId w:val="38"/>
        </w:numPr>
        <w:spacing w:before="0" w:afterLines="60" w:after="144" w:line="240" w:lineRule="auto"/>
      </w:pPr>
      <w:r w:rsidRPr="00D169C2">
        <w:t>Renal function after 90 days</w:t>
      </w:r>
    </w:p>
    <w:p w14:paraId="2A04A7CF" w14:textId="6B921ACF" w:rsidR="009D7992" w:rsidRPr="00D169C2" w:rsidRDefault="009D7992" w:rsidP="005620CA">
      <w:pPr>
        <w:pStyle w:val="ListParagraph"/>
        <w:widowControl w:val="0"/>
        <w:numPr>
          <w:ilvl w:val="1"/>
          <w:numId w:val="38"/>
        </w:numPr>
        <w:spacing w:before="0" w:afterLines="60" w:after="144" w:line="240" w:lineRule="auto"/>
      </w:pPr>
      <w:r w:rsidRPr="00D169C2">
        <w:t xml:space="preserve">Dialyzer </w:t>
      </w:r>
      <w:r w:rsidR="002B22F6" w:rsidRPr="00D169C2">
        <w:t xml:space="preserve">lifetime </w:t>
      </w:r>
      <w:r w:rsidRPr="00D169C2">
        <w:t xml:space="preserve">(filter lifetime) </w:t>
      </w:r>
    </w:p>
    <w:p w14:paraId="6BDE5E51" w14:textId="29039F4F" w:rsidR="008570DE" w:rsidRPr="00D169C2" w:rsidRDefault="008570DE" w:rsidP="005620CA">
      <w:pPr>
        <w:pStyle w:val="ListParagraph"/>
        <w:widowControl w:val="0"/>
        <w:numPr>
          <w:ilvl w:val="1"/>
          <w:numId w:val="38"/>
        </w:numPr>
        <w:spacing w:before="0" w:afterLines="60" w:after="144" w:line="240" w:lineRule="auto"/>
      </w:pPr>
      <w:r w:rsidRPr="00D169C2">
        <w:t>ICU</w:t>
      </w:r>
      <w:r w:rsidR="00AA4117" w:rsidRPr="00D169C2">
        <w:t xml:space="preserve"> and hospital</w:t>
      </w:r>
      <w:r w:rsidRPr="00D169C2">
        <w:t xml:space="preserve"> mortality, length of ICU stay, 28-day mortality and 90-day mortality.</w:t>
      </w:r>
    </w:p>
    <w:p w14:paraId="2F35DBB6" w14:textId="77777777" w:rsidR="0079495D" w:rsidRPr="00D169C2" w:rsidRDefault="0079495D" w:rsidP="005620CA">
      <w:pPr>
        <w:pStyle w:val="ListParagraph"/>
        <w:widowControl w:val="0"/>
        <w:numPr>
          <w:ilvl w:val="0"/>
          <w:numId w:val="38"/>
        </w:numPr>
        <w:spacing w:before="0" w:after="0" w:line="240" w:lineRule="auto"/>
        <w:rPr>
          <w:rFonts w:eastAsia="Times New Roman" w:cstheme="minorHAnsi"/>
        </w:rPr>
      </w:pPr>
      <w:r w:rsidRPr="00D169C2">
        <w:rPr>
          <w:rFonts w:eastAsia="Times New Roman" w:cstheme="minorHAnsi"/>
        </w:rPr>
        <w:t>Safety endpoints (Intervention period</w:t>
      </w:r>
      <w:r>
        <w:rPr>
          <w:rFonts w:eastAsia="Times New Roman" w:cstheme="minorHAnsi"/>
        </w:rPr>
        <w:t xml:space="preserve"> 72 hours</w:t>
      </w:r>
      <w:r w:rsidRPr="00D169C2">
        <w:rPr>
          <w:rFonts w:eastAsia="Times New Roman" w:cstheme="minorHAnsi"/>
        </w:rPr>
        <w:t>):</w:t>
      </w:r>
    </w:p>
    <w:p w14:paraId="403A9A80" w14:textId="77777777" w:rsidR="0079495D" w:rsidRPr="00D169C2" w:rsidRDefault="0079495D" w:rsidP="005620CA">
      <w:pPr>
        <w:pStyle w:val="ListParagraph"/>
        <w:widowControl w:val="0"/>
        <w:numPr>
          <w:ilvl w:val="1"/>
          <w:numId w:val="38"/>
        </w:numPr>
        <w:spacing w:before="0" w:after="0" w:line="240" w:lineRule="auto"/>
        <w:rPr>
          <w:rFonts w:eastAsia="Times New Roman" w:cstheme="minorHAnsi"/>
        </w:rPr>
      </w:pPr>
      <w:r w:rsidRPr="00D169C2">
        <w:rPr>
          <w:rFonts w:eastAsia="Times New Roman" w:cstheme="minorHAnsi"/>
        </w:rPr>
        <w:t>Adverse events:</w:t>
      </w:r>
    </w:p>
    <w:p w14:paraId="234601FC" w14:textId="77777777" w:rsidR="0079495D" w:rsidRPr="00D169C2" w:rsidRDefault="0079495D" w:rsidP="005620CA">
      <w:pPr>
        <w:pStyle w:val="ListParagraph"/>
        <w:widowControl w:val="0"/>
        <w:numPr>
          <w:ilvl w:val="2"/>
          <w:numId w:val="38"/>
        </w:numPr>
        <w:spacing w:before="0" w:after="0" w:line="240" w:lineRule="auto"/>
        <w:rPr>
          <w:rFonts w:eastAsia="Times New Roman" w:cstheme="minorHAnsi"/>
        </w:rPr>
      </w:pPr>
      <w:r w:rsidRPr="00D169C2">
        <w:rPr>
          <w:rFonts w:eastAsia="Times New Roman" w:cstheme="minorHAnsi"/>
        </w:rPr>
        <w:t xml:space="preserve">Hypocalcemia </w:t>
      </w:r>
    </w:p>
    <w:p w14:paraId="4FC6E016" w14:textId="77777777" w:rsidR="0079495D" w:rsidRPr="00D169C2" w:rsidRDefault="0079495D" w:rsidP="005620CA">
      <w:pPr>
        <w:pStyle w:val="ListParagraph"/>
        <w:widowControl w:val="0"/>
        <w:numPr>
          <w:ilvl w:val="2"/>
          <w:numId w:val="38"/>
        </w:numPr>
        <w:spacing w:before="0" w:after="0" w:line="240" w:lineRule="auto"/>
        <w:rPr>
          <w:rFonts w:eastAsia="Times New Roman" w:cstheme="minorHAnsi"/>
        </w:rPr>
      </w:pPr>
      <w:r w:rsidRPr="00D169C2">
        <w:rPr>
          <w:rFonts w:eastAsia="Times New Roman" w:cstheme="minorHAnsi"/>
        </w:rPr>
        <w:t xml:space="preserve">Metabolic alkalosis </w:t>
      </w:r>
    </w:p>
    <w:p w14:paraId="1B8F8708" w14:textId="77777777" w:rsidR="0079495D" w:rsidRPr="00D169C2" w:rsidRDefault="0079495D" w:rsidP="005620CA">
      <w:pPr>
        <w:pStyle w:val="ListParagraph"/>
        <w:widowControl w:val="0"/>
        <w:numPr>
          <w:ilvl w:val="2"/>
          <w:numId w:val="38"/>
        </w:numPr>
        <w:spacing w:before="0" w:after="0" w:line="240" w:lineRule="auto"/>
        <w:rPr>
          <w:rFonts w:eastAsia="Times New Roman" w:cstheme="minorHAnsi"/>
        </w:rPr>
      </w:pPr>
      <w:r w:rsidRPr="00D169C2">
        <w:rPr>
          <w:rFonts w:eastAsia="Times New Roman" w:cstheme="minorHAnsi"/>
        </w:rPr>
        <w:t xml:space="preserve">Citrate accumulation </w:t>
      </w:r>
    </w:p>
    <w:p w14:paraId="6C3C0BFB" w14:textId="77777777" w:rsidR="0079495D" w:rsidRDefault="0079495D" w:rsidP="005620CA">
      <w:pPr>
        <w:pStyle w:val="ListParagraph"/>
        <w:widowControl w:val="0"/>
        <w:numPr>
          <w:ilvl w:val="2"/>
          <w:numId w:val="38"/>
        </w:numPr>
        <w:spacing w:before="0" w:after="0" w:line="240" w:lineRule="auto"/>
        <w:rPr>
          <w:rFonts w:eastAsia="Times New Roman" w:cstheme="minorHAnsi"/>
        </w:rPr>
      </w:pPr>
      <w:r w:rsidRPr="00D169C2">
        <w:rPr>
          <w:rFonts w:eastAsia="Times New Roman" w:cstheme="minorHAnsi"/>
        </w:rPr>
        <w:t>Bleeding requiring blood transfusion</w:t>
      </w:r>
    </w:p>
    <w:p w14:paraId="56A4805D" w14:textId="77777777" w:rsidR="0079495D" w:rsidRPr="00D169C2" w:rsidRDefault="0079495D" w:rsidP="005620CA">
      <w:pPr>
        <w:pStyle w:val="ListParagraph"/>
        <w:widowControl w:val="0"/>
        <w:numPr>
          <w:ilvl w:val="2"/>
          <w:numId w:val="38"/>
        </w:numPr>
        <w:spacing w:before="0" w:after="0" w:line="240" w:lineRule="auto"/>
        <w:rPr>
          <w:rFonts w:eastAsia="Times New Roman" w:cstheme="minorHAnsi"/>
        </w:rPr>
      </w:pPr>
      <w:r w:rsidRPr="00D169C2">
        <w:rPr>
          <w:rFonts w:eastAsia="Times New Roman" w:cstheme="minorHAnsi"/>
        </w:rPr>
        <w:t>Heparin induced Thrombocytopenia (HIT)</w:t>
      </w:r>
    </w:p>
    <w:p w14:paraId="7FDD4413" w14:textId="77777777" w:rsidR="0079495D" w:rsidRPr="00D169C2" w:rsidRDefault="0079495D" w:rsidP="005620CA">
      <w:pPr>
        <w:pStyle w:val="ListParagraph"/>
        <w:widowControl w:val="0"/>
        <w:numPr>
          <w:ilvl w:val="2"/>
          <w:numId w:val="38"/>
        </w:numPr>
        <w:spacing w:before="0" w:after="0" w:line="240" w:lineRule="auto"/>
        <w:rPr>
          <w:rFonts w:eastAsia="Times New Roman" w:cstheme="minorHAnsi"/>
        </w:rPr>
      </w:pPr>
      <w:r w:rsidRPr="00D169C2">
        <w:rPr>
          <w:rFonts w:eastAsia="Times New Roman" w:cstheme="minorHAnsi"/>
        </w:rPr>
        <w:t xml:space="preserve">Catheter malfunction </w:t>
      </w:r>
    </w:p>
    <w:p w14:paraId="66899A5D" w14:textId="77777777" w:rsidR="0079495D" w:rsidRPr="00D169C2" w:rsidRDefault="0079495D" w:rsidP="005620CA">
      <w:pPr>
        <w:pStyle w:val="ListParagraph"/>
        <w:widowControl w:val="0"/>
        <w:numPr>
          <w:ilvl w:val="1"/>
          <w:numId w:val="38"/>
        </w:numPr>
        <w:spacing w:before="0" w:after="0" w:line="240" w:lineRule="auto"/>
        <w:rPr>
          <w:rFonts w:eastAsia="Times New Roman" w:cstheme="minorHAnsi"/>
        </w:rPr>
      </w:pPr>
      <w:r w:rsidRPr="00D169C2">
        <w:rPr>
          <w:rFonts w:eastAsia="Times New Roman" w:cstheme="minorHAnsi"/>
        </w:rPr>
        <w:t xml:space="preserve">Severe adverse events: </w:t>
      </w:r>
    </w:p>
    <w:p w14:paraId="47F3DF97" w14:textId="77777777" w:rsidR="0079495D" w:rsidRPr="00D169C2" w:rsidRDefault="0079495D" w:rsidP="005620CA">
      <w:pPr>
        <w:pStyle w:val="ListParagraph"/>
        <w:widowControl w:val="0"/>
        <w:numPr>
          <w:ilvl w:val="2"/>
          <w:numId w:val="38"/>
        </w:numPr>
        <w:spacing w:before="0" w:after="0" w:line="240" w:lineRule="auto"/>
        <w:rPr>
          <w:rFonts w:eastAsia="Times New Roman" w:cstheme="minorHAnsi"/>
        </w:rPr>
      </w:pPr>
      <w:r w:rsidRPr="00D169C2">
        <w:rPr>
          <w:rFonts w:eastAsia="Times New Roman" w:cstheme="minorHAnsi"/>
        </w:rPr>
        <w:lastRenderedPageBreak/>
        <w:t>Treatment-associated life-threatening complication</w:t>
      </w:r>
    </w:p>
    <w:p w14:paraId="2875D6C5" w14:textId="03042679" w:rsidR="008570DE" w:rsidRPr="000F6BF2" w:rsidRDefault="0079495D" w:rsidP="005620CA">
      <w:pPr>
        <w:pStyle w:val="ListParagraph"/>
        <w:widowControl w:val="0"/>
        <w:numPr>
          <w:ilvl w:val="2"/>
          <w:numId w:val="38"/>
        </w:numPr>
        <w:spacing w:before="0" w:after="0" w:line="240" w:lineRule="auto"/>
        <w:rPr>
          <w:rFonts w:eastAsia="Times New Roman" w:cstheme="minorHAnsi"/>
        </w:rPr>
      </w:pPr>
      <w:r w:rsidRPr="00D169C2">
        <w:rPr>
          <w:rFonts w:eastAsia="Times New Roman" w:cstheme="minorHAnsi"/>
        </w:rPr>
        <w:t>Dead of any cause during intervention</w:t>
      </w:r>
    </w:p>
    <w:p w14:paraId="5DE41A6F" w14:textId="77777777" w:rsidR="00A34F2A" w:rsidRDefault="00A34F2A" w:rsidP="005620CA">
      <w:pPr>
        <w:pStyle w:val="NoSpacing"/>
        <w:widowControl w:val="0"/>
      </w:pPr>
    </w:p>
    <w:p w14:paraId="6360595E" w14:textId="6773BB44" w:rsidR="00881B51" w:rsidRPr="00A34F2A" w:rsidRDefault="00881B51" w:rsidP="005620CA">
      <w:pPr>
        <w:pStyle w:val="NoSpacing"/>
        <w:widowControl w:val="0"/>
        <w:rPr>
          <w:b/>
        </w:rPr>
      </w:pPr>
      <w:r w:rsidRPr="00A34F2A">
        <w:rPr>
          <w:b/>
        </w:rPr>
        <w:t>7.</w:t>
      </w:r>
      <w:r w:rsidR="0054397D" w:rsidRPr="00A34F2A">
        <w:rPr>
          <w:b/>
        </w:rPr>
        <w:t>7</w:t>
      </w:r>
      <w:r w:rsidRPr="00A34F2A">
        <w:rPr>
          <w:b/>
        </w:rPr>
        <w:t>. Endpoints and calculations:</w:t>
      </w:r>
    </w:p>
    <w:p w14:paraId="0251607D" w14:textId="6D63C069" w:rsidR="00881B51" w:rsidRPr="00D169C2" w:rsidRDefault="00881B51" w:rsidP="005620CA">
      <w:pPr>
        <w:widowControl w:val="0"/>
        <w:autoSpaceDE w:val="0"/>
        <w:autoSpaceDN w:val="0"/>
        <w:adjustRightInd w:val="0"/>
        <w:spacing w:before="0" w:after="0" w:line="240" w:lineRule="auto"/>
      </w:pPr>
      <w:r w:rsidRPr="00D169C2">
        <w:t xml:space="preserve">Concentrations of myoglobin (17053 Dalton (Da), urea (60 Da), creatinine (113 Da), β2-microglobulin (11800 Da), </w:t>
      </w:r>
      <w:bookmarkStart w:id="4" w:name="_Hlk43317894"/>
      <w:r w:rsidRPr="00D169C2">
        <w:t>interleukin 6 (IL-6</w:t>
      </w:r>
      <w:bookmarkEnd w:id="4"/>
      <w:r w:rsidRPr="00D169C2">
        <w:t xml:space="preserve">, 26000 Da) and albumin (66470 Da) will be </w:t>
      </w:r>
      <w:bookmarkStart w:id="5" w:name="_Hlk43317924"/>
      <w:r w:rsidRPr="00D169C2">
        <w:t>measured before (</w:t>
      </w:r>
      <w:proofErr w:type="spellStart"/>
      <w:r w:rsidRPr="00D169C2">
        <w:t>C</w:t>
      </w:r>
      <w:r w:rsidRPr="00D169C2">
        <w:rPr>
          <w:vertAlign w:val="subscript"/>
        </w:rPr>
        <w:t>pre</w:t>
      </w:r>
      <w:proofErr w:type="spellEnd"/>
      <w:r w:rsidRPr="00D169C2">
        <w:t>) and after (</w:t>
      </w:r>
      <w:proofErr w:type="spellStart"/>
      <w:r w:rsidRPr="00D169C2">
        <w:t>C</w:t>
      </w:r>
      <w:r w:rsidRPr="00D169C2">
        <w:rPr>
          <w:vertAlign w:val="subscript"/>
        </w:rPr>
        <w:t>post</w:t>
      </w:r>
      <w:proofErr w:type="spellEnd"/>
      <w:r w:rsidRPr="00D169C2">
        <w:t>)</w:t>
      </w:r>
      <w:bookmarkEnd w:id="5"/>
      <w:r w:rsidRPr="00D169C2">
        <w:t xml:space="preserve"> the dialyzer 1, 6, 12 and, 24 hours after initiating CRRT.</w:t>
      </w:r>
      <w:r w:rsidRPr="00D169C2">
        <w:br/>
        <w:t xml:space="preserve">To avoid additional effect of </w:t>
      </w:r>
      <w:proofErr w:type="spellStart"/>
      <w:r w:rsidRPr="00D169C2">
        <w:t>hemoconcentration</w:t>
      </w:r>
      <w:proofErr w:type="spellEnd"/>
      <w:r w:rsidRPr="00D169C2">
        <w:t xml:space="preserve"> at the dialyzer, ultrafiltration will be set at zero ten minutes before drawing samples for laboratory analysis.</w:t>
      </w:r>
      <w:r w:rsidRPr="00D169C2">
        <w:br/>
      </w:r>
      <w:bookmarkStart w:id="6" w:name="_Hlk43318045"/>
      <w:r w:rsidRPr="00D169C2">
        <w:t>Plasma flow in the extracorporeal circuit (</w:t>
      </w:r>
      <w:proofErr w:type="spellStart"/>
      <w:r w:rsidRPr="00D169C2">
        <w:t>Qp</w:t>
      </w:r>
      <w:r w:rsidRPr="00D169C2">
        <w:rPr>
          <w:vertAlign w:val="subscript"/>
        </w:rPr>
        <w:t>pre</w:t>
      </w:r>
      <w:proofErr w:type="spellEnd"/>
      <w:r w:rsidRPr="00D169C2">
        <w:t xml:space="preserve">) </w:t>
      </w:r>
      <w:bookmarkEnd w:id="6"/>
      <w:r w:rsidRPr="00D169C2">
        <w:t>will be calculated using blood flow (</w:t>
      </w:r>
      <w:proofErr w:type="spellStart"/>
      <w:r w:rsidRPr="00D169C2">
        <w:t>Qb</w:t>
      </w:r>
      <w:proofErr w:type="spellEnd"/>
      <w:r w:rsidRPr="00D169C2">
        <w:t xml:space="preserve">) of extracorporeal circuit and patient's </w:t>
      </w:r>
      <w:bookmarkStart w:id="7" w:name="_Hlk43318098"/>
      <w:r w:rsidRPr="00D169C2">
        <w:t>hematocrit level (</w:t>
      </w:r>
      <w:proofErr w:type="spellStart"/>
      <w:r w:rsidRPr="00D169C2">
        <w:t>hct</w:t>
      </w:r>
      <w:proofErr w:type="spellEnd"/>
      <w:r w:rsidRPr="00D169C2">
        <w:t xml:space="preserve">) </w:t>
      </w:r>
      <w:bookmarkEnd w:id="7"/>
      <w:r w:rsidRPr="00D169C2">
        <w:t>at the time of sampling:</w:t>
      </w:r>
    </w:p>
    <w:p w14:paraId="06EF6020" w14:textId="77777777" w:rsidR="00881B51" w:rsidRPr="00D169C2" w:rsidRDefault="005620CA" w:rsidP="005620CA">
      <w:pPr>
        <w:widowControl w:val="0"/>
        <w:spacing w:line="480" w:lineRule="auto"/>
      </w:pPr>
      <m:oMathPara>
        <m:oMathParaPr>
          <m:jc m:val="left"/>
        </m:oMathParaPr>
        <m:oMath>
          <m:sSub>
            <m:sSubPr>
              <m:ctrlPr>
                <w:rPr>
                  <w:rFonts w:ascii="Cambria Math" w:hAnsi="Cambria Math" w:cstheme="minorHAnsi"/>
                  <w:i/>
                </w:rPr>
              </m:ctrlPr>
            </m:sSubPr>
            <m:e>
              <m:r>
                <w:rPr>
                  <w:rFonts w:ascii="Cambria Math" w:hAnsi="Cambria Math" w:cstheme="minorHAnsi"/>
                </w:rPr>
                <m:t>Qp</m:t>
              </m:r>
            </m:e>
            <m:sub>
              <m:r>
                <w:rPr>
                  <w:rFonts w:ascii="Cambria Math" w:hAnsi="Cambria Math" w:cstheme="minorHAnsi"/>
                </w:rPr>
                <m:t>pre</m:t>
              </m:r>
            </m:sub>
          </m:sSub>
          <m:r>
            <w:rPr>
              <w:rFonts w:ascii="Cambria Math" w:hAnsi="Cambria Math"/>
            </w:rPr>
            <m:t>(ml/min)=Qb×((1-</m:t>
          </m:r>
          <m:r>
            <w:rPr>
              <w:rFonts w:ascii="Cambria Math" w:hAnsi="Cambria Math"/>
            </w:rPr>
            <m:t>hct)÷100)</m:t>
          </m:r>
        </m:oMath>
      </m:oMathPara>
    </w:p>
    <w:p w14:paraId="28474E65" w14:textId="7692D483" w:rsidR="00881B51" w:rsidRPr="00D169C2" w:rsidRDefault="00881B51" w:rsidP="005620CA">
      <w:pPr>
        <w:widowControl w:val="0"/>
        <w:autoSpaceDE w:val="0"/>
        <w:autoSpaceDN w:val="0"/>
        <w:adjustRightInd w:val="0"/>
        <w:spacing w:line="480" w:lineRule="auto"/>
        <w:rPr>
          <w:rFonts w:cstheme="minorHAnsi"/>
        </w:rPr>
      </w:pPr>
      <w:bookmarkStart w:id="8" w:name="_Hlk43318173"/>
      <w:r w:rsidRPr="00D169C2">
        <w:rPr>
          <w:rFonts w:cstheme="minorHAnsi"/>
        </w:rPr>
        <w:t>The substance-specific plasma clearance (</w:t>
      </w:r>
      <w:proofErr w:type="spellStart"/>
      <w:r w:rsidRPr="00D169C2">
        <w:rPr>
          <w:rFonts w:cstheme="minorHAnsi"/>
        </w:rPr>
        <w:t>Cl</w:t>
      </w:r>
      <w:r w:rsidRPr="00D169C2">
        <w:rPr>
          <w:rFonts w:cstheme="minorHAnsi"/>
          <w:vertAlign w:val="subscript"/>
        </w:rPr>
        <w:t>p</w:t>
      </w:r>
      <w:proofErr w:type="spellEnd"/>
      <w:r w:rsidRPr="00D169C2">
        <w:rPr>
          <w:rFonts w:cstheme="minorHAnsi"/>
        </w:rPr>
        <w:t xml:space="preserve">) </w:t>
      </w:r>
      <w:bookmarkEnd w:id="8"/>
      <w:r w:rsidRPr="00D169C2">
        <w:rPr>
          <w:rFonts w:cstheme="minorHAnsi"/>
        </w:rPr>
        <w:t>will be calculated at the sampling time points:</w:t>
      </w:r>
    </w:p>
    <w:p w14:paraId="52974DF3" w14:textId="77777777" w:rsidR="00881B51" w:rsidRPr="00D169C2" w:rsidRDefault="005620CA" w:rsidP="005620CA">
      <w:pPr>
        <w:widowControl w:val="0"/>
        <w:autoSpaceDE w:val="0"/>
        <w:autoSpaceDN w:val="0"/>
        <w:adjustRightInd w:val="0"/>
        <w:spacing w:line="480" w:lineRule="auto"/>
        <w:rPr>
          <w:rFonts w:cstheme="minorHAnsi"/>
        </w:rPr>
      </w:pPr>
      <m:oMathPara>
        <m:oMathParaPr>
          <m:jc m:val="left"/>
        </m:oMathParaPr>
        <m:oMath>
          <m:sSub>
            <m:sSubPr>
              <m:ctrlPr>
                <w:rPr>
                  <w:rFonts w:ascii="Cambria Math" w:hAnsi="Cambria Math" w:cstheme="minorHAnsi"/>
                  <w:i/>
                </w:rPr>
              </m:ctrlPr>
            </m:sSubPr>
            <m:e>
              <m:r>
                <w:rPr>
                  <w:rFonts w:ascii="Cambria Math" w:hAnsi="Cambria Math" w:cstheme="minorHAnsi"/>
                </w:rPr>
                <m:t>Cl</m:t>
              </m:r>
            </m:e>
            <m:sub>
              <m:r>
                <w:rPr>
                  <w:rFonts w:ascii="Cambria Math" w:hAnsi="Cambria Math" w:cstheme="minorHAnsi"/>
                </w:rPr>
                <m:t xml:space="preserve">p </m:t>
              </m:r>
            </m:sub>
          </m:sSub>
          <m:r>
            <w:rPr>
              <w:rFonts w:ascii="Cambria Math" w:hAnsi="Cambria Math" w:cstheme="minorHAnsi"/>
            </w:rPr>
            <m:t>(ml/min)=</m:t>
          </m:r>
          <m:sSub>
            <m:sSubPr>
              <m:ctrlPr>
                <w:rPr>
                  <w:rFonts w:ascii="Cambria Math" w:hAnsi="Cambria Math" w:cstheme="minorHAnsi"/>
                  <w:i/>
                </w:rPr>
              </m:ctrlPr>
            </m:sSubPr>
            <m:e>
              <m:r>
                <w:rPr>
                  <w:rFonts w:ascii="Cambria Math" w:hAnsi="Cambria Math" w:cstheme="minorHAnsi"/>
                </w:rPr>
                <m:t>Qp</m:t>
              </m:r>
            </m:e>
            <m:sub>
              <m:r>
                <w:rPr>
                  <w:rFonts w:ascii="Cambria Math" w:hAnsi="Cambria Math" w:cstheme="minorHAnsi"/>
                </w:rPr>
                <m:t>p</m:t>
              </m:r>
              <w:bookmarkStart w:id="9" w:name="_Hlk43318307"/>
              <m:r>
                <w:rPr>
                  <w:rFonts w:ascii="Cambria Math" w:hAnsi="Cambria Math" w:cstheme="minorHAnsi"/>
                </w:rPr>
                <m:t>re</m:t>
              </m:r>
              <w:bookmarkEnd w:id="9"/>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pre</m:t>
              </m:r>
            </m:sub>
          </m:sSub>
          <m:r>
            <w:rPr>
              <w:rFonts w:ascii="Cambria Math" w:hAnsi="Cambria Math" w:cstheme="minorHAnsi"/>
            </w:rPr>
            <m:t>-</m:t>
          </m:r>
          <w:bookmarkStart w:id="10" w:name="_Hlk30087654"/>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post.</m:t>
              </m:r>
            </m:sub>
          </m:sSub>
          <w:bookmarkEnd w:id="10"/>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pre</m:t>
              </m:r>
            </m:sub>
          </m:sSub>
          <m:r>
            <w:rPr>
              <w:rFonts w:ascii="Cambria Math" w:hAnsi="Cambria Math" w:cstheme="minorHAnsi"/>
            </w:rPr>
            <m:t>)</m:t>
          </m:r>
        </m:oMath>
      </m:oMathPara>
    </w:p>
    <w:p w14:paraId="119648FF" w14:textId="4035BC7C" w:rsidR="00881B51" w:rsidRPr="00D169C2" w:rsidRDefault="00881B51" w:rsidP="005620CA">
      <w:pPr>
        <w:widowControl w:val="0"/>
        <w:autoSpaceDE w:val="0"/>
        <w:autoSpaceDN w:val="0"/>
        <w:adjustRightInd w:val="0"/>
        <w:spacing w:after="0" w:line="240" w:lineRule="auto"/>
      </w:pPr>
      <w:r w:rsidRPr="00D169C2">
        <w:rPr>
          <w:rFonts w:cstheme="minorHAnsi"/>
        </w:rPr>
        <w:t>The primary outcome parameter w</w:t>
      </w:r>
      <w:r w:rsidR="007D5570" w:rsidRPr="00D169C2">
        <w:rPr>
          <w:rFonts w:cstheme="minorHAnsi"/>
        </w:rPr>
        <w:t>ill be</w:t>
      </w:r>
      <w:r w:rsidRPr="00D169C2">
        <w:rPr>
          <w:rFonts w:cstheme="minorHAnsi"/>
        </w:rPr>
        <w:t xml:space="preserve"> </w:t>
      </w:r>
      <w:r w:rsidR="00EC1851" w:rsidRPr="00EC1851">
        <w:rPr>
          <w:rFonts w:cstheme="minorHAnsi"/>
        </w:rPr>
        <w:t xml:space="preserve">marginal means </w:t>
      </w:r>
      <w:r w:rsidR="00702C6C">
        <w:rPr>
          <w:rFonts w:cstheme="minorHAnsi"/>
        </w:rPr>
        <w:t>of</w:t>
      </w:r>
      <w:r w:rsidR="00EC1851" w:rsidRPr="00EC1851">
        <w:rPr>
          <w:rFonts w:cstheme="minorHAnsi"/>
        </w:rPr>
        <w:t xml:space="preserve"> myoglobin </w:t>
      </w:r>
      <w:r w:rsidRPr="00D169C2">
        <w:rPr>
          <w:rFonts w:cstheme="minorHAnsi"/>
        </w:rPr>
        <w:t>clearance</w:t>
      </w:r>
      <w:r w:rsidR="00EC1851">
        <w:rPr>
          <w:rFonts w:cstheme="minorHAnsi"/>
        </w:rPr>
        <w:t xml:space="preserve">. This will be calculated </w:t>
      </w:r>
      <w:r w:rsidRPr="00D169C2">
        <w:rPr>
          <w:rFonts w:cstheme="minorHAnsi"/>
        </w:rPr>
        <w:t>of myoglobin</w:t>
      </w:r>
      <w:r w:rsidR="00EC1851">
        <w:rPr>
          <w:rFonts w:cstheme="minorHAnsi"/>
        </w:rPr>
        <w:t xml:space="preserve"> clearance</w:t>
      </w:r>
      <w:r w:rsidRPr="00D169C2">
        <w:t xml:space="preserve"> after 1h, 6h, 12h, 24h</w:t>
      </w:r>
      <w:r w:rsidR="00EC1851">
        <w:t xml:space="preserve"> (secondary endpoint).</w:t>
      </w:r>
      <w:r w:rsidRPr="00D169C2">
        <w:rPr>
          <w:rFonts w:cstheme="minorHAnsi"/>
        </w:rPr>
        <w:t xml:space="preserve"> </w:t>
      </w:r>
      <w:r w:rsidR="00EC1851">
        <w:rPr>
          <w:rFonts w:cstheme="minorHAnsi"/>
        </w:rPr>
        <w:t>Other s</w:t>
      </w:r>
      <w:r w:rsidRPr="00D169C2">
        <w:rPr>
          <w:rFonts w:cstheme="minorHAnsi"/>
        </w:rPr>
        <w:t>econdary outcome parameters w</w:t>
      </w:r>
      <w:r w:rsidR="00EC1851">
        <w:rPr>
          <w:rFonts w:cstheme="minorHAnsi"/>
        </w:rPr>
        <w:t>ill be</w:t>
      </w:r>
      <w:r w:rsidRPr="00D169C2">
        <w:rPr>
          <w:rFonts w:cstheme="minorHAnsi"/>
        </w:rPr>
        <w:t xml:space="preserve"> plasma clearances of </w:t>
      </w:r>
      <w:r w:rsidRPr="00D169C2">
        <w:t xml:space="preserve">urea, creatinine, β2-microglobulin, interleukin 6 and albumin at the same time points. </w:t>
      </w:r>
    </w:p>
    <w:p w14:paraId="05E2CF2B" w14:textId="0028853C" w:rsidR="00881B51" w:rsidRPr="00D169C2" w:rsidRDefault="00881B51" w:rsidP="005620CA">
      <w:pPr>
        <w:widowControl w:val="0"/>
        <w:autoSpaceDE w:val="0"/>
        <w:autoSpaceDN w:val="0"/>
        <w:adjustRightInd w:val="0"/>
        <w:spacing w:after="0" w:line="240" w:lineRule="auto"/>
        <w:rPr>
          <w:rFonts w:cstheme="minorHAnsi"/>
        </w:rPr>
      </w:pPr>
      <w:r w:rsidRPr="00D169C2">
        <w:t>Equality of plasma clearance (</w:t>
      </w:r>
      <w:proofErr w:type="spellStart"/>
      <w:r w:rsidRPr="00D169C2">
        <w:t>Cl</w:t>
      </w:r>
      <w:r w:rsidRPr="00D169C2">
        <w:rPr>
          <w:vertAlign w:val="subscript"/>
        </w:rPr>
        <w:t>p.corr</w:t>
      </w:r>
      <w:proofErr w:type="spellEnd"/>
      <w:r w:rsidRPr="00D169C2">
        <w:rPr>
          <w:vertAlign w:val="subscript"/>
        </w:rPr>
        <w:t>.</w:t>
      </w:r>
      <w:r w:rsidRPr="00D169C2">
        <w:t xml:space="preserve">) </w:t>
      </w:r>
      <w:r w:rsidR="00931752" w:rsidRPr="00D169C2">
        <w:t>between the</w:t>
      </w:r>
      <w:r w:rsidRPr="00D169C2">
        <w:t xml:space="preserve"> study groups relating to different TTR w</w:t>
      </w:r>
      <w:r w:rsidR="00931752" w:rsidRPr="00D169C2">
        <w:t>ill be</w:t>
      </w:r>
      <w:r w:rsidRPr="00D169C2">
        <w:t xml:space="preserve"> tested using the following formula: </w:t>
      </w:r>
    </w:p>
    <w:p w14:paraId="69325061" w14:textId="08586BF4" w:rsidR="00881B51" w:rsidRPr="00D169C2" w:rsidRDefault="005620CA" w:rsidP="005620CA">
      <w:pPr>
        <w:widowControl w:val="0"/>
        <w:autoSpaceDE w:val="0"/>
        <w:autoSpaceDN w:val="0"/>
        <w:adjustRightInd w:val="0"/>
        <w:spacing w:line="480" w:lineRule="auto"/>
      </w:pPr>
      <m:oMathPara>
        <m:oMathParaPr>
          <m:jc m:val="left"/>
        </m:oMathParaPr>
        <m:oMath>
          <m:sSub>
            <m:sSubPr>
              <m:ctrlPr>
                <w:rPr>
                  <w:rFonts w:ascii="Cambria Math" w:hAnsi="Cambria Math"/>
                  <w:i/>
                </w:rPr>
              </m:ctrlPr>
            </m:sSubPr>
            <m:e>
              <m:r>
                <w:rPr>
                  <w:rFonts w:ascii="Cambria Math" w:hAnsi="Cambria Math"/>
                </w:rPr>
                <m:t>C</m:t>
              </m:r>
              <m:r>
                <w:rPr>
                  <w:rFonts w:ascii="Cambria Math" w:hAnsi="Cambria Math"/>
                </w:rPr>
                <m:t>l</m:t>
              </m:r>
            </m:e>
            <m:sub>
              <m:r>
                <w:rPr>
                  <w:rFonts w:ascii="Cambria Math" w:hAnsi="Cambria Math"/>
                </w:rPr>
                <m:t>p.corr.</m:t>
              </m:r>
            </m:sub>
          </m:sSub>
          <m:r>
            <w:rPr>
              <w:rFonts w:ascii="Cambria Math" w:hAnsi="Cambria Math"/>
            </w:rPr>
            <m:t>=</m:t>
          </m:r>
          <m:sSub>
            <m:sSubPr>
              <m:ctrlPr>
                <w:rPr>
                  <w:rFonts w:ascii="Cambria Math" w:hAnsi="Cambria Math"/>
                  <w:i/>
                </w:rPr>
              </m:ctrlPr>
            </m:sSubPr>
            <m:e>
              <m:r>
                <w:rPr>
                  <w:rFonts w:ascii="Cambria Math" w:hAnsi="Cambria Math"/>
                </w:rPr>
                <m:t>Cl</m:t>
              </m:r>
            </m:e>
            <m:sub>
              <m:r>
                <w:rPr>
                  <w:rFonts w:ascii="Cambria Math" w:hAnsi="Cambria Math"/>
                </w:rPr>
                <m:t>p</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TTR</m:t>
                  </m:r>
                </m:e>
                <m:sub>
                  <m:r>
                    <w:rPr>
                      <w:rFonts w:ascii="Cambria Math" w:hAnsi="Cambria Math"/>
                    </w:rPr>
                    <m:t>group B or C</m:t>
                  </m:r>
                </m:sub>
              </m:sSub>
            </m:num>
            <m:den>
              <m:sSub>
                <m:sSubPr>
                  <m:ctrlPr>
                    <w:rPr>
                      <w:rFonts w:ascii="Cambria Math" w:hAnsi="Cambria Math"/>
                      <w:i/>
                    </w:rPr>
                  </m:ctrlPr>
                </m:sSubPr>
                <m:e>
                  <m:r>
                    <w:rPr>
                      <w:rFonts w:ascii="Cambria Math" w:hAnsi="Cambria Math"/>
                    </w:rPr>
                    <m:t>TTR</m:t>
                  </m:r>
                </m:e>
                <m:sub>
                  <m:r>
                    <w:rPr>
                      <w:rFonts w:ascii="Cambria Math" w:hAnsi="Cambria Math"/>
                    </w:rPr>
                    <m:t>group A</m:t>
                  </m:r>
                </m:sub>
              </m:sSub>
            </m:den>
          </m:f>
          <m:r>
            <w:rPr>
              <w:rFonts w:ascii="Cambria Math" w:hAnsi="Cambria Math"/>
            </w:rPr>
            <m:t>)</m:t>
          </m:r>
        </m:oMath>
      </m:oMathPara>
    </w:p>
    <w:p w14:paraId="72B892C3" w14:textId="43321FAB" w:rsidR="00881B51" w:rsidRPr="00D169C2" w:rsidRDefault="00881B51" w:rsidP="005620CA">
      <w:pPr>
        <w:widowControl w:val="0"/>
        <w:autoSpaceDE w:val="0"/>
        <w:autoSpaceDN w:val="0"/>
        <w:adjustRightInd w:val="0"/>
        <w:spacing w:line="240" w:lineRule="auto"/>
        <w:rPr>
          <w:rFonts w:cstheme="minorHAnsi"/>
        </w:rPr>
      </w:pPr>
      <w:r w:rsidRPr="00D169C2">
        <w:rPr>
          <w:rFonts w:cstheme="minorHAnsi"/>
        </w:rPr>
        <w:t xml:space="preserve">In CVVH (control </w:t>
      </w:r>
      <w:r w:rsidR="00931752" w:rsidRPr="00D169C2">
        <w:rPr>
          <w:rFonts w:cstheme="minorHAnsi"/>
        </w:rPr>
        <w:t>group</w:t>
      </w:r>
      <w:r w:rsidRPr="00D169C2">
        <w:rPr>
          <w:rFonts w:cstheme="minorHAnsi"/>
        </w:rPr>
        <w:t>), a sampling port</w:t>
      </w:r>
      <w:r w:rsidR="00931752" w:rsidRPr="00D169C2">
        <w:rPr>
          <w:rFonts w:cstheme="minorHAnsi"/>
        </w:rPr>
        <w:t xml:space="preserve"> i</w:t>
      </w:r>
      <w:r w:rsidR="00D92B10" w:rsidRPr="00D169C2">
        <w:rPr>
          <w:rFonts w:cstheme="minorHAnsi"/>
        </w:rPr>
        <w:t>s</w:t>
      </w:r>
      <w:r w:rsidRPr="00D169C2">
        <w:rPr>
          <w:rFonts w:cstheme="minorHAnsi"/>
        </w:rPr>
        <w:t xml:space="preserve"> available only before instead of after the replacement fluid flows into the extracorporeal circuit. Therefore, the </w:t>
      </w:r>
      <w:proofErr w:type="spellStart"/>
      <w:r w:rsidRPr="00D169C2">
        <w:rPr>
          <w:rFonts w:cstheme="minorHAnsi"/>
        </w:rPr>
        <w:t>postfilter</w:t>
      </w:r>
      <w:proofErr w:type="spellEnd"/>
      <w:r w:rsidRPr="00D169C2">
        <w:rPr>
          <w:rFonts w:cstheme="minorHAnsi"/>
        </w:rPr>
        <w:t xml:space="preserve"> solute concentration (</w:t>
      </w:r>
      <w:proofErr w:type="spellStart"/>
      <w:r w:rsidRPr="00D169C2">
        <w:rPr>
          <w:rFonts w:cstheme="minorHAnsi"/>
        </w:rPr>
        <w:t>C</w:t>
      </w:r>
      <w:r w:rsidRPr="00D169C2">
        <w:rPr>
          <w:rFonts w:cstheme="minorHAnsi"/>
          <w:vertAlign w:val="subscript"/>
        </w:rPr>
        <w:t>post</w:t>
      </w:r>
      <w:proofErr w:type="spellEnd"/>
      <w:r w:rsidRPr="00D169C2">
        <w:rPr>
          <w:rFonts w:cstheme="minorHAnsi"/>
        </w:rPr>
        <w:t>) ha</w:t>
      </w:r>
      <w:r w:rsidR="00931752" w:rsidRPr="00D169C2">
        <w:rPr>
          <w:rFonts w:cstheme="minorHAnsi"/>
        </w:rPr>
        <w:t>s</w:t>
      </w:r>
      <w:r w:rsidRPr="00D169C2">
        <w:rPr>
          <w:rFonts w:cstheme="minorHAnsi"/>
        </w:rPr>
        <w:t xml:space="preserve"> to be corrected to account for replacement fluid flow.</w:t>
      </w:r>
      <w:r w:rsidR="00931752" w:rsidRPr="00D169C2">
        <w:rPr>
          <w:rFonts w:cstheme="minorHAnsi"/>
        </w:rPr>
        <w:t xml:space="preserve"> </w:t>
      </w:r>
      <w:r w:rsidRPr="00D169C2">
        <w:rPr>
          <w:rFonts w:cstheme="minorHAnsi"/>
        </w:rPr>
        <w:t xml:space="preserve">For this </w:t>
      </w:r>
      <w:r w:rsidR="00931752" w:rsidRPr="00D169C2">
        <w:rPr>
          <w:rFonts w:cstheme="minorHAnsi"/>
        </w:rPr>
        <w:t>purpose,</w:t>
      </w:r>
      <w:r w:rsidRPr="00D169C2">
        <w:rPr>
          <w:rFonts w:cstheme="minorHAnsi"/>
        </w:rPr>
        <w:t xml:space="preserve"> </w:t>
      </w:r>
      <w:proofErr w:type="spellStart"/>
      <w:r w:rsidRPr="00D169C2">
        <w:rPr>
          <w:rFonts w:cstheme="minorHAnsi"/>
        </w:rPr>
        <w:t>postfilter</w:t>
      </w:r>
      <w:proofErr w:type="spellEnd"/>
      <w:r w:rsidRPr="00D169C2">
        <w:rPr>
          <w:rFonts w:cstheme="minorHAnsi"/>
        </w:rPr>
        <w:t xml:space="preserve"> plasma flow (</w:t>
      </w:r>
      <w:proofErr w:type="spellStart"/>
      <w:r w:rsidRPr="00D169C2">
        <w:rPr>
          <w:rFonts w:cstheme="minorHAnsi"/>
        </w:rPr>
        <w:t>Qp</w:t>
      </w:r>
      <w:r w:rsidRPr="00D169C2">
        <w:rPr>
          <w:rFonts w:cstheme="minorHAnsi"/>
          <w:vertAlign w:val="subscript"/>
        </w:rPr>
        <w:t>post</w:t>
      </w:r>
      <w:proofErr w:type="spellEnd"/>
      <w:r w:rsidRPr="00D169C2">
        <w:t>) w</w:t>
      </w:r>
      <w:r w:rsidR="00931752" w:rsidRPr="00D169C2">
        <w:t>ill be</w:t>
      </w:r>
      <w:r w:rsidRPr="00D169C2">
        <w:t xml:space="preserve"> calculated subtracting </w:t>
      </w:r>
      <w:r w:rsidRPr="00D169C2">
        <w:rPr>
          <w:rFonts w:cstheme="minorHAnsi"/>
        </w:rPr>
        <w:t xml:space="preserve">filtration portion (FP; ml/min) </w:t>
      </w:r>
      <w:r w:rsidRPr="00D169C2">
        <w:t xml:space="preserve">from </w:t>
      </w:r>
      <w:proofErr w:type="spellStart"/>
      <w:r w:rsidRPr="00D169C2">
        <w:t>prefilter</w:t>
      </w:r>
      <w:proofErr w:type="spellEnd"/>
      <w:r w:rsidRPr="00D169C2">
        <w:t xml:space="preserve"> plasma flow (</w:t>
      </w:r>
      <w:proofErr w:type="spellStart"/>
      <w:r w:rsidRPr="00D169C2">
        <w:rPr>
          <w:rFonts w:cstheme="minorHAnsi"/>
        </w:rPr>
        <w:t>Qp</w:t>
      </w:r>
      <w:r w:rsidRPr="00D169C2">
        <w:rPr>
          <w:rFonts w:cstheme="minorHAnsi"/>
          <w:vertAlign w:val="subscript"/>
        </w:rPr>
        <w:t>pre</w:t>
      </w:r>
      <w:proofErr w:type="spellEnd"/>
      <w:r w:rsidRPr="00D169C2">
        <w:rPr>
          <w:rFonts w:cstheme="minorHAnsi"/>
        </w:rPr>
        <w:t>):</w:t>
      </w:r>
    </w:p>
    <w:p w14:paraId="2DE33734" w14:textId="77777777" w:rsidR="00881B51" w:rsidRPr="00D169C2" w:rsidRDefault="005620CA" w:rsidP="005620CA">
      <w:pPr>
        <w:pStyle w:val="ListParagraph"/>
        <w:widowControl w:val="0"/>
        <w:autoSpaceDE w:val="0"/>
        <w:autoSpaceDN w:val="0"/>
        <w:adjustRightInd w:val="0"/>
        <w:spacing w:line="480" w:lineRule="auto"/>
        <w:ind w:left="0"/>
      </w:pPr>
      <m:oMathPara>
        <m:oMathParaPr>
          <m:jc m:val="left"/>
        </m:oMathParaPr>
        <m:oMath>
          <m:sSub>
            <m:sSubPr>
              <m:ctrlPr>
                <w:rPr>
                  <w:rFonts w:ascii="Cambria Math" w:hAnsi="Cambria Math"/>
                  <w:sz w:val="22"/>
                  <w:szCs w:val="22"/>
                </w:rPr>
              </m:ctrlPr>
            </m:sSubPr>
            <m:e>
              <m:r>
                <w:rPr>
                  <w:rFonts w:ascii="Cambria Math" w:hAnsi="Cambria Math"/>
                  <w:sz w:val="22"/>
                  <w:szCs w:val="22"/>
                </w:rPr>
                <m:t>Qp</m:t>
              </m:r>
            </m:e>
            <m:sub>
              <m:r>
                <w:rPr>
                  <w:rFonts w:ascii="Cambria Math" w:hAnsi="Cambria Math"/>
                  <w:sz w:val="22"/>
                  <w:szCs w:val="22"/>
                </w:rPr>
                <m:t>post</m:t>
              </m:r>
            </m:sub>
          </m:sSub>
          <m:r>
            <w:rPr>
              <w:rFonts w:ascii="Cambria Math" w:hAnsi="Cambria Math"/>
              <w:sz w:val="22"/>
              <w:szCs w:val="22"/>
            </w:rPr>
            <m:t>(ml/min)</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Qp</m:t>
              </m:r>
            </m:e>
            <m:sub>
              <m:r>
                <w:rPr>
                  <w:rFonts w:ascii="Cambria Math" w:hAnsi="Cambria Math"/>
                  <w:sz w:val="22"/>
                  <w:szCs w:val="22"/>
                </w:rPr>
                <m:t>pre</m:t>
              </m:r>
            </m:sub>
          </m:sSub>
          <m:r>
            <m:rPr>
              <m:sty m:val="p"/>
            </m:rPr>
            <w:rPr>
              <w:rFonts w:ascii="Cambria Math" w:hAnsi="Cambria Math"/>
              <w:sz w:val="22"/>
              <w:szCs w:val="22"/>
            </w:rPr>
            <m:t>-</m:t>
          </m:r>
          <m:r>
            <w:rPr>
              <w:rFonts w:ascii="Cambria Math" w:hAnsi="Cambria Math"/>
              <w:sz w:val="22"/>
              <w:szCs w:val="22"/>
            </w:rPr>
            <m:t>FP</m:t>
          </m:r>
          <m:r>
            <m:rPr>
              <m:sty m:val="p"/>
            </m:rPr>
            <w:rPr>
              <w:rFonts w:ascii="Cambria Math" w:hAnsi="Cambria Math"/>
              <w:sz w:val="22"/>
              <w:szCs w:val="22"/>
            </w:rPr>
            <m:t xml:space="preserve"> </m:t>
          </m:r>
        </m:oMath>
      </m:oMathPara>
    </w:p>
    <w:p w14:paraId="03C43BC4" w14:textId="7F47E746" w:rsidR="00931752" w:rsidRPr="00D169C2" w:rsidRDefault="00881B51" w:rsidP="005620CA">
      <w:pPr>
        <w:widowControl w:val="0"/>
        <w:autoSpaceDE w:val="0"/>
        <w:autoSpaceDN w:val="0"/>
        <w:adjustRightInd w:val="0"/>
        <w:spacing w:line="240" w:lineRule="auto"/>
        <w:rPr>
          <w:rFonts w:cstheme="minorHAnsi"/>
          <w:vertAlign w:val="subscript"/>
        </w:rPr>
      </w:pPr>
      <w:r w:rsidRPr="00D169C2">
        <w:rPr>
          <w:rFonts w:cstheme="minorHAnsi"/>
        </w:rPr>
        <w:t>The solute-specific concentration at the end of the extracorporeal circuit (</w:t>
      </w:r>
      <w:proofErr w:type="spellStart"/>
      <w:r w:rsidRPr="00D169C2">
        <w:rPr>
          <w:rFonts w:cstheme="minorHAnsi"/>
        </w:rPr>
        <w:t>C</w:t>
      </w:r>
      <w:r w:rsidRPr="00D169C2">
        <w:rPr>
          <w:rFonts w:cstheme="minorHAnsi"/>
          <w:vertAlign w:val="subscript"/>
        </w:rPr>
        <w:t>post.corr</w:t>
      </w:r>
      <w:proofErr w:type="spellEnd"/>
      <w:r w:rsidRPr="00D169C2">
        <w:rPr>
          <w:rFonts w:cstheme="minorHAnsi"/>
          <w:vertAlign w:val="subscript"/>
        </w:rPr>
        <w:t>.</w:t>
      </w:r>
      <w:r w:rsidRPr="00D169C2">
        <w:rPr>
          <w:rFonts w:cstheme="minorHAnsi"/>
        </w:rPr>
        <w:t>) w</w:t>
      </w:r>
      <w:r w:rsidR="00931752" w:rsidRPr="00D169C2">
        <w:rPr>
          <w:rFonts w:cstheme="minorHAnsi"/>
        </w:rPr>
        <w:t>ill be</w:t>
      </w:r>
      <w:r w:rsidRPr="00D169C2">
        <w:rPr>
          <w:rFonts w:cstheme="minorHAnsi"/>
        </w:rPr>
        <w:t xml:space="preserve"> adjusted using the ratio of plasma flow pre- and </w:t>
      </w:r>
      <w:proofErr w:type="spellStart"/>
      <w:r w:rsidRPr="00D169C2">
        <w:rPr>
          <w:rFonts w:cstheme="minorHAnsi"/>
        </w:rPr>
        <w:t>postfilter</w:t>
      </w:r>
      <w:proofErr w:type="spellEnd"/>
      <w:r w:rsidRPr="00D169C2">
        <w:rPr>
          <w:rFonts w:cstheme="minorHAnsi"/>
        </w:rPr>
        <w:t xml:space="preserve"> (</w:t>
      </w:r>
      <w:proofErr w:type="spellStart"/>
      <w:r w:rsidRPr="00D169C2">
        <w:rPr>
          <w:rFonts w:cstheme="minorHAnsi"/>
        </w:rPr>
        <w:t>Qp</w:t>
      </w:r>
      <w:r w:rsidRPr="00D169C2">
        <w:rPr>
          <w:rFonts w:cstheme="minorHAnsi"/>
          <w:vertAlign w:val="subscript"/>
        </w:rPr>
        <w:t>post</w:t>
      </w:r>
      <w:proofErr w:type="spellEnd"/>
      <w:r w:rsidRPr="00D169C2">
        <w:rPr>
          <w:rFonts w:cstheme="minorHAnsi"/>
        </w:rPr>
        <w:t>/</w:t>
      </w:r>
      <w:proofErr w:type="spellStart"/>
      <w:r w:rsidRPr="00D169C2">
        <w:rPr>
          <w:rFonts w:cstheme="minorHAnsi"/>
        </w:rPr>
        <w:t>Qp</w:t>
      </w:r>
      <w:r w:rsidRPr="00D169C2">
        <w:rPr>
          <w:rFonts w:cstheme="minorHAnsi"/>
          <w:vertAlign w:val="subscript"/>
        </w:rPr>
        <w:t>pre</w:t>
      </w:r>
      <w:proofErr w:type="spellEnd"/>
      <w:r w:rsidRPr="00D169C2">
        <w:rPr>
          <w:rFonts w:cstheme="minorHAnsi"/>
        </w:rPr>
        <w:t>)</w:t>
      </w:r>
      <w:r w:rsidR="00CA44C5" w:rsidRPr="00D169C2">
        <w:rPr>
          <w:rFonts w:cstheme="minorHAnsi"/>
        </w:rPr>
        <w:t xml:space="preserve"> in CVVH group.</w:t>
      </w:r>
    </w:p>
    <w:p w14:paraId="00C9A32E" w14:textId="552190FE" w:rsidR="00881B51" w:rsidRPr="00D169C2" w:rsidRDefault="00881B51" w:rsidP="005620CA">
      <w:pPr>
        <w:widowControl w:val="0"/>
        <w:autoSpaceDE w:val="0"/>
        <w:autoSpaceDN w:val="0"/>
        <w:adjustRightInd w:val="0"/>
        <w:spacing w:line="240" w:lineRule="auto"/>
      </w:pPr>
      <w:r w:rsidRPr="00D169C2">
        <w:rPr>
          <w:rStyle w:val="CommentReference"/>
        </w:rPr>
        <w:br/>
      </w:r>
      <m:oMathPara>
        <m:oMathParaPr>
          <m:jc m:val="left"/>
        </m:oMathParaPr>
        <m:oMath>
          <m:sSub>
            <m:sSubPr>
              <m:ctrlPr>
                <w:rPr>
                  <w:rFonts w:ascii="Cambria Math" w:hAnsi="Cambria Math"/>
                </w:rPr>
              </m:ctrlPr>
            </m:sSubPr>
            <m:e>
              <m:r>
                <w:rPr>
                  <w:rFonts w:ascii="Cambria Math" w:hAnsi="Cambria Math"/>
                </w:rPr>
                <m:t>C</m:t>
              </m:r>
            </m:e>
            <m:sub>
              <m:r>
                <w:rPr>
                  <w:rFonts w:ascii="Cambria Math" w:hAnsi="Cambria Math"/>
                </w:rPr>
                <m:t>post</m:t>
              </m:r>
              <m:r>
                <m:rPr>
                  <m:sty m:val="p"/>
                </m:rPr>
                <w:rPr>
                  <w:rFonts w:ascii="Cambria Math" w:hAnsi="Cambria Math"/>
                </w:rPr>
                <m:t>.</m:t>
              </m:r>
              <m:r>
                <w:rPr>
                  <w:rFonts w:ascii="Cambria Math" w:hAnsi="Cambria Math"/>
                </w:rPr>
                <m:t>corr</m:t>
              </m:r>
              <m:r>
                <m:rPr>
                  <m:sty m:val="p"/>
                </m:rPr>
                <w:rPr>
                  <w:rFonts w:ascii="Cambria Math" w:hAnsi="Cambria Math"/>
                </w:rPr>
                <m:t>.</m:t>
              </m:r>
            </m:sub>
          </m:sSub>
          <m:r>
            <m:rPr>
              <m:sty m:val="p"/>
            </m:rPr>
            <w:rPr>
              <w:rFonts w:ascii="Cambria Math" w:hAnsi="Cambria Math"/>
            </w:rPr>
            <m:t>(</m:t>
          </m:r>
          <m:r>
            <w:rPr>
              <w:rFonts w:ascii="Cambria Math" w:hAnsi="Cambria Math"/>
            </w:rPr>
            <m:t>mmol</m:t>
          </m:r>
          <m:r>
            <m:rPr>
              <m:sty m:val="p"/>
            </m:rPr>
            <w:rPr>
              <w:rFonts w:ascii="Cambria Math" w:hAnsi="Cambria Math"/>
            </w:rPr>
            <m:t>/</m:t>
          </m:r>
          <m:r>
            <w:rPr>
              <w:rFonts w:ascii="Cambria Math" w:hAnsi="Cambria Math"/>
            </w:rPr>
            <m:t>l</m:t>
          </m:r>
          <m:r>
            <m:rPr>
              <m:sty m:val="p"/>
            </m:rPr>
            <w:rPr>
              <w:rFonts w:ascii="Cambria Math" w:hAnsi="Cambria Math"/>
            </w:rPr>
            <m:t>)=</m:t>
          </m:r>
          <m:sSub>
            <m:sSubPr>
              <m:ctrlPr>
                <w:rPr>
                  <w:rFonts w:ascii="Cambria Math" w:hAnsi="Cambria Math"/>
                </w:rPr>
              </m:ctrlPr>
            </m:sSubPr>
            <m:e>
              <m:r>
                <m:rPr>
                  <m:sty m:val="p"/>
                </m:rPr>
                <w:rPr>
                  <w:rFonts w:ascii="Cambria Math" w:hAnsi="Cambria Math"/>
                </w:rPr>
                <m:t>(</m:t>
              </m:r>
              <m:r>
                <w:rPr>
                  <w:rFonts w:ascii="Cambria Math" w:hAnsi="Cambria Math"/>
                </w:rPr>
                <m:t>Qp</m:t>
              </m:r>
            </m:e>
            <m:sub>
              <m:r>
                <w:rPr>
                  <w:rFonts w:ascii="Cambria Math" w:hAnsi="Cambria Math"/>
                </w:rPr>
                <m:t>post</m:t>
              </m:r>
            </m:sub>
          </m:sSub>
          <m:r>
            <m:rPr>
              <m:sty m:val="p"/>
            </m:rPr>
            <w:rPr>
              <w:rFonts w:ascii="Cambria Math" w:hAnsi="Cambria Math"/>
            </w:rPr>
            <m:t>÷</m:t>
          </m:r>
          <m:sSub>
            <m:sSubPr>
              <m:ctrlPr>
                <w:rPr>
                  <w:rFonts w:ascii="Cambria Math" w:hAnsi="Cambria Math"/>
                </w:rPr>
              </m:ctrlPr>
            </m:sSubPr>
            <m:e>
              <m:r>
                <w:rPr>
                  <w:rFonts w:ascii="Cambria Math" w:hAnsi="Cambria Math"/>
                </w:rPr>
                <m:t>QP</m:t>
              </m:r>
            </m:e>
            <m:sub>
              <m:r>
                <w:rPr>
                  <w:rFonts w:ascii="Cambria Math" w:hAnsi="Cambria Math"/>
                </w:rPr>
                <m:t>pre</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post</m:t>
              </m:r>
            </m:sub>
          </m:sSub>
        </m:oMath>
      </m:oMathPara>
    </w:p>
    <w:p w14:paraId="24FE4826" w14:textId="77777777" w:rsidR="00931752" w:rsidRPr="00D169C2" w:rsidRDefault="00931752" w:rsidP="005620CA">
      <w:pPr>
        <w:widowControl w:val="0"/>
        <w:autoSpaceDE w:val="0"/>
        <w:autoSpaceDN w:val="0"/>
        <w:adjustRightInd w:val="0"/>
        <w:spacing w:line="480" w:lineRule="auto"/>
        <w:rPr>
          <w:b/>
        </w:rPr>
      </w:pPr>
    </w:p>
    <w:p w14:paraId="5285D4A8" w14:textId="03CB3008" w:rsidR="00881B51" w:rsidRPr="00D169C2" w:rsidRDefault="00881B51" w:rsidP="005620CA">
      <w:pPr>
        <w:widowControl w:val="0"/>
        <w:autoSpaceDE w:val="0"/>
        <w:autoSpaceDN w:val="0"/>
        <w:adjustRightInd w:val="0"/>
        <w:spacing w:line="240" w:lineRule="auto"/>
        <w:rPr>
          <w:b/>
        </w:rPr>
      </w:pPr>
      <w:r w:rsidRPr="00D169C2">
        <w:rPr>
          <w:b/>
        </w:rPr>
        <w:t>Laboratory analysis:</w:t>
      </w:r>
    </w:p>
    <w:p w14:paraId="73B272A0" w14:textId="1DBB8066" w:rsidR="00881B51" w:rsidRPr="00D169C2" w:rsidRDefault="00881B51" w:rsidP="005620CA">
      <w:pPr>
        <w:widowControl w:val="0"/>
        <w:autoSpaceDE w:val="0"/>
        <w:autoSpaceDN w:val="0"/>
        <w:adjustRightInd w:val="0"/>
        <w:spacing w:before="0" w:after="0" w:line="240" w:lineRule="auto"/>
      </w:pPr>
      <w:r w:rsidRPr="00D169C2">
        <w:t xml:space="preserve">Laboratory analyses </w:t>
      </w:r>
      <w:r w:rsidR="00D92B10" w:rsidRPr="00D169C2">
        <w:t>will be</w:t>
      </w:r>
      <w:r w:rsidR="00CA44C5" w:rsidRPr="00D169C2">
        <w:t xml:space="preserve"> </w:t>
      </w:r>
      <w:r w:rsidRPr="00D169C2">
        <w:t xml:space="preserve">performed using </w:t>
      </w:r>
      <w:proofErr w:type="spellStart"/>
      <w:r w:rsidRPr="00D169C2">
        <w:t>Cobas</w:t>
      </w:r>
      <w:proofErr w:type="spellEnd"/>
      <w:r w:rsidRPr="00D169C2">
        <w:t xml:space="preserve"> 8000 (Roche, Mannheim, Germany) according to the manufacturer´s instructions, immediately after sampling.</w:t>
      </w:r>
      <w:r w:rsidR="00D92B10" w:rsidRPr="00D169C2">
        <w:br/>
      </w:r>
      <w:r w:rsidR="00D92B10" w:rsidRPr="00D169C2">
        <w:br/>
      </w:r>
      <w:r w:rsidRPr="00D169C2">
        <w:t>The following methods</w:t>
      </w:r>
      <w:r w:rsidR="00D92B10" w:rsidRPr="00D169C2">
        <w:t xml:space="preserve"> will be</w:t>
      </w:r>
      <w:r w:rsidRPr="00D169C2">
        <w:t xml:space="preserve"> used</w:t>
      </w:r>
      <w:proofErr w:type="gramStart"/>
      <w:r w:rsidR="00D92B10" w:rsidRPr="00D169C2">
        <w:t>:</w:t>
      </w:r>
      <w:proofErr w:type="gramEnd"/>
      <w:r w:rsidR="00D92B10" w:rsidRPr="00D169C2">
        <w:br/>
      </w:r>
      <w:r w:rsidRPr="00D169C2">
        <w:t>-</w:t>
      </w:r>
      <w:r w:rsidRPr="00D169C2">
        <w:tab/>
        <w:t>Urea: kinetic test with urease and glutamate dehydrogenase</w:t>
      </w:r>
    </w:p>
    <w:p w14:paraId="1FE457F7" w14:textId="77777777" w:rsidR="00881B51" w:rsidRPr="00D169C2" w:rsidRDefault="00881B51" w:rsidP="005620CA">
      <w:pPr>
        <w:widowControl w:val="0"/>
        <w:autoSpaceDE w:val="0"/>
        <w:autoSpaceDN w:val="0"/>
        <w:adjustRightInd w:val="0"/>
        <w:spacing w:before="0" w:after="0" w:line="240" w:lineRule="auto"/>
      </w:pPr>
      <w:r w:rsidRPr="00D169C2">
        <w:lastRenderedPageBreak/>
        <w:t>-</w:t>
      </w:r>
      <w:r w:rsidRPr="00D169C2">
        <w:tab/>
        <w:t xml:space="preserve">Creatinine: enzymatic method with </w:t>
      </w:r>
      <w:proofErr w:type="spellStart"/>
      <w:r w:rsidRPr="00D169C2">
        <w:t>creatinase</w:t>
      </w:r>
      <w:proofErr w:type="spellEnd"/>
    </w:p>
    <w:p w14:paraId="160F71AE" w14:textId="77777777" w:rsidR="00881B51" w:rsidRPr="00D169C2" w:rsidRDefault="00881B51" w:rsidP="005620CA">
      <w:pPr>
        <w:widowControl w:val="0"/>
        <w:autoSpaceDE w:val="0"/>
        <w:autoSpaceDN w:val="0"/>
        <w:adjustRightInd w:val="0"/>
        <w:spacing w:before="0" w:after="0" w:line="240" w:lineRule="auto"/>
      </w:pPr>
      <w:r w:rsidRPr="00D169C2">
        <w:t>-</w:t>
      </w:r>
      <w:r w:rsidRPr="00D169C2">
        <w:tab/>
      </w:r>
      <w:proofErr w:type="gramStart"/>
      <w:r w:rsidRPr="00D169C2">
        <w:t>β2-microglobulin</w:t>
      </w:r>
      <w:proofErr w:type="gramEnd"/>
      <w:r w:rsidRPr="00D169C2">
        <w:t>: am c701 immunological test for turbidity</w:t>
      </w:r>
    </w:p>
    <w:p w14:paraId="6988D69B" w14:textId="77777777" w:rsidR="00881B51" w:rsidRPr="00D169C2" w:rsidRDefault="00881B51" w:rsidP="005620CA">
      <w:pPr>
        <w:widowControl w:val="0"/>
        <w:autoSpaceDE w:val="0"/>
        <w:autoSpaceDN w:val="0"/>
        <w:adjustRightInd w:val="0"/>
        <w:spacing w:before="0" w:after="0" w:line="240" w:lineRule="auto"/>
      </w:pPr>
      <w:r w:rsidRPr="00D169C2">
        <w:t>-</w:t>
      </w:r>
      <w:r w:rsidRPr="00D169C2">
        <w:tab/>
        <w:t xml:space="preserve">Myoglobin: </w:t>
      </w:r>
      <w:bookmarkStart w:id="11" w:name="_Hlk43320805"/>
      <w:proofErr w:type="spellStart"/>
      <w:r w:rsidRPr="00D169C2">
        <w:t>ElektroChemiLumineszenzImmunoAssay</w:t>
      </w:r>
      <w:bookmarkEnd w:id="11"/>
      <w:proofErr w:type="spellEnd"/>
      <w:r w:rsidRPr="00D169C2">
        <w:t xml:space="preserve"> </w:t>
      </w:r>
      <w:bookmarkStart w:id="12" w:name="_Hlk43320783"/>
      <w:r w:rsidRPr="00D169C2">
        <w:t>(ECLIA)</w:t>
      </w:r>
      <w:bookmarkEnd w:id="12"/>
    </w:p>
    <w:p w14:paraId="419DF391" w14:textId="77777777" w:rsidR="00881B51" w:rsidRPr="00D169C2" w:rsidRDefault="00881B51" w:rsidP="005620CA">
      <w:pPr>
        <w:widowControl w:val="0"/>
        <w:autoSpaceDE w:val="0"/>
        <w:autoSpaceDN w:val="0"/>
        <w:adjustRightInd w:val="0"/>
        <w:spacing w:before="0" w:after="0" w:line="240" w:lineRule="auto"/>
      </w:pPr>
      <w:r w:rsidRPr="00D169C2">
        <w:t>-</w:t>
      </w:r>
      <w:r w:rsidRPr="00D169C2">
        <w:tab/>
        <w:t>IL-6: ECLIA</w:t>
      </w:r>
    </w:p>
    <w:p w14:paraId="791183D9" w14:textId="2A10DFD0" w:rsidR="008570DE" w:rsidRDefault="00881B51" w:rsidP="005620CA">
      <w:pPr>
        <w:widowControl w:val="0"/>
        <w:autoSpaceDE w:val="0"/>
        <w:autoSpaceDN w:val="0"/>
        <w:adjustRightInd w:val="0"/>
        <w:spacing w:before="0" w:after="0" w:line="240" w:lineRule="auto"/>
      </w:pPr>
      <w:r w:rsidRPr="00D169C2">
        <w:t>-</w:t>
      </w:r>
      <w:r w:rsidRPr="00D169C2">
        <w:tab/>
        <w:t xml:space="preserve">Human albumin: color test with </w:t>
      </w:r>
      <w:proofErr w:type="spellStart"/>
      <w:r w:rsidRPr="00D169C2">
        <w:t>bromocresol</w:t>
      </w:r>
      <w:proofErr w:type="spellEnd"/>
      <w:r w:rsidRPr="00D169C2">
        <w:t xml:space="preserve"> green  </w:t>
      </w:r>
    </w:p>
    <w:p w14:paraId="646705ED" w14:textId="77777777" w:rsidR="000F6BF2" w:rsidRPr="00D169C2" w:rsidRDefault="000F6BF2" w:rsidP="005620CA">
      <w:pPr>
        <w:widowControl w:val="0"/>
        <w:autoSpaceDE w:val="0"/>
        <w:autoSpaceDN w:val="0"/>
        <w:adjustRightInd w:val="0"/>
        <w:spacing w:before="0" w:after="0" w:line="240" w:lineRule="auto"/>
      </w:pPr>
    </w:p>
    <w:p w14:paraId="15F3307F" w14:textId="70ECBDB8" w:rsidR="002870E8" w:rsidRPr="00A34F2A" w:rsidRDefault="002870E8" w:rsidP="005620CA">
      <w:pPr>
        <w:pStyle w:val="NoSpacing"/>
        <w:widowControl w:val="0"/>
        <w:rPr>
          <w:b/>
        </w:rPr>
      </w:pPr>
      <w:r w:rsidRPr="00A34F2A">
        <w:rPr>
          <w:b/>
        </w:rPr>
        <w:t>7.8. Statistical analysis:</w:t>
      </w:r>
    </w:p>
    <w:p w14:paraId="6C98B702" w14:textId="7CAC1DCA" w:rsidR="00222565" w:rsidRDefault="00222565" w:rsidP="005620CA">
      <w:pPr>
        <w:widowControl w:val="0"/>
        <w:spacing w:before="0" w:after="0" w:line="240" w:lineRule="auto"/>
      </w:pPr>
      <w:r w:rsidRPr="00D169C2">
        <w:t xml:space="preserve">Because clinical data are not available, </w:t>
      </w:r>
      <w:r>
        <w:t>currently</w:t>
      </w:r>
      <w:r w:rsidRPr="00D169C2">
        <w:t xml:space="preserve"> </w:t>
      </w:r>
      <w:r>
        <w:t>an exact sample size calculation</w:t>
      </w:r>
      <w:r w:rsidRPr="00D169C2">
        <w:t xml:space="preserve"> is not </w:t>
      </w:r>
      <w:r>
        <w:t>possible.</w:t>
      </w:r>
      <w:r w:rsidR="004776D1">
        <w:t xml:space="preserve"> </w:t>
      </w:r>
      <w:r>
        <w:t xml:space="preserve">According to the character of the study as a pilot trial, the study questions are primarily explorative. That is, principally the data are analyzed </w:t>
      </w:r>
      <w:proofErr w:type="spellStart"/>
      <w:r>
        <w:t>exploratively</w:t>
      </w:r>
      <w:proofErr w:type="spellEnd"/>
      <w:r>
        <w:t xml:space="preserve">: </w:t>
      </w:r>
      <w:r w:rsidR="00932388" w:rsidRPr="00D169C2">
        <w:t xml:space="preserve">Categorical variables will be displayed as </w:t>
      </w:r>
      <w:r w:rsidR="00932388" w:rsidRPr="00D169C2">
        <w:rPr>
          <w:color w:val="000000"/>
        </w:rPr>
        <w:t>frequencies and percentages</w:t>
      </w:r>
      <w:r w:rsidR="00932388">
        <w:t xml:space="preserve"> </w:t>
      </w:r>
      <w:r>
        <w:t>and median, minimum and maximum</w:t>
      </w:r>
      <w:r w:rsidR="00932388" w:rsidRPr="00D169C2">
        <w:t xml:space="preserve"> </w:t>
      </w:r>
      <w:r w:rsidR="00932388">
        <w:t xml:space="preserve">(or </w:t>
      </w:r>
      <w:r w:rsidR="00932388" w:rsidRPr="00D169C2">
        <w:t>25</w:t>
      </w:r>
      <w:r w:rsidR="00932388" w:rsidRPr="00D169C2">
        <w:rPr>
          <w:vertAlign w:val="superscript"/>
        </w:rPr>
        <w:t>th</w:t>
      </w:r>
      <w:r w:rsidR="00932388" w:rsidRPr="00D169C2">
        <w:t xml:space="preserve"> and 75</w:t>
      </w:r>
      <w:r w:rsidR="00932388" w:rsidRPr="00D169C2">
        <w:rPr>
          <w:vertAlign w:val="superscript"/>
        </w:rPr>
        <w:t>th</w:t>
      </w:r>
      <w:r w:rsidR="00932388" w:rsidRPr="00D169C2">
        <w:t xml:space="preserve"> quantile in square brackets</w:t>
      </w:r>
      <w:r w:rsidR="00932388">
        <w:t xml:space="preserve">) </w:t>
      </w:r>
      <w:r>
        <w:t xml:space="preserve">for continuous variables. Skew distributed data with outliers are logarithmic transformed before inclusion in linear models. </w:t>
      </w:r>
    </w:p>
    <w:p w14:paraId="39B1C7EE" w14:textId="5939EC12" w:rsidR="00222565" w:rsidRDefault="00222565" w:rsidP="005620CA">
      <w:pPr>
        <w:pStyle w:val="ListParagraph"/>
        <w:widowControl w:val="0"/>
        <w:ind w:left="0"/>
      </w:pPr>
      <w:r>
        <w:t xml:space="preserve">For the measurements of clearance of myoglobin and other molecules at the four time points, mixed linear models are applied. They model the correlation structure within the data and work in the presence of some missing values, too. By means of contrasts, the marginal mean for every method is estimated with 95% confidence interval (CI). The change of clearance over time is evaluated by other user-defined contrasts with CI. For the primary question, groups can be compared by contrast tests. </w:t>
      </w:r>
    </w:p>
    <w:p w14:paraId="1F4FD4BD" w14:textId="77777777" w:rsidR="00C7056E" w:rsidRDefault="00C7056E" w:rsidP="005620CA">
      <w:pPr>
        <w:pStyle w:val="ListParagraph"/>
        <w:widowControl w:val="0"/>
        <w:ind w:left="0"/>
      </w:pPr>
    </w:p>
    <w:p w14:paraId="339A1C9D" w14:textId="538F8D22" w:rsidR="00222565" w:rsidRDefault="00222565" w:rsidP="005620CA">
      <w:pPr>
        <w:pStyle w:val="ListParagraph"/>
        <w:widowControl w:val="0"/>
        <w:ind w:left="0"/>
        <w:rPr>
          <w:color w:val="000000" w:themeColor="text1"/>
        </w:rPr>
      </w:pPr>
      <w:r w:rsidRPr="004F074E">
        <w:rPr>
          <w:color w:val="000000" w:themeColor="text1"/>
        </w:rPr>
        <w:t>Group-separated point diagrams are appropriate for this sample size.</w:t>
      </w:r>
    </w:p>
    <w:p w14:paraId="45263A7A" w14:textId="77777777" w:rsidR="00932388" w:rsidRDefault="00932388" w:rsidP="005620CA">
      <w:pPr>
        <w:pStyle w:val="ListParagraph"/>
        <w:widowControl w:val="0"/>
        <w:ind w:left="0"/>
        <w:rPr>
          <w:color w:val="000000" w:themeColor="text1"/>
        </w:rPr>
      </w:pPr>
    </w:p>
    <w:p w14:paraId="504A9886" w14:textId="77777777" w:rsidR="00932388" w:rsidRPr="00D169C2" w:rsidRDefault="00932388" w:rsidP="005620CA">
      <w:pPr>
        <w:pStyle w:val="ListParagraph"/>
        <w:widowControl w:val="0"/>
        <w:ind w:left="0"/>
      </w:pPr>
      <w:r w:rsidRPr="00D169C2">
        <w:t>The Kaplan-Meier method will be applied to calculate and depict the survival function of the dialyzer lifetime.</w:t>
      </w:r>
    </w:p>
    <w:p w14:paraId="3A487D4A" w14:textId="2BE18B62" w:rsidR="00222565" w:rsidRDefault="00222565" w:rsidP="005620CA">
      <w:pPr>
        <w:pStyle w:val="ListParagraph"/>
        <w:widowControl w:val="0"/>
        <w:ind w:left="0"/>
      </w:pPr>
      <w:r>
        <w:rPr>
          <w:color w:val="000000" w:themeColor="text1"/>
        </w:rPr>
        <w:t>All analyses will be performed using R, version 4 (R Core Team 2020, Vienna, A)</w:t>
      </w:r>
      <w:r w:rsidR="00C7056E">
        <w:rPr>
          <w:color w:val="000000" w:themeColor="text1"/>
        </w:rPr>
        <w:t xml:space="preserve"> and </w:t>
      </w:r>
      <w:r w:rsidR="00C7056E" w:rsidRPr="00D169C2">
        <w:t xml:space="preserve">IBM SPSS, versions 26 (Minneapolis, USA). </w:t>
      </w:r>
      <w:r>
        <w:rPr>
          <w:color w:val="000000" w:themeColor="text1"/>
        </w:rPr>
        <w:t xml:space="preserve"> </w:t>
      </w:r>
      <w:r w:rsidRPr="00D169C2">
        <w:t>The significance level is defined 5% for two-tailed tests.</w:t>
      </w:r>
    </w:p>
    <w:p w14:paraId="6111C900" w14:textId="77777777" w:rsidR="00C7056E" w:rsidRPr="004F074E" w:rsidRDefault="00C7056E" w:rsidP="005620CA">
      <w:pPr>
        <w:pStyle w:val="ListParagraph"/>
        <w:widowControl w:val="0"/>
        <w:ind w:left="0"/>
        <w:rPr>
          <w:color w:val="000000" w:themeColor="text1"/>
        </w:rPr>
      </w:pPr>
    </w:p>
    <w:p w14:paraId="137D1204" w14:textId="3175D4D6" w:rsidR="0094751E" w:rsidRPr="00A34F2A" w:rsidRDefault="00106929" w:rsidP="005620CA">
      <w:pPr>
        <w:pStyle w:val="NoSpacing"/>
        <w:widowControl w:val="0"/>
        <w:rPr>
          <w:rFonts w:eastAsia="Times New Roman"/>
          <w:b/>
        </w:rPr>
      </w:pPr>
      <w:r w:rsidRPr="00A34F2A">
        <w:rPr>
          <w:rFonts w:eastAsia="Times New Roman"/>
          <w:b/>
        </w:rPr>
        <w:t>8</w:t>
      </w:r>
      <w:r w:rsidR="0094751E" w:rsidRPr="00A34F2A">
        <w:rPr>
          <w:rFonts w:eastAsia="Times New Roman"/>
          <w:b/>
        </w:rPr>
        <w:t>. Referen</w:t>
      </w:r>
      <w:r w:rsidRPr="00A34F2A">
        <w:rPr>
          <w:rFonts w:eastAsia="Times New Roman"/>
          <w:b/>
        </w:rPr>
        <w:t>ces</w:t>
      </w:r>
      <w:r w:rsidR="0094751E" w:rsidRPr="00A34F2A">
        <w:rPr>
          <w:rFonts w:eastAsia="Times New Roman"/>
          <w:b/>
        </w:rPr>
        <w:t>:</w:t>
      </w:r>
    </w:p>
    <w:p w14:paraId="04E869B1" w14:textId="4FB1DA93" w:rsidR="001C4BD9" w:rsidRPr="00D169C2" w:rsidRDefault="0094751E" w:rsidP="005620CA">
      <w:pPr>
        <w:widowControl w:val="0"/>
        <w:autoSpaceDE w:val="0"/>
        <w:autoSpaceDN w:val="0"/>
        <w:adjustRightInd w:val="0"/>
        <w:spacing w:line="240" w:lineRule="auto"/>
        <w:ind w:left="640" w:hanging="640"/>
        <w:rPr>
          <w:rFonts w:ascii="Calibri" w:hAnsi="Calibri" w:cs="Calibri"/>
          <w:noProof/>
          <w:szCs w:val="24"/>
        </w:rPr>
      </w:pPr>
      <w:r w:rsidRPr="00D169C2">
        <w:rPr>
          <w:rFonts w:eastAsia="Times New Roman" w:cstheme="minorHAnsi"/>
          <w:b/>
        </w:rPr>
        <w:fldChar w:fldCharType="begin" w:fldLock="1"/>
      </w:r>
      <w:r w:rsidRPr="00D169C2">
        <w:rPr>
          <w:rFonts w:eastAsia="Times New Roman" w:cstheme="minorHAnsi"/>
          <w:b/>
        </w:rPr>
        <w:instrText xml:space="preserve">ADDIN Mendeley Bibliography CSL_BIBLIOGRAPHY </w:instrText>
      </w:r>
      <w:r w:rsidRPr="00D169C2">
        <w:rPr>
          <w:rFonts w:eastAsia="Times New Roman" w:cstheme="minorHAnsi"/>
          <w:b/>
        </w:rPr>
        <w:fldChar w:fldCharType="separate"/>
      </w:r>
      <w:r w:rsidR="001C4BD9" w:rsidRPr="00D169C2">
        <w:rPr>
          <w:rFonts w:ascii="Calibri" w:hAnsi="Calibri" w:cs="Calibri"/>
          <w:noProof/>
          <w:szCs w:val="24"/>
        </w:rPr>
        <w:t xml:space="preserve">1. </w:t>
      </w:r>
      <w:r w:rsidR="001C4BD9" w:rsidRPr="00D169C2">
        <w:rPr>
          <w:rFonts w:ascii="Calibri" w:hAnsi="Calibri" w:cs="Calibri"/>
          <w:noProof/>
          <w:szCs w:val="24"/>
        </w:rPr>
        <w:tab/>
        <w:t xml:space="preserve">Hoste EAJ, Bagshaw SM, Bellomo R, et al. Epidemiology of acute kidney injury in critically ill patients: the multinational AKI-EPI study. </w:t>
      </w:r>
      <w:r w:rsidR="001C4BD9" w:rsidRPr="00D169C2">
        <w:rPr>
          <w:rFonts w:ascii="Calibri" w:hAnsi="Calibri" w:cs="Calibri"/>
          <w:i/>
          <w:iCs/>
          <w:noProof/>
          <w:szCs w:val="24"/>
        </w:rPr>
        <w:t>Intensive Care Med</w:t>
      </w:r>
      <w:r w:rsidR="001C4BD9" w:rsidRPr="00D169C2">
        <w:rPr>
          <w:rFonts w:ascii="Calibri" w:hAnsi="Calibri" w:cs="Calibri"/>
          <w:noProof/>
          <w:szCs w:val="24"/>
        </w:rPr>
        <w:t>. 2015;41(8):1411-1423. doi:10.1007/s00134-015-3934-7</w:t>
      </w:r>
    </w:p>
    <w:p w14:paraId="632B581B"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t xml:space="preserve">2. </w:t>
      </w:r>
      <w:r w:rsidRPr="00D169C2">
        <w:rPr>
          <w:rFonts w:ascii="Calibri" w:hAnsi="Calibri" w:cs="Calibri"/>
          <w:noProof/>
          <w:szCs w:val="24"/>
        </w:rPr>
        <w:tab/>
        <w:t xml:space="preserve">Uchino S, Kellum JA, Bellomo R, et al. Acute renal failure in critically ill patients: a multinational, multicenter study. </w:t>
      </w:r>
      <w:r w:rsidRPr="00D169C2">
        <w:rPr>
          <w:rFonts w:ascii="Calibri" w:hAnsi="Calibri" w:cs="Calibri"/>
          <w:i/>
          <w:iCs/>
          <w:noProof/>
          <w:szCs w:val="24"/>
        </w:rPr>
        <w:t>JAMA</w:t>
      </w:r>
      <w:r w:rsidRPr="00D169C2">
        <w:rPr>
          <w:rFonts w:ascii="Calibri" w:hAnsi="Calibri" w:cs="Calibri"/>
          <w:noProof/>
          <w:szCs w:val="24"/>
        </w:rPr>
        <w:t>. 2005;294(7):813-818. doi:10.1001/jama.294.7.813</w:t>
      </w:r>
    </w:p>
    <w:p w14:paraId="10DFF57A"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t xml:space="preserve">3. </w:t>
      </w:r>
      <w:r w:rsidRPr="00D169C2">
        <w:rPr>
          <w:rFonts w:ascii="Calibri" w:hAnsi="Calibri" w:cs="Calibri"/>
          <w:noProof/>
          <w:szCs w:val="24"/>
        </w:rPr>
        <w:tab/>
        <w:t xml:space="preserve">Bosch X, Poch E, Grau JM. Rhabdomyolysis and acute kidney injury. </w:t>
      </w:r>
      <w:r w:rsidRPr="00D169C2">
        <w:rPr>
          <w:rFonts w:ascii="Calibri" w:hAnsi="Calibri" w:cs="Calibri"/>
          <w:i/>
          <w:iCs/>
          <w:noProof/>
          <w:szCs w:val="24"/>
        </w:rPr>
        <w:t>N Engl J Med</w:t>
      </w:r>
      <w:r w:rsidRPr="00D169C2">
        <w:rPr>
          <w:rFonts w:ascii="Calibri" w:hAnsi="Calibri" w:cs="Calibri"/>
          <w:noProof/>
          <w:szCs w:val="24"/>
        </w:rPr>
        <w:t>. 2009;361(1):62-72. doi:10.1056/NEJMra0801327</w:t>
      </w:r>
    </w:p>
    <w:p w14:paraId="7AD911D9"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t xml:space="preserve">4. </w:t>
      </w:r>
      <w:r w:rsidRPr="00D169C2">
        <w:rPr>
          <w:rFonts w:ascii="Calibri" w:hAnsi="Calibri" w:cs="Calibri"/>
          <w:noProof/>
          <w:szCs w:val="24"/>
        </w:rPr>
        <w:tab/>
        <w:t xml:space="preserve">Panizo N, Rubio-Navarro A, Amaro-Villalobos JM, Egido J, Moreno JA. Molecular mechanisms and novel therapeutic approaches to rhabdomyolysis-induced acute kidney injury. </w:t>
      </w:r>
      <w:r w:rsidRPr="00D169C2">
        <w:rPr>
          <w:rFonts w:ascii="Calibri" w:hAnsi="Calibri" w:cs="Calibri"/>
          <w:i/>
          <w:iCs/>
          <w:noProof/>
          <w:szCs w:val="24"/>
        </w:rPr>
        <w:t>Kidney Blood Press Res</w:t>
      </w:r>
      <w:r w:rsidRPr="00D169C2">
        <w:rPr>
          <w:rFonts w:ascii="Calibri" w:hAnsi="Calibri" w:cs="Calibri"/>
          <w:noProof/>
          <w:szCs w:val="24"/>
        </w:rPr>
        <w:t>. 2015;40(5):520-532. doi:10.1159/000368528</w:t>
      </w:r>
    </w:p>
    <w:p w14:paraId="748EAB70"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t xml:space="preserve">5. </w:t>
      </w:r>
      <w:r w:rsidRPr="00D169C2">
        <w:rPr>
          <w:rFonts w:ascii="Calibri" w:hAnsi="Calibri" w:cs="Calibri"/>
          <w:noProof/>
          <w:szCs w:val="24"/>
        </w:rPr>
        <w:tab/>
        <w:t xml:space="preserve">Chavez LO, Leon M, Einav S, Varon J. Beyond muscle destruction: a systematic review of rhabdomyolysis for clinical practice. </w:t>
      </w:r>
      <w:r w:rsidRPr="00D169C2">
        <w:rPr>
          <w:rFonts w:ascii="Calibri" w:hAnsi="Calibri" w:cs="Calibri"/>
          <w:i/>
          <w:iCs/>
          <w:noProof/>
          <w:szCs w:val="24"/>
        </w:rPr>
        <w:t>Crit Care</w:t>
      </w:r>
      <w:r w:rsidRPr="00D169C2">
        <w:rPr>
          <w:rFonts w:ascii="Calibri" w:hAnsi="Calibri" w:cs="Calibri"/>
          <w:noProof/>
          <w:szCs w:val="24"/>
        </w:rPr>
        <w:t>. 2016;20(1):135. doi:10.1186/s13054-016-1314-5</w:t>
      </w:r>
    </w:p>
    <w:p w14:paraId="2053E066"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t xml:space="preserve">6. </w:t>
      </w:r>
      <w:r w:rsidRPr="00D169C2">
        <w:rPr>
          <w:rFonts w:ascii="Calibri" w:hAnsi="Calibri" w:cs="Calibri"/>
          <w:noProof/>
          <w:szCs w:val="24"/>
        </w:rPr>
        <w:tab/>
        <w:t xml:space="preserve">El-Abdellati E, Eyselbergs M, Sirimsi H, et al. An observational study on rhabdomyolysis in the intensive care unit. exploring its risk factors and main complication: Acute kidney injury. </w:t>
      </w:r>
      <w:r w:rsidRPr="00D169C2">
        <w:rPr>
          <w:rFonts w:ascii="Calibri" w:hAnsi="Calibri" w:cs="Calibri"/>
          <w:i/>
          <w:iCs/>
          <w:noProof/>
          <w:szCs w:val="24"/>
        </w:rPr>
        <w:t>Ann Intensive Care</w:t>
      </w:r>
      <w:r w:rsidRPr="00D169C2">
        <w:rPr>
          <w:rFonts w:ascii="Calibri" w:hAnsi="Calibri" w:cs="Calibri"/>
          <w:noProof/>
          <w:szCs w:val="24"/>
        </w:rPr>
        <w:t>. 2013;3(1):1-8. doi:10.1186/2110-5820-3-8</w:t>
      </w:r>
    </w:p>
    <w:p w14:paraId="4CD47482"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t xml:space="preserve">7. </w:t>
      </w:r>
      <w:r w:rsidRPr="00D169C2">
        <w:rPr>
          <w:rFonts w:ascii="Calibri" w:hAnsi="Calibri" w:cs="Calibri"/>
          <w:noProof/>
          <w:szCs w:val="24"/>
        </w:rPr>
        <w:tab/>
        <w:t xml:space="preserve">Kasaoka S, Todani M, Kaneko T, et al. Peak value of blood myoglobin predicts acute renal failure induced by rhabdomyolysis. </w:t>
      </w:r>
      <w:r w:rsidRPr="00D169C2">
        <w:rPr>
          <w:rFonts w:ascii="Calibri" w:hAnsi="Calibri" w:cs="Calibri"/>
          <w:i/>
          <w:iCs/>
          <w:noProof/>
          <w:szCs w:val="24"/>
        </w:rPr>
        <w:t>J Crit Care</w:t>
      </w:r>
      <w:r w:rsidRPr="00D169C2">
        <w:rPr>
          <w:rFonts w:ascii="Calibri" w:hAnsi="Calibri" w:cs="Calibri"/>
          <w:noProof/>
          <w:szCs w:val="24"/>
        </w:rPr>
        <w:t>. 2010;25(4):601-604. doi:10.1016/j.jcrc.2010.04.002</w:t>
      </w:r>
    </w:p>
    <w:p w14:paraId="0D8675B2"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t xml:space="preserve">8. </w:t>
      </w:r>
      <w:r w:rsidRPr="00D169C2">
        <w:rPr>
          <w:rFonts w:ascii="Calibri" w:hAnsi="Calibri" w:cs="Calibri"/>
          <w:noProof/>
          <w:szCs w:val="24"/>
        </w:rPr>
        <w:tab/>
        <w:t xml:space="preserve">Amyot SL, Leblanc M, Thibeault Y, Geadah D, Cardinal J. Myoglobin clearance and removal during continuous venovenous hemofiltration. </w:t>
      </w:r>
      <w:r w:rsidRPr="00D169C2">
        <w:rPr>
          <w:rFonts w:ascii="Calibri" w:hAnsi="Calibri" w:cs="Calibri"/>
          <w:i/>
          <w:iCs/>
          <w:noProof/>
          <w:szCs w:val="24"/>
        </w:rPr>
        <w:t>Intensive Care Med</w:t>
      </w:r>
      <w:r w:rsidRPr="00D169C2">
        <w:rPr>
          <w:rFonts w:ascii="Calibri" w:hAnsi="Calibri" w:cs="Calibri"/>
          <w:noProof/>
          <w:szCs w:val="24"/>
        </w:rPr>
        <w:t>. 1999;25(10):1169-1172. doi:10.1007/s001340051031</w:t>
      </w:r>
    </w:p>
    <w:p w14:paraId="7A5DF8AA"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lastRenderedPageBreak/>
        <w:t xml:space="preserve">9. </w:t>
      </w:r>
      <w:r w:rsidRPr="00D169C2">
        <w:rPr>
          <w:rFonts w:ascii="Calibri" w:hAnsi="Calibri" w:cs="Calibri"/>
          <w:noProof/>
          <w:szCs w:val="24"/>
        </w:rPr>
        <w:tab/>
        <w:t xml:space="preserve">Zhang L, Kang Y, Fu P, et al. Myoglobin clearance by continuous venous-venous haemofiltration in rhabdomyolysis with acute kidney injury: A case series. </w:t>
      </w:r>
      <w:r w:rsidRPr="00D169C2">
        <w:rPr>
          <w:rFonts w:ascii="Calibri" w:hAnsi="Calibri" w:cs="Calibri"/>
          <w:i/>
          <w:iCs/>
          <w:noProof/>
          <w:szCs w:val="24"/>
        </w:rPr>
        <w:t>Injury</w:t>
      </w:r>
      <w:r w:rsidRPr="00D169C2">
        <w:rPr>
          <w:rFonts w:ascii="Calibri" w:hAnsi="Calibri" w:cs="Calibri"/>
          <w:noProof/>
          <w:szCs w:val="24"/>
        </w:rPr>
        <w:t>. 2012;43(5):619-623. doi:10.1016/j.injury.2010.08.031</w:t>
      </w:r>
    </w:p>
    <w:p w14:paraId="02198B25"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t xml:space="preserve">10. </w:t>
      </w:r>
      <w:r w:rsidRPr="00D169C2">
        <w:rPr>
          <w:rFonts w:ascii="Calibri" w:hAnsi="Calibri" w:cs="Calibri"/>
          <w:noProof/>
          <w:szCs w:val="24"/>
        </w:rPr>
        <w:tab/>
        <w:t xml:space="preserve">Zeng X, Zhang L, Wu T, Fu P. Continuous renal replacement therapy (CRRT) for rhabdomyolysis. </w:t>
      </w:r>
      <w:r w:rsidRPr="00D169C2">
        <w:rPr>
          <w:rFonts w:ascii="Calibri" w:hAnsi="Calibri" w:cs="Calibri"/>
          <w:i/>
          <w:iCs/>
          <w:noProof/>
          <w:szCs w:val="24"/>
        </w:rPr>
        <w:t>Cochrane Database Syst Rev</w:t>
      </w:r>
      <w:r w:rsidRPr="00D169C2">
        <w:rPr>
          <w:rFonts w:ascii="Calibri" w:hAnsi="Calibri" w:cs="Calibri"/>
          <w:noProof/>
          <w:szCs w:val="24"/>
        </w:rPr>
        <w:t>. 2014;2014(6). doi:10.1002/14651858.CD008566.pub2</w:t>
      </w:r>
    </w:p>
    <w:p w14:paraId="28FBC7CF"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t xml:space="preserve">11. </w:t>
      </w:r>
      <w:r w:rsidRPr="00D169C2">
        <w:rPr>
          <w:rFonts w:ascii="Calibri" w:hAnsi="Calibri" w:cs="Calibri"/>
          <w:noProof/>
          <w:szCs w:val="24"/>
        </w:rPr>
        <w:tab/>
        <w:t xml:space="preserve">Liu C, Mao Z, Kang H, Hu J, Zhou F. Regional citrate versus heparin anticoagulation for continuous renal replacement therapy in critically ill patients: A meta-analysis with trial sequential analysis of randomized controlled trials. </w:t>
      </w:r>
      <w:r w:rsidRPr="00D169C2">
        <w:rPr>
          <w:rFonts w:ascii="Calibri" w:hAnsi="Calibri" w:cs="Calibri"/>
          <w:i/>
          <w:iCs/>
          <w:noProof/>
          <w:szCs w:val="24"/>
        </w:rPr>
        <w:t>Crit Care</w:t>
      </w:r>
      <w:r w:rsidRPr="00D169C2">
        <w:rPr>
          <w:rFonts w:ascii="Calibri" w:hAnsi="Calibri" w:cs="Calibri"/>
          <w:noProof/>
          <w:szCs w:val="24"/>
        </w:rPr>
        <w:t>. 2016;20(1):1-13. doi:10.1186/S13054-016-1299-0</w:t>
      </w:r>
    </w:p>
    <w:p w14:paraId="5E2D20F9"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t xml:space="preserve">12. </w:t>
      </w:r>
      <w:r w:rsidRPr="00D169C2">
        <w:rPr>
          <w:rFonts w:ascii="Calibri" w:hAnsi="Calibri" w:cs="Calibri"/>
          <w:noProof/>
          <w:szCs w:val="24"/>
        </w:rPr>
        <w:tab/>
        <w:t xml:space="preserve">KDIGO. Clinical Practice Guideline for Acute Kidney Injury (AKI). </w:t>
      </w:r>
      <w:r w:rsidRPr="00D169C2">
        <w:rPr>
          <w:rFonts w:ascii="Calibri" w:hAnsi="Calibri" w:cs="Calibri"/>
          <w:i/>
          <w:iCs/>
          <w:noProof/>
          <w:szCs w:val="24"/>
        </w:rPr>
        <w:t>Kidney Int Suppl</w:t>
      </w:r>
      <w:r w:rsidRPr="00D169C2">
        <w:rPr>
          <w:rFonts w:ascii="Calibri" w:hAnsi="Calibri" w:cs="Calibri"/>
          <w:noProof/>
          <w:szCs w:val="24"/>
        </w:rPr>
        <w:t>. 2012;2(1):4. doi:10.1038/kisup.2012.4</w:t>
      </w:r>
    </w:p>
    <w:p w14:paraId="0456D9F6"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t xml:space="preserve">13. </w:t>
      </w:r>
      <w:r w:rsidRPr="00D169C2">
        <w:rPr>
          <w:rFonts w:ascii="Calibri" w:hAnsi="Calibri" w:cs="Calibri"/>
          <w:noProof/>
          <w:szCs w:val="24"/>
        </w:rPr>
        <w:tab/>
        <w:t xml:space="preserve">Heyne N, Guthoff M, Krieger J, Haap M, Häring H-U. High cut-off renal replacement therapy for removal of myoglobin in severe rhabdomyolysis and acute kidney injury: a case series. </w:t>
      </w:r>
      <w:r w:rsidRPr="00D169C2">
        <w:rPr>
          <w:rFonts w:ascii="Calibri" w:hAnsi="Calibri" w:cs="Calibri"/>
          <w:i/>
          <w:iCs/>
          <w:noProof/>
          <w:szCs w:val="24"/>
        </w:rPr>
        <w:t>Nephron Clin Pract</w:t>
      </w:r>
      <w:r w:rsidRPr="00D169C2">
        <w:rPr>
          <w:rFonts w:ascii="Calibri" w:hAnsi="Calibri" w:cs="Calibri"/>
          <w:noProof/>
          <w:szCs w:val="24"/>
        </w:rPr>
        <w:t>. 2012;121(3-4):c159-64. doi:10.1159/000343564</w:t>
      </w:r>
    </w:p>
    <w:p w14:paraId="12F45C41"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t xml:space="preserve">14. </w:t>
      </w:r>
      <w:r w:rsidRPr="00D169C2">
        <w:rPr>
          <w:rFonts w:ascii="Calibri" w:hAnsi="Calibri" w:cs="Calibri"/>
          <w:noProof/>
          <w:szCs w:val="24"/>
        </w:rPr>
        <w:tab/>
        <w:t xml:space="preserve">Weidhase L, Haussig E, Haussig S, Kaiser T, de Fallois J, Petros S. Middle molecule clearance with high cut-off dialyzer versus high-flux dialyzer using continuous veno-venous hemodialysis with regional citrate anticoagulation: A prospective randomized controlled trial. Isaka Y, ed. </w:t>
      </w:r>
      <w:r w:rsidRPr="00D169C2">
        <w:rPr>
          <w:rFonts w:ascii="Calibri" w:hAnsi="Calibri" w:cs="Calibri"/>
          <w:i/>
          <w:iCs/>
          <w:noProof/>
          <w:szCs w:val="24"/>
        </w:rPr>
        <w:t>PLoS One</w:t>
      </w:r>
      <w:r w:rsidRPr="00D169C2">
        <w:rPr>
          <w:rFonts w:ascii="Calibri" w:hAnsi="Calibri" w:cs="Calibri"/>
          <w:noProof/>
          <w:szCs w:val="24"/>
        </w:rPr>
        <w:t>. 2019;14(4):e0215823. doi:10.1371/journal.pone.0215823</w:t>
      </w:r>
    </w:p>
    <w:p w14:paraId="4383F1B2"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t xml:space="preserve">15. </w:t>
      </w:r>
      <w:r w:rsidRPr="00D169C2">
        <w:rPr>
          <w:rFonts w:ascii="Calibri" w:hAnsi="Calibri" w:cs="Calibri"/>
          <w:noProof/>
          <w:szCs w:val="24"/>
        </w:rPr>
        <w:tab/>
        <w:t xml:space="preserve">Weidhase L, de Fallois J, Haußig E, Kaiser T, Mende M, Petros S. Myoglobin clearance with continuous veno-venous hemodialysis using high cutoff dialyzer versus continuous veno-venous hemodiafiltration using high-flux dialyzer: a prospective randomized controlled trial. </w:t>
      </w:r>
      <w:r w:rsidRPr="00D169C2">
        <w:rPr>
          <w:rFonts w:ascii="Calibri" w:hAnsi="Calibri" w:cs="Calibri"/>
          <w:i/>
          <w:iCs/>
          <w:noProof/>
          <w:szCs w:val="24"/>
        </w:rPr>
        <w:t>Crit Care</w:t>
      </w:r>
      <w:r w:rsidRPr="00D169C2">
        <w:rPr>
          <w:rFonts w:ascii="Calibri" w:hAnsi="Calibri" w:cs="Calibri"/>
          <w:noProof/>
          <w:szCs w:val="24"/>
        </w:rPr>
        <w:t>. 2020;24(1):644. doi:10.1186/s13054-020-03366-8</w:t>
      </w:r>
    </w:p>
    <w:p w14:paraId="37DC0977"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t xml:space="preserve">16. </w:t>
      </w:r>
      <w:r w:rsidRPr="00D169C2">
        <w:rPr>
          <w:rFonts w:ascii="Calibri" w:hAnsi="Calibri" w:cs="Calibri"/>
          <w:noProof/>
          <w:szCs w:val="24"/>
        </w:rPr>
        <w:tab/>
        <w:t xml:space="preserve">Hawchar F, László I, Öveges N, Trásy D, Ondrik Z, Molnar Z. Extracorporeal cytokine adsorption in septic shock: A proof of concept randomized, controlled pilot study. </w:t>
      </w:r>
      <w:r w:rsidRPr="00D169C2">
        <w:rPr>
          <w:rFonts w:ascii="Calibri" w:hAnsi="Calibri" w:cs="Calibri"/>
          <w:i/>
          <w:iCs/>
          <w:noProof/>
          <w:szCs w:val="24"/>
        </w:rPr>
        <w:t>J Crit Care</w:t>
      </w:r>
      <w:r w:rsidRPr="00D169C2">
        <w:rPr>
          <w:rFonts w:ascii="Calibri" w:hAnsi="Calibri" w:cs="Calibri"/>
          <w:noProof/>
          <w:szCs w:val="24"/>
        </w:rPr>
        <w:t>. 2019;49:172-178. doi:10.1016/j.jcrc.2018.11.003</w:t>
      </w:r>
    </w:p>
    <w:p w14:paraId="0F63DEDE"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t xml:space="preserve">17. </w:t>
      </w:r>
      <w:r w:rsidRPr="00D169C2">
        <w:rPr>
          <w:rFonts w:ascii="Calibri" w:hAnsi="Calibri" w:cs="Calibri"/>
          <w:noProof/>
          <w:szCs w:val="24"/>
        </w:rPr>
        <w:tab/>
        <w:t xml:space="preserve">Dimski T, Brandenburger T, Slowinski T, Kindgen-Milles D. Feasibility and safety of combined cytokine adsorption and continuous veno-venous hemodialysis with regional citrate anticoagulation in patients with septic shock. </w:t>
      </w:r>
      <w:r w:rsidRPr="00D169C2">
        <w:rPr>
          <w:rFonts w:ascii="Calibri" w:hAnsi="Calibri" w:cs="Calibri"/>
          <w:i/>
          <w:iCs/>
          <w:noProof/>
          <w:szCs w:val="24"/>
        </w:rPr>
        <w:t>Int J Artif Organs</w:t>
      </w:r>
      <w:r w:rsidRPr="00D169C2">
        <w:rPr>
          <w:rFonts w:ascii="Calibri" w:hAnsi="Calibri" w:cs="Calibri"/>
          <w:noProof/>
          <w:szCs w:val="24"/>
        </w:rPr>
        <w:t>. 2020;43(1):10-16. doi:10.1177/0391398819866459</w:t>
      </w:r>
    </w:p>
    <w:p w14:paraId="0569ACD0"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t xml:space="preserve">18. </w:t>
      </w:r>
      <w:r w:rsidRPr="00D169C2">
        <w:rPr>
          <w:rFonts w:ascii="Calibri" w:hAnsi="Calibri" w:cs="Calibri"/>
          <w:noProof/>
          <w:szCs w:val="24"/>
        </w:rPr>
        <w:tab/>
        <w:t xml:space="preserve">Kousoulas L, Wittel U, Fichtner-Feigl S, Utzolino S. Hemoadsorption in a Case of Severe Septic Shock and Necrotizing Fasciitis Caused by Nontraumatic Renal Rupture due to Pyelonephritis with Obstructive Uropathy. </w:t>
      </w:r>
      <w:r w:rsidRPr="00D169C2">
        <w:rPr>
          <w:rFonts w:ascii="Calibri" w:hAnsi="Calibri" w:cs="Calibri"/>
          <w:i/>
          <w:iCs/>
          <w:noProof/>
          <w:szCs w:val="24"/>
        </w:rPr>
        <w:t>Case reports Crit care</w:t>
      </w:r>
      <w:r w:rsidRPr="00D169C2">
        <w:rPr>
          <w:rFonts w:ascii="Calibri" w:hAnsi="Calibri" w:cs="Calibri"/>
          <w:noProof/>
          <w:szCs w:val="24"/>
        </w:rPr>
        <w:t>. 2018;2018:5248901. doi:10.1155/2018/5248901</w:t>
      </w:r>
    </w:p>
    <w:p w14:paraId="421769F3"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t xml:space="preserve">19. </w:t>
      </w:r>
      <w:r w:rsidRPr="00D169C2">
        <w:rPr>
          <w:rFonts w:ascii="Calibri" w:hAnsi="Calibri" w:cs="Calibri"/>
          <w:noProof/>
          <w:szCs w:val="24"/>
        </w:rPr>
        <w:tab/>
        <w:t xml:space="preserve">Dilken O, Ince C, van der Hoven B, Thijsse S, Ormskerk P, De Geus HRH. Successful Reduction of Creatine Kinase and Myoglobin Levels in Severe Rhabdomyolysis Using Extracorporeal Blood Purification (CytoSorb®). </w:t>
      </w:r>
      <w:r w:rsidRPr="00D169C2">
        <w:rPr>
          <w:rFonts w:ascii="Calibri" w:hAnsi="Calibri" w:cs="Calibri"/>
          <w:i/>
          <w:iCs/>
          <w:noProof/>
          <w:szCs w:val="24"/>
        </w:rPr>
        <w:t>Blood Purif</w:t>
      </w:r>
      <w:r w:rsidRPr="00D169C2">
        <w:rPr>
          <w:rFonts w:ascii="Calibri" w:hAnsi="Calibri" w:cs="Calibri"/>
          <w:noProof/>
          <w:szCs w:val="24"/>
        </w:rPr>
        <w:t>. 2020:743-747. doi:10.1159/000505899</w:t>
      </w:r>
    </w:p>
    <w:p w14:paraId="17486692"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t xml:space="preserve">20. </w:t>
      </w:r>
      <w:r w:rsidRPr="00D169C2">
        <w:rPr>
          <w:rFonts w:ascii="Calibri" w:hAnsi="Calibri" w:cs="Calibri"/>
          <w:noProof/>
          <w:szCs w:val="24"/>
        </w:rPr>
        <w:tab/>
        <w:t xml:space="preserve">Doig GS, Simpson F. Randomization and allocation concealment: a practical guide for researchers. </w:t>
      </w:r>
      <w:r w:rsidRPr="00D169C2">
        <w:rPr>
          <w:rFonts w:ascii="Calibri" w:hAnsi="Calibri" w:cs="Calibri"/>
          <w:i/>
          <w:iCs/>
          <w:noProof/>
          <w:szCs w:val="24"/>
        </w:rPr>
        <w:t>J Crit Care</w:t>
      </w:r>
      <w:r w:rsidRPr="00D169C2">
        <w:rPr>
          <w:rFonts w:ascii="Calibri" w:hAnsi="Calibri" w:cs="Calibri"/>
          <w:noProof/>
          <w:szCs w:val="24"/>
        </w:rPr>
        <w:t>. 2005;20(2):187-191. doi:10.1016/j.jcrc.2005.04.005</w:t>
      </w:r>
    </w:p>
    <w:p w14:paraId="4F93B9F7"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D169C2">
        <w:rPr>
          <w:rFonts w:ascii="Calibri" w:hAnsi="Calibri" w:cs="Calibri"/>
          <w:noProof/>
          <w:szCs w:val="24"/>
        </w:rPr>
        <w:t xml:space="preserve">21. </w:t>
      </w:r>
      <w:r w:rsidRPr="00D169C2">
        <w:rPr>
          <w:rFonts w:ascii="Calibri" w:hAnsi="Calibri" w:cs="Calibri"/>
          <w:noProof/>
          <w:szCs w:val="24"/>
        </w:rPr>
        <w:tab/>
        <w:t xml:space="preserve">Fayad AI, Buamscha DG, Ciapponi A, Ai F, Dg B, Ciapponi A. Intensity of continuous renal replacement therapy for acute kidney injury ( Review ). </w:t>
      </w:r>
      <w:r w:rsidRPr="00D169C2">
        <w:rPr>
          <w:rFonts w:ascii="Calibri" w:hAnsi="Calibri" w:cs="Calibri"/>
          <w:i/>
          <w:iCs/>
          <w:noProof/>
          <w:szCs w:val="24"/>
        </w:rPr>
        <w:t>Cochrane Database Syst Rev</w:t>
      </w:r>
      <w:r w:rsidRPr="00D169C2">
        <w:rPr>
          <w:rFonts w:ascii="Calibri" w:hAnsi="Calibri" w:cs="Calibri"/>
          <w:noProof/>
          <w:szCs w:val="24"/>
        </w:rPr>
        <w:t>. 2016;(10):CD010613. doi:10.1002/14651858.CD010613.pub2.www.cochranelibrary.com</w:t>
      </w:r>
    </w:p>
    <w:p w14:paraId="71522B25"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szCs w:val="24"/>
        </w:rPr>
      </w:pPr>
      <w:r w:rsidRPr="00277A66">
        <w:rPr>
          <w:rFonts w:ascii="Calibri" w:hAnsi="Calibri" w:cs="Calibri"/>
          <w:noProof/>
          <w:szCs w:val="24"/>
          <w:lang w:val="de-DE"/>
        </w:rPr>
        <w:t xml:space="preserve">22. </w:t>
      </w:r>
      <w:r w:rsidRPr="00277A66">
        <w:rPr>
          <w:rFonts w:ascii="Calibri" w:hAnsi="Calibri" w:cs="Calibri"/>
          <w:noProof/>
          <w:szCs w:val="24"/>
          <w:lang w:val="de-DE"/>
        </w:rPr>
        <w:tab/>
        <w:t xml:space="preserve">Glynn CC, Greene GW, Winkler MF, Albina JE. </w:t>
      </w:r>
      <w:r w:rsidRPr="00D169C2">
        <w:rPr>
          <w:rFonts w:ascii="Calibri" w:hAnsi="Calibri" w:cs="Calibri"/>
          <w:noProof/>
          <w:szCs w:val="24"/>
        </w:rPr>
        <w:t xml:space="preserve">Predictive versus measured energy expenditure using limits-of-agreement analysis in hospitalized, obese patients. </w:t>
      </w:r>
      <w:r w:rsidRPr="00D169C2">
        <w:rPr>
          <w:rFonts w:ascii="Calibri" w:hAnsi="Calibri" w:cs="Calibri"/>
          <w:i/>
          <w:iCs/>
          <w:noProof/>
          <w:szCs w:val="24"/>
        </w:rPr>
        <w:t>JPEN J Parenter Enteral Nutr</w:t>
      </w:r>
      <w:r w:rsidRPr="00D169C2">
        <w:rPr>
          <w:rFonts w:ascii="Calibri" w:hAnsi="Calibri" w:cs="Calibri"/>
          <w:noProof/>
          <w:szCs w:val="24"/>
        </w:rPr>
        <w:t>. 1999;23(3):147-154. doi:10.1177/0148607199023003147</w:t>
      </w:r>
    </w:p>
    <w:p w14:paraId="784E124A" w14:textId="77777777" w:rsidR="001C4BD9" w:rsidRPr="00D169C2" w:rsidRDefault="001C4BD9" w:rsidP="005620CA">
      <w:pPr>
        <w:widowControl w:val="0"/>
        <w:autoSpaceDE w:val="0"/>
        <w:autoSpaceDN w:val="0"/>
        <w:adjustRightInd w:val="0"/>
        <w:spacing w:line="240" w:lineRule="auto"/>
        <w:ind w:left="640" w:hanging="640"/>
        <w:rPr>
          <w:rFonts w:ascii="Calibri" w:hAnsi="Calibri" w:cs="Calibri"/>
          <w:noProof/>
        </w:rPr>
      </w:pPr>
      <w:r w:rsidRPr="00D169C2">
        <w:rPr>
          <w:rFonts w:ascii="Calibri" w:hAnsi="Calibri" w:cs="Calibri"/>
          <w:noProof/>
          <w:szCs w:val="24"/>
        </w:rPr>
        <w:t xml:space="preserve">23. </w:t>
      </w:r>
      <w:r w:rsidRPr="00D169C2">
        <w:rPr>
          <w:rFonts w:ascii="Calibri" w:hAnsi="Calibri" w:cs="Calibri"/>
          <w:noProof/>
          <w:szCs w:val="24"/>
        </w:rPr>
        <w:tab/>
        <w:t xml:space="preserve">Krenitsky J. Adjusted Body Weight, Pro: Evidence to Support the Use of Adjusted Body Weight in Calculating </w:t>
      </w:r>
      <w:r w:rsidRPr="00D169C2">
        <w:rPr>
          <w:rFonts w:ascii="Calibri" w:hAnsi="Calibri" w:cs="Calibri"/>
          <w:noProof/>
          <w:szCs w:val="24"/>
        </w:rPr>
        <w:lastRenderedPageBreak/>
        <w:t xml:space="preserve">Calorie Requirements. </w:t>
      </w:r>
      <w:r w:rsidRPr="00D169C2">
        <w:rPr>
          <w:rFonts w:ascii="Calibri" w:hAnsi="Calibri" w:cs="Calibri"/>
          <w:i/>
          <w:iCs/>
          <w:noProof/>
          <w:szCs w:val="24"/>
        </w:rPr>
        <w:t>Nutr Clin Pract</w:t>
      </w:r>
      <w:r w:rsidRPr="00D169C2">
        <w:rPr>
          <w:rFonts w:ascii="Calibri" w:hAnsi="Calibri" w:cs="Calibri"/>
          <w:noProof/>
          <w:szCs w:val="24"/>
        </w:rPr>
        <w:t>. 2005;20(4):468-473. doi:10.1177/0115426505020004468</w:t>
      </w:r>
    </w:p>
    <w:p w14:paraId="34AEF141" w14:textId="77777777" w:rsidR="00A34F2A" w:rsidRDefault="0094751E" w:rsidP="005620CA">
      <w:pPr>
        <w:pStyle w:val="NoSpacing"/>
        <w:widowControl w:val="0"/>
        <w:rPr>
          <w:rFonts w:eastAsia="Times New Roman"/>
        </w:rPr>
      </w:pPr>
      <w:r w:rsidRPr="00D169C2">
        <w:rPr>
          <w:rFonts w:eastAsia="Times New Roman"/>
        </w:rPr>
        <w:fldChar w:fldCharType="end"/>
      </w:r>
    </w:p>
    <w:p w14:paraId="55599827" w14:textId="722C9DCF" w:rsidR="0094751E" w:rsidRPr="00A34F2A" w:rsidRDefault="00106929" w:rsidP="005620CA">
      <w:pPr>
        <w:pStyle w:val="NoSpacing"/>
        <w:widowControl w:val="0"/>
        <w:rPr>
          <w:rFonts w:eastAsia="Times New Roman"/>
          <w:b/>
        </w:rPr>
      </w:pPr>
      <w:r w:rsidRPr="00A34F2A">
        <w:rPr>
          <w:rFonts w:eastAsia="Times New Roman"/>
          <w:b/>
        </w:rPr>
        <w:t>9</w:t>
      </w:r>
      <w:r w:rsidR="0094751E" w:rsidRPr="00A34F2A">
        <w:rPr>
          <w:rFonts w:eastAsia="Times New Roman"/>
          <w:b/>
        </w:rPr>
        <w:t xml:space="preserve">. </w:t>
      </w:r>
      <w:proofErr w:type="spellStart"/>
      <w:r w:rsidRPr="00A34F2A">
        <w:rPr>
          <w:rFonts w:eastAsia="Times New Roman"/>
          <w:b/>
        </w:rPr>
        <w:t>Abbrevations</w:t>
      </w:r>
      <w:proofErr w:type="spellEnd"/>
      <w:r w:rsidR="0094751E" w:rsidRPr="00A34F2A">
        <w:rPr>
          <w:rFonts w:eastAsia="Times New Roman"/>
          <w:b/>
        </w:rPr>
        <w:t>:</w:t>
      </w:r>
    </w:p>
    <w:p w14:paraId="2965F2A5" w14:textId="07C13C27" w:rsidR="000B0B96" w:rsidRDefault="000B0B96" w:rsidP="005620CA">
      <w:pPr>
        <w:widowControl w:val="0"/>
        <w:spacing w:line="240" w:lineRule="auto"/>
        <w:rPr>
          <w:i/>
          <w:iCs/>
        </w:rPr>
      </w:pPr>
      <w:r w:rsidRPr="00D169C2">
        <w:t>AKI</w:t>
      </w:r>
      <w:r w:rsidRPr="00D169C2">
        <w:tab/>
      </w:r>
      <w:r w:rsidRPr="00D169C2">
        <w:tab/>
      </w:r>
      <w:r w:rsidRPr="00D169C2">
        <w:rPr>
          <w:i/>
          <w:iCs/>
        </w:rPr>
        <w:t>acute kidney injury</w:t>
      </w:r>
      <w:r w:rsidRPr="00D169C2">
        <w:rPr>
          <w:i/>
          <w:iCs/>
        </w:rPr>
        <w:tab/>
      </w:r>
    </w:p>
    <w:p w14:paraId="42F64503" w14:textId="6F8AA366" w:rsidR="008C0A45" w:rsidRPr="00D169C2" w:rsidRDefault="008C0A45" w:rsidP="005620CA">
      <w:pPr>
        <w:widowControl w:val="0"/>
        <w:spacing w:line="240" w:lineRule="auto"/>
        <w:rPr>
          <w:i/>
          <w:iCs/>
        </w:rPr>
      </w:pPr>
      <w:r w:rsidRPr="008C0A45">
        <w:rPr>
          <w:iCs/>
        </w:rPr>
        <w:t>CI</w:t>
      </w:r>
      <w:r>
        <w:rPr>
          <w:i/>
          <w:iCs/>
        </w:rPr>
        <w:tab/>
      </w:r>
      <w:r>
        <w:rPr>
          <w:i/>
          <w:iCs/>
        </w:rPr>
        <w:tab/>
        <w:t>confidence interval</w:t>
      </w:r>
    </w:p>
    <w:p w14:paraId="471A716B" w14:textId="4137A427" w:rsidR="000B0B96" w:rsidRPr="00D169C2" w:rsidRDefault="000B0B96" w:rsidP="005620CA">
      <w:pPr>
        <w:widowControl w:val="0"/>
        <w:spacing w:line="240" w:lineRule="auto"/>
      </w:pPr>
      <w:r w:rsidRPr="00D169C2">
        <w:t>RRT</w:t>
      </w:r>
      <w:r w:rsidRPr="00D169C2">
        <w:tab/>
      </w:r>
      <w:r w:rsidRPr="00D169C2">
        <w:tab/>
      </w:r>
      <w:r w:rsidRPr="00D169C2">
        <w:rPr>
          <w:i/>
          <w:iCs/>
        </w:rPr>
        <w:t>renal replacement therap</w:t>
      </w:r>
      <w:r w:rsidR="00B74983" w:rsidRPr="00D169C2">
        <w:rPr>
          <w:i/>
          <w:iCs/>
        </w:rPr>
        <w:t>y</w:t>
      </w:r>
      <w:r w:rsidRPr="00D169C2">
        <w:tab/>
      </w:r>
      <w:r w:rsidRPr="00D169C2">
        <w:tab/>
      </w:r>
    </w:p>
    <w:p w14:paraId="6108E749" w14:textId="61BBA601" w:rsidR="0038503D" w:rsidRPr="00D169C2" w:rsidRDefault="000B0B96" w:rsidP="005620CA">
      <w:pPr>
        <w:widowControl w:val="0"/>
        <w:spacing w:line="240" w:lineRule="auto"/>
        <w:rPr>
          <w:i/>
          <w:iCs/>
        </w:rPr>
      </w:pPr>
      <w:r w:rsidRPr="00D169C2">
        <w:t>CK</w:t>
      </w:r>
      <w:r w:rsidRPr="00D169C2">
        <w:tab/>
      </w:r>
      <w:r w:rsidRPr="00D169C2">
        <w:tab/>
      </w:r>
      <w:proofErr w:type="spellStart"/>
      <w:r w:rsidRPr="00D169C2">
        <w:rPr>
          <w:i/>
          <w:iCs/>
        </w:rPr>
        <w:t>creatinin</w:t>
      </w:r>
      <w:proofErr w:type="spellEnd"/>
      <w:r w:rsidRPr="00D169C2">
        <w:rPr>
          <w:i/>
          <w:iCs/>
        </w:rPr>
        <w:t xml:space="preserve"> kinase</w:t>
      </w:r>
      <w:r w:rsidRPr="00D169C2">
        <w:rPr>
          <w:i/>
          <w:iCs/>
        </w:rPr>
        <w:tab/>
      </w:r>
    </w:p>
    <w:p w14:paraId="579E3F0C" w14:textId="3F4AB2A8" w:rsidR="000B0B96" w:rsidRPr="00D169C2" w:rsidRDefault="000B0B96" w:rsidP="005620CA">
      <w:pPr>
        <w:widowControl w:val="0"/>
        <w:spacing w:line="240" w:lineRule="auto"/>
      </w:pPr>
      <w:r w:rsidRPr="00D169C2">
        <w:t>CVVH</w:t>
      </w:r>
      <w:r w:rsidRPr="00D169C2">
        <w:tab/>
      </w:r>
      <w:r w:rsidRPr="00D169C2">
        <w:tab/>
      </w:r>
      <w:proofErr w:type="spellStart"/>
      <w:r w:rsidRPr="00D169C2">
        <w:rPr>
          <w:i/>
          <w:iCs/>
        </w:rPr>
        <w:t>continous</w:t>
      </w:r>
      <w:proofErr w:type="spellEnd"/>
      <w:r w:rsidRPr="00D169C2">
        <w:rPr>
          <w:i/>
          <w:iCs/>
        </w:rPr>
        <w:t xml:space="preserve"> </w:t>
      </w:r>
      <w:proofErr w:type="spellStart"/>
      <w:r w:rsidRPr="00D169C2">
        <w:rPr>
          <w:i/>
          <w:iCs/>
        </w:rPr>
        <w:t>veno</w:t>
      </w:r>
      <w:proofErr w:type="spellEnd"/>
      <w:r w:rsidRPr="00D169C2">
        <w:rPr>
          <w:i/>
          <w:iCs/>
        </w:rPr>
        <w:t>-venous hemofiltration</w:t>
      </w:r>
    </w:p>
    <w:p w14:paraId="36286857" w14:textId="10E135C8" w:rsidR="0038503D" w:rsidRPr="00D169C2" w:rsidRDefault="0038503D" w:rsidP="005620CA">
      <w:pPr>
        <w:widowControl w:val="0"/>
        <w:spacing w:line="240" w:lineRule="auto"/>
        <w:rPr>
          <w:i/>
          <w:iCs/>
        </w:rPr>
      </w:pPr>
      <w:r w:rsidRPr="00D169C2">
        <w:t>RCA</w:t>
      </w:r>
      <w:r w:rsidRPr="00D169C2">
        <w:tab/>
      </w:r>
      <w:r w:rsidR="00B74983" w:rsidRPr="00D169C2">
        <w:rPr>
          <w:i/>
          <w:iCs/>
        </w:rPr>
        <w:tab/>
      </w:r>
      <w:r w:rsidRPr="00D169C2">
        <w:rPr>
          <w:i/>
          <w:iCs/>
        </w:rPr>
        <w:t>regional citrate anticoagulation</w:t>
      </w:r>
    </w:p>
    <w:p w14:paraId="37681025" w14:textId="477F8DCB" w:rsidR="00A8788A" w:rsidRPr="00D169C2" w:rsidRDefault="00A8788A" w:rsidP="005620CA">
      <w:pPr>
        <w:widowControl w:val="0"/>
        <w:spacing w:line="240" w:lineRule="auto"/>
        <w:rPr>
          <w:i/>
          <w:iCs/>
        </w:rPr>
      </w:pPr>
      <w:r w:rsidRPr="00D169C2">
        <w:t>CVVHD</w:t>
      </w:r>
      <w:r w:rsidRPr="00D169C2">
        <w:rPr>
          <w:i/>
          <w:iCs/>
        </w:rPr>
        <w:tab/>
      </w:r>
      <w:r w:rsidRPr="00D169C2">
        <w:rPr>
          <w:i/>
          <w:iCs/>
        </w:rPr>
        <w:tab/>
      </w:r>
      <w:proofErr w:type="spellStart"/>
      <w:r w:rsidRPr="00D169C2">
        <w:rPr>
          <w:i/>
          <w:iCs/>
        </w:rPr>
        <w:t>continous</w:t>
      </w:r>
      <w:proofErr w:type="spellEnd"/>
      <w:r w:rsidRPr="00D169C2">
        <w:rPr>
          <w:i/>
          <w:iCs/>
        </w:rPr>
        <w:t xml:space="preserve"> </w:t>
      </w:r>
      <w:proofErr w:type="spellStart"/>
      <w:r w:rsidRPr="00D169C2">
        <w:rPr>
          <w:i/>
          <w:iCs/>
        </w:rPr>
        <w:t>veno</w:t>
      </w:r>
      <w:proofErr w:type="spellEnd"/>
      <w:r w:rsidRPr="00D169C2">
        <w:rPr>
          <w:i/>
          <w:iCs/>
        </w:rPr>
        <w:t>-venous hemodialysis</w:t>
      </w:r>
    </w:p>
    <w:p w14:paraId="6CE5A718" w14:textId="5EC62641" w:rsidR="000B0B96" w:rsidRPr="00D169C2" w:rsidRDefault="000B0B96" w:rsidP="005620CA">
      <w:pPr>
        <w:widowControl w:val="0"/>
        <w:spacing w:line="240" w:lineRule="auto"/>
      </w:pPr>
      <w:r w:rsidRPr="00D169C2">
        <w:t>HCO</w:t>
      </w:r>
      <w:r w:rsidRPr="00D169C2">
        <w:tab/>
      </w:r>
      <w:r w:rsidRPr="00D169C2">
        <w:tab/>
      </w:r>
      <w:r w:rsidRPr="00D169C2">
        <w:rPr>
          <w:i/>
          <w:iCs/>
        </w:rPr>
        <w:t>high-cut off</w:t>
      </w:r>
      <w:r w:rsidRPr="00D169C2">
        <w:tab/>
      </w:r>
    </w:p>
    <w:p w14:paraId="41482799" w14:textId="72B67F4D" w:rsidR="000B0B96" w:rsidRPr="00D169C2" w:rsidRDefault="000B0B96" w:rsidP="005620CA">
      <w:pPr>
        <w:widowControl w:val="0"/>
        <w:spacing w:line="240" w:lineRule="auto"/>
      </w:pPr>
      <w:r w:rsidRPr="00D169C2">
        <w:t xml:space="preserve">Il-6 </w:t>
      </w:r>
      <w:r w:rsidRPr="00D169C2">
        <w:tab/>
      </w:r>
      <w:r w:rsidRPr="00D169C2">
        <w:tab/>
        <w:t>Interleukin</w:t>
      </w:r>
      <w:r w:rsidR="00B74983" w:rsidRPr="00D169C2">
        <w:t xml:space="preserve"> </w:t>
      </w:r>
      <w:r w:rsidRPr="00D169C2">
        <w:t>6</w:t>
      </w:r>
    </w:p>
    <w:p w14:paraId="0823F75F" w14:textId="1376CCB2" w:rsidR="000B0B96" w:rsidRPr="00D169C2" w:rsidRDefault="000B0B96" w:rsidP="005620CA">
      <w:pPr>
        <w:widowControl w:val="0"/>
        <w:spacing w:line="240" w:lineRule="auto"/>
        <w:rPr>
          <w:i/>
          <w:iCs/>
        </w:rPr>
      </w:pPr>
      <w:r w:rsidRPr="00D169C2">
        <w:t>AE</w:t>
      </w:r>
      <w:r w:rsidRPr="00D169C2">
        <w:tab/>
      </w:r>
      <w:r w:rsidRPr="00D169C2">
        <w:tab/>
      </w:r>
      <w:r w:rsidRPr="00D169C2">
        <w:rPr>
          <w:i/>
          <w:iCs/>
        </w:rPr>
        <w:t>adverse event</w:t>
      </w:r>
    </w:p>
    <w:p w14:paraId="66D5A25E" w14:textId="1CECFD3C" w:rsidR="000B0B96" w:rsidRPr="00D169C2" w:rsidRDefault="000B0B96" w:rsidP="005620CA">
      <w:pPr>
        <w:widowControl w:val="0"/>
        <w:spacing w:line="240" w:lineRule="auto"/>
      </w:pPr>
      <w:r w:rsidRPr="00D169C2">
        <w:t>HIT</w:t>
      </w:r>
      <w:r w:rsidRPr="00D169C2">
        <w:tab/>
      </w:r>
      <w:r w:rsidRPr="00D169C2">
        <w:tab/>
      </w:r>
      <w:r w:rsidR="00B74983" w:rsidRPr="00D169C2">
        <w:t>h</w:t>
      </w:r>
      <w:r w:rsidRPr="00D169C2">
        <w:t>eparin indu</w:t>
      </w:r>
      <w:r w:rsidR="00B74983" w:rsidRPr="00D169C2">
        <w:t>ced t</w:t>
      </w:r>
      <w:r w:rsidRPr="00D169C2">
        <w:t>hrombo</w:t>
      </w:r>
      <w:r w:rsidR="00B74983" w:rsidRPr="00D169C2">
        <w:t>cytopenia</w:t>
      </w:r>
    </w:p>
    <w:p w14:paraId="2CC2EC75" w14:textId="77777777" w:rsidR="000B0B96" w:rsidRPr="00D169C2" w:rsidRDefault="000B0B96" w:rsidP="005620CA">
      <w:pPr>
        <w:widowControl w:val="0"/>
        <w:spacing w:line="240" w:lineRule="auto"/>
        <w:rPr>
          <w:i/>
          <w:iCs/>
        </w:rPr>
      </w:pPr>
      <w:r w:rsidRPr="00D169C2">
        <w:t>BMI</w:t>
      </w:r>
      <w:r w:rsidRPr="00D169C2">
        <w:tab/>
      </w:r>
      <w:r w:rsidRPr="00D169C2">
        <w:tab/>
      </w:r>
      <w:r w:rsidRPr="00D169C2">
        <w:rPr>
          <w:i/>
          <w:iCs/>
        </w:rPr>
        <w:t>body mass index</w:t>
      </w:r>
    </w:p>
    <w:p w14:paraId="4CF60517" w14:textId="77777777" w:rsidR="000B0B96" w:rsidRPr="00D169C2" w:rsidRDefault="000B0B96" w:rsidP="005620CA">
      <w:pPr>
        <w:widowControl w:val="0"/>
        <w:spacing w:line="240" w:lineRule="auto"/>
      </w:pPr>
      <w:r w:rsidRPr="00D169C2">
        <w:t>SOFA</w:t>
      </w:r>
      <w:r w:rsidRPr="00D169C2">
        <w:tab/>
      </w:r>
      <w:r w:rsidRPr="00D169C2">
        <w:tab/>
      </w:r>
      <w:r w:rsidRPr="00D169C2">
        <w:rPr>
          <w:i/>
          <w:iCs/>
        </w:rPr>
        <w:t>Sequential organ failure assessment</w:t>
      </w:r>
    </w:p>
    <w:p w14:paraId="152E333A" w14:textId="08E7A30F" w:rsidR="000B0B96" w:rsidRPr="00D169C2" w:rsidRDefault="000B0B96" w:rsidP="005620CA">
      <w:pPr>
        <w:widowControl w:val="0"/>
        <w:spacing w:line="240" w:lineRule="auto"/>
        <w:rPr>
          <w:i/>
          <w:iCs/>
        </w:rPr>
      </w:pPr>
      <w:r w:rsidRPr="00D169C2">
        <w:t xml:space="preserve">SAPS </w:t>
      </w:r>
      <w:r w:rsidRPr="00D169C2">
        <w:tab/>
      </w:r>
      <w:r w:rsidRPr="00D169C2">
        <w:tab/>
      </w:r>
      <w:r w:rsidRPr="00D169C2">
        <w:rPr>
          <w:i/>
          <w:iCs/>
        </w:rPr>
        <w:t>Simplified Acute Physiology Score</w:t>
      </w:r>
    </w:p>
    <w:p w14:paraId="6DA6E725" w14:textId="77777777" w:rsidR="006846C6" w:rsidRPr="00D169C2" w:rsidRDefault="006846C6" w:rsidP="005620CA">
      <w:pPr>
        <w:widowControl w:val="0"/>
        <w:spacing w:line="240" w:lineRule="auto"/>
        <w:rPr>
          <w:rFonts w:cstheme="minorHAnsi"/>
        </w:rPr>
      </w:pPr>
    </w:p>
    <w:p w14:paraId="7DB7F923" w14:textId="03091DB0" w:rsidR="0094751E" w:rsidRPr="00A34F2A" w:rsidRDefault="00106929" w:rsidP="005620CA">
      <w:pPr>
        <w:pStyle w:val="NoSpacing"/>
        <w:widowControl w:val="0"/>
        <w:rPr>
          <w:rFonts w:eastAsia="Times New Roman"/>
          <w:b/>
        </w:rPr>
      </w:pPr>
      <w:r w:rsidRPr="00A34F2A">
        <w:rPr>
          <w:rFonts w:eastAsia="Times New Roman"/>
          <w:b/>
        </w:rPr>
        <w:t xml:space="preserve">10. </w:t>
      </w:r>
      <w:r w:rsidR="00253598" w:rsidRPr="00A34F2A">
        <w:rPr>
          <w:rFonts w:eastAsia="Times New Roman"/>
          <w:b/>
        </w:rPr>
        <w:t>Correspondence</w:t>
      </w:r>
      <w:r w:rsidR="00A34F2A">
        <w:rPr>
          <w:rFonts w:eastAsia="Times New Roman"/>
          <w:b/>
        </w:rPr>
        <w:t>:</w:t>
      </w:r>
    </w:p>
    <w:p w14:paraId="4A359BCF" w14:textId="5CE42FC2" w:rsidR="0094751E" w:rsidRDefault="00106929" w:rsidP="005620CA">
      <w:pPr>
        <w:widowControl w:val="0"/>
        <w:spacing w:before="0" w:after="0" w:line="240" w:lineRule="auto"/>
        <w:rPr>
          <w:rFonts w:eastAsia="Times New Roman" w:cstheme="minorHAnsi"/>
        </w:rPr>
      </w:pPr>
      <w:r w:rsidRPr="00D169C2">
        <w:rPr>
          <w:rFonts w:eastAsia="Times New Roman" w:cstheme="minorHAnsi"/>
        </w:rPr>
        <w:t xml:space="preserve">Jonathan de </w:t>
      </w:r>
      <w:proofErr w:type="spellStart"/>
      <w:r w:rsidRPr="00D169C2">
        <w:rPr>
          <w:rFonts w:eastAsia="Times New Roman" w:cstheme="minorHAnsi"/>
        </w:rPr>
        <w:t>Fallois</w:t>
      </w:r>
      <w:proofErr w:type="spellEnd"/>
      <w:r w:rsidRPr="00D169C2">
        <w:rPr>
          <w:rFonts w:eastAsia="Times New Roman" w:cstheme="minorHAnsi"/>
        </w:rPr>
        <w:br/>
      </w:r>
      <w:proofErr w:type="spellStart"/>
      <w:r w:rsidRPr="00D169C2">
        <w:rPr>
          <w:rFonts w:eastAsia="Times New Roman" w:cstheme="minorHAnsi"/>
        </w:rPr>
        <w:t>Devision</w:t>
      </w:r>
      <w:proofErr w:type="spellEnd"/>
      <w:r w:rsidRPr="00D169C2">
        <w:rPr>
          <w:rFonts w:eastAsia="Times New Roman" w:cstheme="minorHAnsi"/>
        </w:rPr>
        <w:t xml:space="preserve"> of </w:t>
      </w:r>
      <w:r w:rsidR="00A34F2A">
        <w:rPr>
          <w:rFonts w:eastAsia="Times New Roman" w:cstheme="minorHAnsi"/>
        </w:rPr>
        <w:t>N</w:t>
      </w:r>
      <w:r w:rsidRPr="00D169C2">
        <w:rPr>
          <w:rFonts w:eastAsia="Times New Roman" w:cstheme="minorHAnsi"/>
        </w:rPr>
        <w:t xml:space="preserve">ephrology, </w:t>
      </w:r>
      <w:r w:rsidR="00A34F2A">
        <w:rPr>
          <w:rFonts w:eastAsia="Times New Roman" w:cstheme="minorHAnsi"/>
        </w:rPr>
        <w:t>M</w:t>
      </w:r>
      <w:r w:rsidRPr="00D169C2">
        <w:rPr>
          <w:rFonts w:eastAsia="Times New Roman" w:cstheme="minorHAnsi"/>
        </w:rPr>
        <w:t xml:space="preserve">edical </w:t>
      </w:r>
      <w:r w:rsidR="00A34F2A">
        <w:rPr>
          <w:rFonts w:eastAsia="Times New Roman" w:cstheme="minorHAnsi"/>
        </w:rPr>
        <w:t>C</w:t>
      </w:r>
      <w:r w:rsidRPr="00D169C2">
        <w:rPr>
          <w:rFonts w:eastAsia="Times New Roman" w:cstheme="minorHAnsi"/>
        </w:rPr>
        <w:t>linic III</w:t>
      </w:r>
      <w:r w:rsidRPr="00D169C2">
        <w:rPr>
          <w:rFonts w:eastAsia="Times New Roman" w:cstheme="minorHAnsi"/>
        </w:rPr>
        <w:br/>
        <w:t xml:space="preserve">University </w:t>
      </w:r>
      <w:r w:rsidR="00A34F2A">
        <w:rPr>
          <w:rFonts w:eastAsia="Times New Roman" w:cstheme="minorHAnsi"/>
        </w:rPr>
        <w:t>H</w:t>
      </w:r>
      <w:r w:rsidRPr="00D169C2">
        <w:rPr>
          <w:rFonts w:eastAsia="Times New Roman" w:cstheme="minorHAnsi"/>
        </w:rPr>
        <w:t>ospital Leipzig</w:t>
      </w:r>
      <w:r w:rsidRPr="00D169C2">
        <w:rPr>
          <w:rFonts w:eastAsia="Times New Roman" w:cstheme="minorHAnsi"/>
        </w:rPr>
        <w:br/>
      </w:r>
      <w:proofErr w:type="spellStart"/>
      <w:r w:rsidRPr="00D169C2">
        <w:rPr>
          <w:rFonts w:eastAsia="Times New Roman" w:cstheme="minorHAnsi"/>
        </w:rPr>
        <w:t>Liebigstraße</w:t>
      </w:r>
      <w:proofErr w:type="spellEnd"/>
      <w:r w:rsidRPr="00D169C2">
        <w:rPr>
          <w:rFonts w:eastAsia="Times New Roman" w:cstheme="minorHAnsi"/>
        </w:rPr>
        <w:t xml:space="preserve"> 18</w:t>
      </w:r>
      <w:r w:rsidRPr="00D169C2">
        <w:rPr>
          <w:rFonts w:eastAsia="Times New Roman" w:cstheme="minorHAnsi"/>
        </w:rPr>
        <w:br/>
        <w:t>04103 Leipzig</w:t>
      </w:r>
    </w:p>
    <w:p w14:paraId="39090A2F" w14:textId="7353C8FB" w:rsidR="00A34F2A" w:rsidRPr="00D169C2" w:rsidRDefault="00A34F2A" w:rsidP="005620CA">
      <w:pPr>
        <w:widowControl w:val="0"/>
        <w:spacing w:before="0" w:after="0" w:line="240" w:lineRule="auto"/>
        <w:rPr>
          <w:rFonts w:cstheme="minorHAnsi"/>
        </w:rPr>
      </w:pPr>
      <w:r>
        <w:rPr>
          <w:rFonts w:eastAsia="Times New Roman" w:cstheme="minorHAnsi"/>
        </w:rPr>
        <w:t>Germany</w:t>
      </w:r>
    </w:p>
    <w:p w14:paraId="6FA34AEA" w14:textId="6A60259F" w:rsidR="006C225D" w:rsidRPr="00D169C2" w:rsidRDefault="006C225D" w:rsidP="005620CA">
      <w:pPr>
        <w:widowControl w:val="0"/>
        <w:rPr>
          <w:rFonts w:cstheme="minorHAnsi"/>
        </w:rPr>
      </w:pPr>
    </w:p>
    <w:p w14:paraId="31380F80" w14:textId="77777777" w:rsidR="00A34F2A" w:rsidRDefault="00A34F2A" w:rsidP="005620CA">
      <w:pPr>
        <w:pStyle w:val="NoSpacing"/>
        <w:widowControl w:val="0"/>
      </w:pPr>
    </w:p>
    <w:p w14:paraId="47A2A527" w14:textId="77777777" w:rsidR="00A34F2A" w:rsidRDefault="00A34F2A" w:rsidP="005620CA">
      <w:pPr>
        <w:pStyle w:val="NoSpacing"/>
        <w:widowControl w:val="0"/>
      </w:pPr>
    </w:p>
    <w:p w14:paraId="7C547AAD" w14:textId="77777777" w:rsidR="00A34F2A" w:rsidRDefault="00A34F2A" w:rsidP="005620CA">
      <w:pPr>
        <w:pStyle w:val="NoSpacing"/>
        <w:widowControl w:val="0"/>
      </w:pPr>
    </w:p>
    <w:p w14:paraId="3F9B95C2" w14:textId="77777777" w:rsidR="00A34F2A" w:rsidRDefault="00A34F2A" w:rsidP="005620CA">
      <w:pPr>
        <w:pStyle w:val="NoSpacing"/>
        <w:widowControl w:val="0"/>
      </w:pPr>
    </w:p>
    <w:p w14:paraId="12C3D618" w14:textId="71B9CACF" w:rsidR="00A34F2A" w:rsidRDefault="00A34F2A" w:rsidP="005620CA">
      <w:pPr>
        <w:pStyle w:val="NoSpacing"/>
        <w:widowControl w:val="0"/>
      </w:pPr>
    </w:p>
    <w:p w14:paraId="7FA65E1B" w14:textId="29EE5BAD" w:rsidR="00A34F2A" w:rsidRDefault="00A34F2A" w:rsidP="005620CA">
      <w:pPr>
        <w:pStyle w:val="NoSpacing"/>
        <w:widowControl w:val="0"/>
      </w:pPr>
    </w:p>
    <w:p w14:paraId="383FB7A4" w14:textId="77777777" w:rsidR="00A34F2A" w:rsidRDefault="00A34F2A" w:rsidP="005620CA">
      <w:pPr>
        <w:pStyle w:val="NoSpacing"/>
        <w:widowControl w:val="0"/>
      </w:pPr>
    </w:p>
    <w:p w14:paraId="4F7E3D17" w14:textId="77777777" w:rsidR="00A34F2A" w:rsidRDefault="00A34F2A" w:rsidP="005620CA">
      <w:pPr>
        <w:pStyle w:val="NoSpacing"/>
        <w:widowControl w:val="0"/>
      </w:pPr>
    </w:p>
    <w:p w14:paraId="31724B94" w14:textId="77777777" w:rsidR="00A34F2A" w:rsidRDefault="00A34F2A" w:rsidP="005620CA">
      <w:pPr>
        <w:pStyle w:val="NoSpacing"/>
        <w:widowControl w:val="0"/>
      </w:pPr>
    </w:p>
    <w:p w14:paraId="6D0A1900" w14:textId="77777777" w:rsidR="00A34F2A" w:rsidRDefault="00A34F2A" w:rsidP="005620CA">
      <w:pPr>
        <w:pStyle w:val="NoSpacing"/>
        <w:widowControl w:val="0"/>
      </w:pPr>
    </w:p>
    <w:bookmarkEnd w:id="0"/>
    <w:p w14:paraId="33995C5B" w14:textId="77777777" w:rsidR="00A34F2A" w:rsidRDefault="00A34F2A" w:rsidP="005620CA">
      <w:pPr>
        <w:pStyle w:val="NoSpacing"/>
        <w:widowControl w:val="0"/>
      </w:pPr>
    </w:p>
    <w:sectPr w:rsidR="00A34F2A" w:rsidSect="005620CA">
      <w:footerReference w:type="default" r:id="rId9"/>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41DD60" w14:textId="77777777" w:rsidR="0075038F" w:rsidRDefault="0075038F" w:rsidP="00E36575">
      <w:pPr>
        <w:spacing w:before="0" w:after="0" w:line="240" w:lineRule="auto"/>
      </w:pPr>
      <w:r>
        <w:separator/>
      </w:r>
    </w:p>
  </w:endnote>
  <w:endnote w:type="continuationSeparator" w:id="0">
    <w:p w14:paraId="4ED0D5CE" w14:textId="77777777" w:rsidR="0075038F" w:rsidRDefault="0075038F" w:rsidP="00E3657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Light">
    <w:altName w:val="Yu Gothic"/>
    <w:panose1 w:val="00000000000000000000"/>
    <w:charset w:val="80"/>
    <w:family w:val="swiss"/>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604254"/>
      <w:docPartObj>
        <w:docPartGallery w:val="Page Numbers (Bottom of Page)"/>
        <w:docPartUnique/>
      </w:docPartObj>
    </w:sdtPr>
    <w:sdtEndPr/>
    <w:sdtContent>
      <w:p w14:paraId="48F3D2CE" w14:textId="16DACD63" w:rsidR="00D27B44" w:rsidRDefault="00D27B44">
        <w:pPr>
          <w:pStyle w:val="Footer"/>
          <w:jc w:val="center"/>
        </w:pPr>
        <w:r>
          <w:fldChar w:fldCharType="begin"/>
        </w:r>
        <w:r>
          <w:instrText>PAGE   \* MERGEFORMAT</w:instrText>
        </w:r>
        <w:r>
          <w:fldChar w:fldCharType="separate"/>
        </w:r>
        <w:r w:rsidR="005620CA">
          <w:rPr>
            <w:noProof/>
          </w:rPr>
          <w:t>1</w:t>
        </w:r>
        <w:r>
          <w:fldChar w:fldCharType="end"/>
        </w:r>
      </w:p>
    </w:sdtContent>
  </w:sdt>
  <w:p w14:paraId="21FC593D" w14:textId="77777777" w:rsidR="00D27B44" w:rsidRDefault="00D27B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E21DB3" w14:textId="77777777" w:rsidR="0075038F" w:rsidRDefault="0075038F" w:rsidP="00E36575">
      <w:pPr>
        <w:spacing w:before="0" w:after="0" w:line="240" w:lineRule="auto"/>
      </w:pPr>
      <w:r>
        <w:separator/>
      </w:r>
    </w:p>
  </w:footnote>
  <w:footnote w:type="continuationSeparator" w:id="0">
    <w:p w14:paraId="4D6D7EB1" w14:textId="77777777" w:rsidR="0075038F" w:rsidRDefault="0075038F" w:rsidP="00E36575">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10F4"/>
    <w:multiLevelType w:val="hybridMultilevel"/>
    <w:tmpl w:val="4CD4D230"/>
    <w:lvl w:ilvl="0" w:tplc="A3683DBC">
      <w:start w:val="1"/>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A4577B"/>
    <w:multiLevelType w:val="hybridMultilevel"/>
    <w:tmpl w:val="8CCE1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844FA5"/>
    <w:multiLevelType w:val="hybridMultilevel"/>
    <w:tmpl w:val="74348DF6"/>
    <w:lvl w:ilvl="0" w:tplc="0809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nsid w:val="111A3861"/>
    <w:multiLevelType w:val="hybridMultilevel"/>
    <w:tmpl w:val="6B503782"/>
    <w:lvl w:ilvl="0" w:tplc="DFE85E7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4C1C29"/>
    <w:multiLevelType w:val="hybridMultilevel"/>
    <w:tmpl w:val="02F26B1A"/>
    <w:lvl w:ilvl="0" w:tplc="A3683DBC">
      <w:start w:val="1"/>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nsid w:val="19E923F1"/>
    <w:multiLevelType w:val="hybridMultilevel"/>
    <w:tmpl w:val="3E744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C978D4"/>
    <w:multiLevelType w:val="hybridMultilevel"/>
    <w:tmpl w:val="C39A9E96"/>
    <w:lvl w:ilvl="0" w:tplc="E562A57C">
      <w:start w:val="1"/>
      <w:numFmt w:val="bullet"/>
      <w:lvlText w:val="-"/>
      <w:lvlJc w:val="left"/>
      <w:pPr>
        <w:ind w:left="720" w:hanging="72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1237CEC"/>
    <w:multiLevelType w:val="hybridMultilevel"/>
    <w:tmpl w:val="9D6CA9E6"/>
    <w:lvl w:ilvl="0" w:tplc="0AF83C9C">
      <w:start w:val="1"/>
      <w:numFmt w:val="decimal"/>
      <w:lvlText w:val="%1."/>
      <w:lvlJc w:val="left"/>
      <w:pPr>
        <w:ind w:left="360" w:hanging="360"/>
      </w:pPr>
      <w:rPr>
        <w:rFonts w:eastAsiaTheme="minorEastAsia" w:cstheme="minorBidi" w:hint="default"/>
        <w:u w:val="singl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7DB2EBB"/>
    <w:multiLevelType w:val="hybridMultilevel"/>
    <w:tmpl w:val="F98E48B2"/>
    <w:lvl w:ilvl="0" w:tplc="E562A57C">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E7B5C45"/>
    <w:multiLevelType w:val="hybridMultilevel"/>
    <w:tmpl w:val="D3EA4762"/>
    <w:lvl w:ilvl="0" w:tplc="04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nsid w:val="30987253"/>
    <w:multiLevelType w:val="hybridMultilevel"/>
    <w:tmpl w:val="34F63DE6"/>
    <w:lvl w:ilvl="0" w:tplc="E562A57C">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1873607"/>
    <w:multiLevelType w:val="hybridMultilevel"/>
    <w:tmpl w:val="BA500A78"/>
    <w:lvl w:ilvl="0" w:tplc="E562A57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0B0C7E"/>
    <w:multiLevelType w:val="hybridMultilevel"/>
    <w:tmpl w:val="6582819A"/>
    <w:lvl w:ilvl="0" w:tplc="E562A57C">
      <w:start w:val="1"/>
      <w:numFmt w:val="bullet"/>
      <w:lvlText w:val="-"/>
      <w:lvlJc w:val="left"/>
      <w:pPr>
        <w:ind w:left="360" w:hanging="360"/>
      </w:pPr>
      <w:rPr>
        <w:rFonts w:ascii="Arial" w:eastAsia="Times New Roman" w:hAnsi="Arial" w:cs="Arial" w:hint="default"/>
        <w:u w:val="single"/>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3">
    <w:nsid w:val="32687827"/>
    <w:multiLevelType w:val="hybridMultilevel"/>
    <w:tmpl w:val="1D98CBD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nsid w:val="3337057F"/>
    <w:multiLevelType w:val="hybridMultilevel"/>
    <w:tmpl w:val="F278A6B0"/>
    <w:lvl w:ilvl="0" w:tplc="E562A57C">
      <w:start w:val="1"/>
      <w:numFmt w:val="bullet"/>
      <w:lvlText w:val="-"/>
      <w:lvlJc w:val="left"/>
      <w:pPr>
        <w:ind w:left="360" w:hanging="360"/>
      </w:pPr>
      <w:rPr>
        <w:rFonts w:ascii="Arial" w:eastAsia="Times New Roman" w:hAnsi="Arial" w:cs="Arial" w:hint="default"/>
      </w:rPr>
    </w:lvl>
    <w:lvl w:ilvl="1" w:tplc="E562A57C">
      <w:start w:val="1"/>
      <w:numFmt w:val="bullet"/>
      <w:lvlText w:val="-"/>
      <w:lvlJc w:val="left"/>
      <w:pPr>
        <w:ind w:left="1080" w:hanging="360"/>
      </w:pPr>
      <w:rPr>
        <w:rFonts w:ascii="Arial" w:eastAsia="Times New Roman" w:hAnsi="Arial" w:cs="Aria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nsid w:val="3CF25748"/>
    <w:multiLevelType w:val="hybridMultilevel"/>
    <w:tmpl w:val="B3F44E4C"/>
    <w:lvl w:ilvl="0" w:tplc="A3683DBC">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nsid w:val="3EC96836"/>
    <w:multiLevelType w:val="hybridMultilevel"/>
    <w:tmpl w:val="4C9C6838"/>
    <w:lvl w:ilvl="0" w:tplc="E562A57C">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5B5698C"/>
    <w:multiLevelType w:val="hybridMultilevel"/>
    <w:tmpl w:val="E74044F4"/>
    <w:lvl w:ilvl="0" w:tplc="A3683DB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584AEF"/>
    <w:multiLevelType w:val="hybridMultilevel"/>
    <w:tmpl w:val="14F2F210"/>
    <w:lvl w:ilvl="0" w:tplc="A3683DBC">
      <w:start w:val="1"/>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A2771D2"/>
    <w:multiLevelType w:val="hybridMultilevel"/>
    <w:tmpl w:val="9EDAAC82"/>
    <w:lvl w:ilvl="0" w:tplc="E562A57C">
      <w:start w:val="1"/>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nsid w:val="508F4DF3"/>
    <w:multiLevelType w:val="hybridMultilevel"/>
    <w:tmpl w:val="5C907DA8"/>
    <w:lvl w:ilvl="0" w:tplc="E562A57C">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1880AB7"/>
    <w:multiLevelType w:val="hybridMultilevel"/>
    <w:tmpl w:val="9D541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A37A79"/>
    <w:multiLevelType w:val="hybridMultilevel"/>
    <w:tmpl w:val="7BC0F472"/>
    <w:lvl w:ilvl="0" w:tplc="A3683DBC">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47723B9"/>
    <w:multiLevelType w:val="multilevel"/>
    <w:tmpl w:val="35BCE27C"/>
    <w:lvl w:ilvl="0">
      <w:start w:val="7"/>
      <w:numFmt w:val="decimal"/>
      <w:lvlText w:val="%1"/>
      <w:lvlJc w:val="left"/>
      <w:pPr>
        <w:ind w:left="504" w:hanging="504"/>
      </w:pPr>
    </w:lvl>
    <w:lvl w:ilvl="1">
      <w:start w:val="3"/>
      <w:numFmt w:val="decimal"/>
      <w:lvlText w:val="%1.%2"/>
      <w:lvlJc w:val="left"/>
      <w:pPr>
        <w:ind w:left="504" w:hanging="50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581B4735"/>
    <w:multiLevelType w:val="hybridMultilevel"/>
    <w:tmpl w:val="2A986F26"/>
    <w:lvl w:ilvl="0" w:tplc="BB1C974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710BB0"/>
    <w:multiLevelType w:val="hybridMultilevel"/>
    <w:tmpl w:val="25F8F5D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5F27BD"/>
    <w:multiLevelType w:val="hybridMultilevel"/>
    <w:tmpl w:val="5484BC5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7">
    <w:nsid w:val="62B75CD4"/>
    <w:multiLevelType w:val="hybridMultilevel"/>
    <w:tmpl w:val="06FC586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28">
    <w:nsid w:val="64AF5B07"/>
    <w:multiLevelType w:val="hybridMultilevel"/>
    <w:tmpl w:val="ACEC55C2"/>
    <w:lvl w:ilvl="0" w:tplc="A3683DBC">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57346DD"/>
    <w:multiLevelType w:val="hybridMultilevel"/>
    <w:tmpl w:val="A244A80E"/>
    <w:lvl w:ilvl="0" w:tplc="E562A57C">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8751A31"/>
    <w:multiLevelType w:val="hybridMultilevel"/>
    <w:tmpl w:val="FB86067A"/>
    <w:lvl w:ilvl="0" w:tplc="A3683DBC">
      <w:start w:val="1"/>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nsid w:val="6FCC25F4"/>
    <w:multiLevelType w:val="hybridMultilevel"/>
    <w:tmpl w:val="88EC6108"/>
    <w:lvl w:ilvl="0" w:tplc="A3683DBC">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2">
    <w:nsid w:val="73640322"/>
    <w:multiLevelType w:val="hybridMultilevel"/>
    <w:tmpl w:val="962A344E"/>
    <w:lvl w:ilvl="0" w:tplc="E562A57C">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3F14626"/>
    <w:multiLevelType w:val="hybridMultilevel"/>
    <w:tmpl w:val="E084BCCC"/>
    <w:lvl w:ilvl="0" w:tplc="0AF83C9C">
      <w:start w:val="1"/>
      <w:numFmt w:val="decimal"/>
      <w:lvlText w:val="%1."/>
      <w:lvlJc w:val="left"/>
      <w:pPr>
        <w:ind w:left="360" w:hanging="360"/>
      </w:pPr>
      <w:rPr>
        <w:rFonts w:eastAsiaTheme="minorEastAsia" w:cstheme="minorBidi"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BA6BC5"/>
    <w:multiLevelType w:val="hybridMultilevel"/>
    <w:tmpl w:val="6972ADC8"/>
    <w:lvl w:ilvl="0" w:tplc="7F3A7678">
      <w:start w:val="1"/>
      <w:numFmt w:val="decimal"/>
      <w:lvlText w:val="%1."/>
      <w:lvlJc w:val="left"/>
      <w:pPr>
        <w:ind w:left="360" w:hanging="360"/>
      </w:pPr>
      <w:rPr>
        <w:rFonts w:eastAsiaTheme="minorEastAsia" w:cstheme="minorBidi"/>
        <w:u w:val="single"/>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5">
    <w:nsid w:val="77FD73DF"/>
    <w:multiLevelType w:val="hybridMultilevel"/>
    <w:tmpl w:val="0AEC4866"/>
    <w:lvl w:ilvl="0" w:tplc="A3683DBC">
      <w:start w:val="1"/>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nsid w:val="794F2F82"/>
    <w:multiLevelType w:val="hybridMultilevel"/>
    <w:tmpl w:val="8C086FB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7">
    <w:nsid w:val="7A270C67"/>
    <w:multiLevelType w:val="hybridMultilevel"/>
    <w:tmpl w:val="0E52A590"/>
    <w:lvl w:ilvl="0" w:tplc="E562A57C">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7B900DC6"/>
    <w:multiLevelType w:val="hybridMultilevel"/>
    <w:tmpl w:val="333AC8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9"/>
  </w:num>
  <w:num w:numId="2">
    <w:abstractNumId w:val="19"/>
  </w:num>
  <w:num w:numId="3">
    <w:abstractNumId w:val="12"/>
  </w:num>
  <w:num w:numId="4">
    <w:abstractNumId w:val="31"/>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2"/>
  </w:num>
  <w:num w:numId="11">
    <w:abstractNumId w:val="15"/>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7"/>
  </w:num>
  <w:num w:numId="15">
    <w:abstractNumId w:val="32"/>
  </w:num>
  <w:num w:numId="16">
    <w:abstractNumId w:val="29"/>
  </w:num>
  <w:num w:numId="17">
    <w:abstractNumId w:val="16"/>
  </w:num>
  <w:num w:numId="18">
    <w:abstractNumId w:val="3"/>
  </w:num>
  <w:num w:numId="19">
    <w:abstractNumId w:val="10"/>
  </w:num>
  <w:num w:numId="20">
    <w:abstractNumId w:val="24"/>
  </w:num>
  <w:num w:numId="21">
    <w:abstractNumId w:val="6"/>
  </w:num>
  <w:num w:numId="22">
    <w:abstractNumId w:val="11"/>
  </w:num>
  <w:num w:numId="23">
    <w:abstractNumId w:val="20"/>
  </w:num>
  <w:num w:numId="24">
    <w:abstractNumId w:val="8"/>
  </w:num>
  <w:num w:numId="25">
    <w:abstractNumId w:val="25"/>
  </w:num>
  <w:num w:numId="26">
    <w:abstractNumId w:val="7"/>
  </w:num>
  <w:num w:numId="27">
    <w:abstractNumId w:val="4"/>
  </w:num>
  <w:num w:numId="28">
    <w:abstractNumId w:val="30"/>
  </w:num>
  <w:num w:numId="29">
    <w:abstractNumId w:val="33"/>
  </w:num>
  <w:num w:numId="30">
    <w:abstractNumId w:val="35"/>
  </w:num>
  <w:num w:numId="31">
    <w:abstractNumId w:val="17"/>
  </w:num>
  <w:num w:numId="32">
    <w:abstractNumId w:val="1"/>
  </w:num>
  <w:num w:numId="33">
    <w:abstractNumId w:val="21"/>
  </w:num>
  <w:num w:numId="34">
    <w:abstractNumId w:val="5"/>
  </w:num>
  <w:num w:numId="35">
    <w:abstractNumId w:val="22"/>
  </w:num>
  <w:num w:numId="36">
    <w:abstractNumId w:val="28"/>
  </w:num>
  <w:num w:numId="37">
    <w:abstractNumId w:val="0"/>
  </w:num>
  <w:num w:numId="38">
    <w:abstractNumId w:val="18"/>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51E"/>
    <w:rsid w:val="0000165E"/>
    <w:rsid w:val="00001942"/>
    <w:rsid w:val="00012595"/>
    <w:rsid w:val="000216C9"/>
    <w:rsid w:val="00026E33"/>
    <w:rsid w:val="00031526"/>
    <w:rsid w:val="000438D5"/>
    <w:rsid w:val="00054574"/>
    <w:rsid w:val="0005558D"/>
    <w:rsid w:val="000574D4"/>
    <w:rsid w:val="00064EEB"/>
    <w:rsid w:val="000654CF"/>
    <w:rsid w:val="000664C3"/>
    <w:rsid w:val="00076192"/>
    <w:rsid w:val="00077727"/>
    <w:rsid w:val="00077E74"/>
    <w:rsid w:val="00081DED"/>
    <w:rsid w:val="00082C26"/>
    <w:rsid w:val="000830FA"/>
    <w:rsid w:val="00087C94"/>
    <w:rsid w:val="00095CCC"/>
    <w:rsid w:val="000A5757"/>
    <w:rsid w:val="000B0B96"/>
    <w:rsid w:val="000B1BCD"/>
    <w:rsid w:val="000C1B42"/>
    <w:rsid w:val="000C2A04"/>
    <w:rsid w:val="000D691D"/>
    <w:rsid w:val="000E0270"/>
    <w:rsid w:val="000E47FB"/>
    <w:rsid w:val="000F0419"/>
    <w:rsid w:val="000F49D0"/>
    <w:rsid w:val="000F523E"/>
    <w:rsid w:val="000F6BF2"/>
    <w:rsid w:val="00106929"/>
    <w:rsid w:val="001162DF"/>
    <w:rsid w:val="00131336"/>
    <w:rsid w:val="00150980"/>
    <w:rsid w:val="001632B2"/>
    <w:rsid w:val="001667B4"/>
    <w:rsid w:val="0017495D"/>
    <w:rsid w:val="00181B0C"/>
    <w:rsid w:val="001918B3"/>
    <w:rsid w:val="001960F9"/>
    <w:rsid w:val="001A7F4B"/>
    <w:rsid w:val="001B0107"/>
    <w:rsid w:val="001C2F0B"/>
    <w:rsid w:val="001C4BD9"/>
    <w:rsid w:val="001D286B"/>
    <w:rsid w:val="001D332A"/>
    <w:rsid w:val="001D3845"/>
    <w:rsid w:val="001D70E5"/>
    <w:rsid w:val="001E460C"/>
    <w:rsid w:val="00201B73"/>
    <w:rsid w:val="00210453"/>
    <w:rsid w:val="00213448"/>
    <w:rsid w:val="00216019"/>
    <w:rsid w:val="0021666A"/>
    <w:rsid w:val="002168B2"/>
    <w:rsid w:val="00222565"/>
    <w:rsid w:val="00241AE0"/>
    <w:rsid w:val="00242E0C"/>
    <w:rsid w:val="0024779A"/>
    <w:rsid w:val="00247C04"/>
    <w:rsid w:val="00252289"/>
    <w:rsid w:val="00253598"/>
    <w:rsid w:val="00264552"/>
    <w:rsid w:val="00277A66"/>
    <w:rsid w:val="00277C1B"/>
    <w:rsid w:val="00281C58"/>
    <w:rsid w:val="002870E8"/>
    <w:rsid w:val="002873FC"/>
    <w:rsid w:val="002B22F6"/>
    <w:rsid w:val="002C0C66"/>
    <w:rsid w:val="002C48C0"/>
    <w:rsid w:val="002F1FF1"/>
    <w:rsid w:val="002F2131"/>
    <w:rsid w:val="002F48FB"/>
    <w:rsid w:val="00307E45"/>
    <w:rsid w:val="00315875"/>
    <w:rsid w:val="00323184"/>
    <w:rsid w:val="00327775"/>
    <w:rsid w:val="00330C48"/>
    <w:rsid w:val="00335C20"/>
    <w:rsid w:val="00340CB5"/>
    <w:rsid w:val="00345083"/>
    <w:rsid w:val="00347123"/>
    <w:rsid w:val="003518AA"/>
    <w:rsid w:val="00361FE8"/>
    <w:rsid w:val="0036484F"/>
    <w:rsid w:val="003649CB"/>
    <w:rsid w:val="00366240"/>
    <w:rsid w:val="00372523"/>
    <w:rsid w:val="00380F79"/>
    <w:rsid w:val="0038503D"/>
    <w:rsid w:val="003906C1"/>
    <w:rsid w:val="00390C10"/>
    <w:rsid w:val="003952D8"/>
    <w:rsid w:val="003952E0"/>
    <w:rsid w:val="003A10ED"/>
    <w:rsid w:val="003A2E1B"/>
    <w:rsid w:val="003A309F"/>
    <w:rsid w:val="003B628C"/>
    <w:rsid w:val="003C4025"/>
    <w:rsid w:val="003D19C7"/>
    <w:rsid w:val="003D717E"/>
    <w:rsid w:val="003E1EFB"/>
    <w:rsid w:val="003F2163"/>
    <w:rsid w:val="003F430B"/>
    <w:rsid w:val="004022A4"/>
    <w:rsid w:val="00417A8E"/>
    <w:rsid w:val="00425A75"/>
    <w:rsid w:val="00441BF8"/>
    <w:rsid w:val="004426E4"/>
    <w:rsid w:val="0044691A"/>
    <w:rsid w:val="00452E5D"/>
    <w:rsid w:val="00454A52"/>
    <w:rsid w:val="00466A2A"/>
    <w:rsid w:val="004705DE"/>
    <w:rsid w:val="00470F7E"/>
    <w:rsid w:val="004721E0"/>
    <w:rsid w:val="004731D6"/>
    <w:rsid w:val="00477662"/>
    <w:rsid w:val="004776D1"/>
    <w:rsid w:val="004A0EA3"/>
    <w:rsid w:val="004A1EF6"/>
    <w:rsid w:val="004B4EC3"/>
    <w:rsid w:val="004B549A"/>
    <w:rsid w:val="004B758C"/>
    <w:rsid w:val="004C5B84"/>
    <w:rsid w:val="004D3860"/>
    <w:rsid w:val="004E28F1"/>
    <w:rsid w:val="004E386F"/>
    <w:rsid w:val="004E6716"/>
    <w:rsid w:val="004E6BC6"/>
    <w:rsid w:val="004F2F77"/>
    <w:rsid w:val="004F4DD4"/>
    <w:rsid w:val="0050400F"/>
    <w:rsid w:val="005053FB"/>
    <w:rsid w:val="005215C7"/>
    <w:rsid w:val="005221B2"/>
    <w:rsid w:val="0054397D"/>
    <w:rsid w:val="00543D62"/>
    <w:rsid w:val="00561323"/>
    <w:rsid w:val="005620CA"/>
    <w:rsid w:val="005630FD"/>
    <w:rsid w:val="005719FE"/>
    <w:rsid w:val="0057416A"/>
    <w:rsid w:val="0058024C"/>
    <w:rsid w:val="00594DAB"/>
    <w:rsid w:val="005B069F"/>
    <w:rsid w:val="005C03E8"/>
    <w:rsid w:val="005D232D"/>
    <w:rsid w:val="005E1E7D"/>
    <w:rsid w:val="005E665F"/>
    <w:rsid w:val="005F1FE7"/>
    <w:rsid w:val="005F5F8C"/>
    <w:rsid w:val="0060176B"/>
    <w:rsid w:val="006049F2"/>
    <w:rsid w:val="0060546E"/>
    <w:rsid w:val="006144D8"/>
    <w:rsid w:val="00615F02"/>
    <w:rsid w:val="00617CDC"/>
    <w:rsid w:val="00633BE2"/>
    <w:rsid w:val="006518AF"/>
    <w:rsid w:val="00664713"/>
    <w:rsid w:val="0067165A"/>
    <w:rsid w:val="0067237A"/>
    <w:rsid w:val="006846C6"/>
    <w:rsid w:val="00696876"/>
    <w:rsid w:val="006A07F0"/>
    <w:rsid w:val="006A430C"/>
    <w:rsid w:val="006A55E7"/>
    <w:rsid w:val="006B07DF"/>
    <w:rsid w:val="006B291F"/>
    <w:rsid w:val="006C225D"/>
    <w:rsid w:val="006C3702"/>
    <w:rsid w:val="006D0DD3"/>
    <w:rsid w:val="006D666B"/>
    <w:rsid w:val="00702C6C"/>
    <w:rsid w:val="00722CEF"/>
    <w:rsid w:val="00734DA2"/>
    <w:rsid w:val="007379EE"/>
    <w:rsid w:val="00741970"/>
    <w:rsid w:val="0075038F"/>
    <w:rsid w:val="0075371A"/>
    <w:rsid w:val="0076569B"/>
    <w:rsid w:val="0078445F"/>
    <w:rsid w:val="0078522D"/>
    <w:rsid w:val="0079495D"/>
    <w:rsid w:val="00795983"/>
    <w:rsid w:val="007970C3"/>
    <w:rsid w:val="007A6ED3"/>
    <w:rsid w:val="007B2562"/>
    <w:rsid w:val="007B478F"/>
    <w:rsid w:val="007C2A68"/>
    <w:rsid w:val="007C2F23"/>
    <w:rsid w:val="007C73E3"/>
    <w:rsid w:val="007D07A7"/>
    <w:rsid w:val="007D5570"/>
    <w:rsid w:val="007E12DF"/>
    <w:rsid w:val="007F18CD"/>
    <w:rsid w:val="007F21C5"/>
    <w:rsid w:val="007F23B3"/>
    <w:rsid w:val="007F4F6A"/>
    <w:rsid w:val="007F630F"/>
    <w:rsid w:val="00806C32"/>
    <w:rsid w:val="008131B0"/>
    <w:rsid w:val="00820BC9"/>
    <w:rsid w:val="0084479A"/>
    <w:rsid w:val="00851D25"/>
    <w:rsid w:val="008570DE"/>
    <w:rsid w:val="00862ACA"/>
    <w:rsid w:val="00865C7F"/>
    <w:rsid w:val="008767BA"/>
    <w:rsid w:val="00880BF3"/>
    <w:rsid w:val="00881B51"/>
    <w:rsid w:val="008864BE"/>
    <w:rsid w:val="00895F06"/>
    <w:rsid w:val="008A4B93"/>
    <w:rsid w:val="008B2AE9"/>
    <w:rsid w:val="008C0A45"/>
    <w:rsid w:val="008C5CB4"/>
    <w:rsid w:val="008C7816"/>
    <w:rsid w:val="008D28E3"/>
    <w:rsid w:val="008D416A"/>
    <w:rsid w:val="008D60F8"/>
    <w:rsid w:val="009003F1"/>
    <w:rsid w:val="00900C77"/>
    <w:rsid w:val="00901A80"/>
    <w:rsid w:val="00901AD0"/>
    <w:rsid w:val="0091313A"/>
    <w:rsid w:val="00925BEF"/>
    <w:rsid w:val="00931752"/>
    <w:rsid w:val="00932388"/>
    <w:rsid w:val="00936C12"/>
    <w:rsid w:val="00943096"/>
    <w:rsid w:val="00943261"/>
    <w:rsid w:val="00944DFC"/>
    <w:rsid w:val="0094751E"/>
    <w:rsid w:val="009609E6"/>
    <w:rsid w:val="00971726"/>
    <w:rsid w:val="00972CA4"/>
    <w:rsid w:val="0097432E"/>
    <w:rsid w:val="00984CD9"/>
    <w:rsid w:val="009855B9"/>
    <w:rsid w:val="00986B2E"/>
    <w:rsid w:val="00992DC7"/>
    <w:rsid w:val="00996306"/>
    <w:rsid w:val="009B045C"/>
    <w:rsid w:val="009B125B"/>
    <w:rsid w:val="009B29CC"/>
    <w:rsid w:val="009B2FC6"/>
    <w:rsid w:val="009D2215"/>
    <w:rsid w:val="009D7992"/>
    <w:rsid w:val="009E568D"/>
    <w:rsid w:val="009F019E"/>
    <w:rsid w:val="009F15CE"/>
    <w:rsid w:val="009F283C"/>
    <w:rsid w:val="009F7025"/>
    <w:rsid w:val="00A05D6D"/>
    <w:rsid w:val="00A072A8"/>
    <w:rsid w:val="00A1346A"/>
    <w:rsid w:val="00A166E4"/>
    <w:rsid w:val="00A224D5"/>
    <w:rsid w:val="00A23EF0"/>
    <w:rsid w:val="00A34F2A"/>
    <w:rsid w:val="00A445AE"/>
    <w:rsid w:val="00A50A51"/>
    <w:rsid w:val="00A50C55"/>
    <w:rsid w:val="00A57DC1"/>
    <w:rsid w:val="00A876C8"/>
    <w:rsid w:val="00A8788A"/>
    <w:rsid w:val="00A96F89"/>
    <w:rsid w:val="00AA2AEA"/>
    <w:rsid w:val="00AA4117"/>
    <w:rsid w:val="00AC53D5"/>
    <w:rsid w:val="00AD1360"/>
    <w:rsid w:val="00AD2C13"/>
    <w:rsid w:val="00AF2000"/>
    <w:rsid w:val="00AF4024"/>
    <w:rsid w:val="00AF4E6F"/>
    <w:rsid w:val="00B05ABB"/>
    <w:rsid w:val="00B300DD"/>
    <w:rsid w:val="00B30FED"/>
    <w:rsid w:val="00B319AC"/>
    <w:rsid w:val="00B40758"/>
    <w:rsid w:val="00B4342A"/>
    <w:rsid w:val="00B43FA8"/>
    <w:rsid w:val="00B52416"/>
    <w:rsid w:val="00B5591B"/>
    <w:rsid w:val="00B579C5"/>
    <w:rsid w:val="00B61DB3"/>
    <w:rsid w:val="00B63DCC"/>
    <w:rsid w:val="00B64CA8"/>
    <w:rsid w:val="00B73E05"/>
    <w:rsid w:val="00B74097"/>
    <w:rsid w:val="00B74983"/>
    <w:rsid w:val="00B94A0C"/>
    <w:rsid w:val="00BA45FA"/>
    <w:rsid w:val="00BB0254"/>
    <w:rsid w:val="00BB0B51"/>
    <w:rsid w:val="00BB3888"/>
    <w:rsid w:val="00BC1382"/>
    <w:rsid w:val="00BC186E"/>
    <w:rsid w:val="00BC42DB"/>
    <w:rsid w:val="00BC7379"/>
    <w:rsid w:val="00BF4672"/>
    <w:rsid w:val="00BF53F4"/>
    <w:rsid w:val="00C11CF6"/>
    <w:rsid w:val="00C3082E"/>
    <w:rsid w:val="00C33527"/>
    <w:rsid w:val="00C462AB"/>
    <w:rsid w:val="00C52790"/>
    <w:rsid w:val="00C5567B"/>
    <w:rsid w:val="00C608F3"/>
    <w:rsid w:val="00C70499"/>
    <w:rsid w:val="00C7056E"/>
    <w:rsid w:val="00C70EB0"/>
    <w:rsid w:val="00C841F5"/>
    <w:rsid w:val="00C84569"/>
    <w:rsid w:val="00C87931"/>
    <w:rsid w:val="00C923D6"/>
    <w:rsid w:val="00C947C9"/>
    <w:rsid w:val="00CA44C5"/>
    <w:rsid w:val="00CA7C6A"/>
    <w:rsid w:val="00CB6BA4"/>
    <w:rsid w:val="00CD1140"/>
    <w:rsid w:val="00CE24E3"/>
    <w:rsid w:val="00CF7372"/>
    <w:rsid w:val="00CF7B56"/>
    <w:rsid w:val="00D02C0C"/>
    <w:rsid w:val="00D11B49"/>
    <w:rsid w:val="00D169C2"/>
    <w:rsid w:val="00D27B44"/>
    <w:rsid w:val="00D3350B"/>
    <w:rsid w:val="00D37889"/>
    <w:rsid w:val="00D53CFF"/>
    <w:rsid w:val="00D606D6"/>
    <w:rsid w:val="00D6221C"/>
    <w:rsid w:val="00D67302"/>
    <w:rsid w:val="00D75601"/>
    <w:rsid w:val="00D77044"/>
    <w:rsid w:val="00D83D40"/>
    <w:rsid w:val="00D92B10"/>
    <w:rsid w:val="00D937C7"/>
    <w:rsid w:val="00DA355F"/>
    <w:rsid w:val="00DA4357"/>
    <w:rsid w:val="00DB2E44"/>
    <w:rsid w:val="00DC6294"/>
    <w:rsid w:val="00DC64FE"/>
    <w:rsid w:val="00DD6CA3"/>
    <w:rsid w:val="00DF0462"/>
    <w:rsid w:val="00DF3D8B"/>
    <w:rsid w:val="00DF5FAF"/>
    <w:rsid w:val="00E04CE3"/>
    <w:rsid w:val="00E07DA2"/>
    <w:rsid w:val="00E27BD7"/>
    <w:rsid w:val="00E310B5"/>
    <w:rsid w:val="00E32CD0"/>
    <w:rsid w:val="00E36575"/>
    <w:rsid w:val="00E669BB"/>
    <w:rsid w:val="00E800F2"/>
    <w:rsid w:val="00E8060D"/>
    <w:rsid w:val="00E82D7E"/>
    <w:rsid w:val="00E908CC"/>
    <w:rsid w:val="00EA078E"/>
    <w:rsid w:val="00EC1851"/>
    <w:rsid w:val="00EC193B"/>
    <w:rsid w:val="00ED11F8"/>
    <w:rsid w:val="00ED2419"/>
    <w:rsid w:val="00ED566A"/>
    <w:rsid w:val="00ED5B4C"/>
    <w:rsid w:val="00EF7A2A"/>
    <w:rsid w:val="00F019C3"/>
    <w:rsid w:val="00F03326"/>
    <w:rsid w:val="00F0562C"/>
    <w:rsid w:val="00F0789A"/>
    <w:rsid w:val="00F10ABC"/>
    <w:rsid w:val="00F16CFE"/>
    <w:rsid w:val="00F2083C"/>
    <w:rsid w:val="00F23CF5"/>
    <w:rsid w:val="00F301CD"/>
    <w:rsid w:val="00F31D6D"/>
    <w:rsid w:val="00F347F0"/>
    <w:rsid w:val="00F35632"/>
    <w:rsid w:val="00F512D9"/>
    <w:rsid w:val="00F521A4"/>
    <w:rsid w:val="00F527CA"/>
    <w:rsid w:val="00F5725F"/>
    <w:rsid w:val="00F57644"/>
    <w:rsid w:val="00F603A4"/>
    <w:rsid w:val="00F6289B"/>
    <w:rsid w:val="00F70039"/>
    <w:rsid w:val="00F74C4B"/>
    <w:rsid w:val="00F95EA6"/>
    <w:rsid w:val="00FB7054"/>
    <w:rsid w:val="00FC198F"/>
    <w:rsid w:val="00FC62EE"/>
    <w:rsid w:val="00FD3D0F"/>
    <w:rsid w:val="00FD6375"/>
    <w:rsid w:val="00FE317F"/>
    <w:rsid w:val="00FF01CD"/>
    <w:rsid w:val="00FF0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AD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51E"/>
    <w:pPr>
      <w:spacing w:before="200" w:after="200" w:line="276" w:lineRule="auto"/>
    </w:pPr>
    <w:rPr>
      <w:rFonts w:eastAsiaTheme="minorEastAsia"/>
      <w:sz w:val="20"/>
      <w:szCs w:val="20"/>
    </w:rPr>
  </w:style>
  <w:style w:type="paragraph" w:styleId="Heading1">
    <w:name w:val="heading 1"/>
    <w:basedOn w:val="Normal"/>
    <w:next w:val="Normal"/>
    <w:link w:val="Heading1Char"/>
    <w:uiPriority w:val="9"/>
    <w:qFormat/>
    <w:rsid w:val="00F16C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301CD"/>
    <w:pPr>
      <w:pBdr>
        <w:top w:val="single" w:sz="8" w:space="0" w:color="auto"/>
        <w:left w:val="single" w:sz="8" w:space="0" w:color="auto"/>
        <w:bottom w:val="single" w:sz="8" w:space="0" w:color="auto"/>
        <w:right w:val="single" w:sz="8" w:space="0" w:color="auto"/>
      </w:pBdr>
      <w:shd w:val="clear" w:color="auto" w:fill="C5E0B3" w:themeFill="accent6" w:themeFillTint="66"/>
      <w:spacing w:after="0"/>
      <w:outlineLvl w:val="1"/>
    </w:pPr>
    <w:rPr>
      <w:caps/>
      <w:spacing w:val="15"/>
      <w:sz w:val="22"/>
      <w:szCs w:val="22"/>
    </w:rPr>
  </w:style>
  <w:style w:type="paragraph" w:styleId="Heading3">
    <w:name w:val="heading 3"/>
    <w:basedOn w:val="Normal"/>
    <w:next w:val="Normal"/>
    <w:link w:val="Heading3Char"/>
    <w:uiPriority w:val="9"/>
    <w:unhideWhenUsed/>
    <w:qFormat/>
    <w:rsid w:val="0094751E"/>
    <w:pPr>
      <w:pBdr>
        <w:top w:val="single" w:sz="6" w:space="2" w:color="4472C4" w:themeColor="accent1"/>
        <w:left w:val="single" w:sz="6" w:space="2" w:color="4472C4" w:themeColor="accent1"/>
      </w:pBdr>
      <w:spacing w:before="300" w:after="0"/>
      <w:outlineLvl w:val="2"/>
    </w:pPr>
    <w:rPr>
      <w:caps/>
      <w:color w:val="1F3763" w:themeColor="accent1" w:themeShade="7F"/>
      <w:spacing w:val="15"/>
      <w:sz w:val="22"/>
      <w:szCs w:val="22"/>
    </w:rPr>
  </w:style>
  <w:style w:type="paragraph" w:styleId="Heading4">
    <w:name w:val="heading 4"/>
    <w:basedOn w:val="Normal"/>
    <w:next w:val="Normal"/>
    <w:link w:val="Heading4Char"/>
    <w:uiPriority w:val="9"/>
    <w:semiHidden/>
    <w:unhideWhenUsed/>
    <w:qFormat/>
    <w:rsid w:val="006846C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01CD"/>
    <w:rPr>
      <w:rFonts w:eastAsiaTheme="minorEastAsia"/>
      <w:caps/>
      <w:spacing w:val="15"/>
      <w:shd w:val="clear" w:color="auto" w:fill="C5E0B3" w:themeFill="accent6" w:themeFillTint="66"/>
    </w:rPr>
  </w:style>
  <w:style w:type="character" w:customStyle="1" w:styleId="Heading3Char">
    <w:name w:val="Heading 3 Char"/>
    <w:basedOn w:val="DefaultParagraphFont"/>
    <w:link w:val="Heading3"/>
    <w:uiPriority w:val="9"/>
    <w:rsid w:val="0094751E"/>
    <w:rPr>
      <w:rFonts w:eastAsiaTheme="minorEastAsia"/>
      <w:caps/>
      <w:color w:val="1F3763" w:themeColor="accent1" w:themeShade="7F"/>
      <w:spacing w:val="15"/>
      <w:lang w:val="de-DE"/>
    </w:rPr>
  </w:style>
  <w:style w:type="character" w:styleId="Hyperlink">
    <w:name w:val="Hyperlink"/>
    <w:basedOn w:val="DefaultParagraphFont"/>
    <w:uiPriority w:val="99"/>
    <w:semiHidden/>
    <w:unhideWhenUsed/>
    <w:rsid w:val="0094751E"/>
    <w:rPr>
      <w:color w:val="0563C1" w:themeColor="hyperlink"/>
      <w:u w:val="single"/>
    </w:rPr>
  </w:style>
  <w:style w:type="paragraph" w:styleId="ListParagraph">
    <w:name w:val="List Paragraph"/>
    <w:basedOn w:val="Normal"/>
    <w:uiPriority w:val="34"/>
    <w:qFormat/>
    <w:rsid w:val="0094751E"/>
    <w:pPr>
      <w:ind w:left="720"/>
      <w:contextualSpacing/>
    </w:pPr>
  </w:style>
  <w:style w:type="table" w:styleId="TableGrid">
    <w:name w:val="Table Grid"/>
    <w:basedOn w:val="TableNormal"/>
    <w:uiPriority w:val="59"/>
    <w:rsid w:val="0094751E"/>
    <w:pPr>
      <w:spacing w:after="0" w:line="240" w:lineRule="auto"/>
    </w:pPr>
    <w:rPr>
      <w:rFonts w:eastAsiaTheme="minorEastAsia"/>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95EA6"/>
    <w:rPr>
      <w:sz w:val="16"/>
      <w:szCs w:val="16"/>
    </w:rPr>
  </w:style>
  <w:style w:type="paragraph" w:styleId="CommentText">
    <w:name w:val="annotation text"/>
    <w:basedOn w:val="Normal"/>
    <w:link w:val="CommentTextChar"/>
    <w:uiPriority w:val="99"/>
    <w:semiHidden/>
    <w:unhideWhenUsed/>
    <w:rsid w:val="00F95EA6"/>
    <w:pPr>
      <w:spacing w:line="240" w:lineRule="auto"/>
    </w:pPr>
  </w:style>
  <w:style w:type="character" w:customStyle="1" w:styleId="CommentTextChar">
    <w:name w:val="Comment Text Char"/>
    <w:basedOn w:val="DefaultParagraphFont"/>
    <w:link w:val="CommentText"/>
    <w:uiPriority w:val="99"/>
    <w:semiHidden/>
    <w:rsid w:val="00F95EA6"/>
    <w:rPr>
      <w:rFonts w:eastAsiaTheme="minorEastAsia"/>
      <w:sz w:val="20"/>
      <w:szCs w:val="20"/>
      <w:lang w:val="de-DE"/>
    </w:rPr>
  </w:style>
  <w:style w:type="paragraph" w:styleId="CommentSubject">
    <w:name w:val="annotation subject"/>
    <w:basedOn w:val="CommentText"/>
    <w:next w:val="CommentText"/>
    <w:link w:val="CommentSubjectChar"/>
    <w:uiPriority w:val="99"/>
    <w:semiHidden/>
    <w:unhideWhenUsed/>
    <w:rsid w:val="00F95EA6"/>
    <w:rPr>
      <w:b/>
      <w:bCs/>
    </w:rPr>
  </w:style>
  <w:style w:type="character" w:customStyle="1" w:styleId="CommentSubjectChar">
    <w:name w:val="Comment Subject Char"/>
    <w:basedOn w:val="CommentTextChar"/>
    <w:link w:val="CommentSubject"/>
    <w:uiPriority w:val="99"/>
    <w:semiHidden/>
    <w:rsid w:val="00F95EA6"/>
    <w:rPr>
      <w:rFonts w:eastAsiaTheme="minorEastAsia"/>
      <w:b/>
      <w:bCs/>
      <w:sz w:val="20"/>
      <w:szCs w:val="20"/>
      <w:lang w:val="de-DE"/>
    </w:rPr>
  </w:style>
  <w:style w:type="paragraph" w:styleId="BalloonText">
    <w:name w:val="Balloon Text"/>
    <w:basedOn w:val="Normal"/>
    <w:link w:val="BalloonTextChar"/>
    <w:uiPriority w:val="99"/>
    <w:semiHidden/>
    <w:unhideWhenUsed/>
    <w:rsid w:val="00F95EA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EA6"/>
    <w:rPr>
      <w:rFonts w:ascii="Segoe UI" w:eastAsiaTheme="minorEastAsia" w:hAnsi="Segoe UI" w:cs="Segoe UI"/>
      <w:sz w:val="18"/>
      <w:szCs w:val="18"/>
      <w:lang w:val="de-DE"/>
    </w:rPr>
  </w:style>
  <w:style w:type="paragraph" w:styleId="Header">
    <w:name w:val="header"/>
    <w:basedOn w:val="Normal"/>
    <w:link w:val="HeaderChar"/>
    <w:uiPriority w:val="99"/>
    <w:unhideWhenUsed/>
    <w:rsid w:val="00E36575"/>
    <w:pPr>
      <w:tabs>
        <w:tab w:val="center" w:pos="4703"/>
        <w:tab w:val="right" w:pos="9406"/>
      </w:tabs>
      <w:spacing w:before="0" w:after="0" w:line="240" w:lineRule="auto"/>
    </w:pPr>
  </w:style>
  <w:style w:type="character" w:customStyle="1" w:styleId="HeaderChar">
    <w:name w:val="Header Char"/>
    <w:basedOn w:val="DefaultParagraphFont"/>
    <w:link w:val="Header"/>
    <w:uiPriority w:val="99"/>
    <w:rsid w:val="00E36575"/>
    <w:rPr>
      <w:rFonts w:eastAsiaTheme="minorEastAsia"/>
      <w:sz w:val="20"/>
      <w:szCs w:val="20"/>
      <w:lang w:val="de-DE"/>
    </w:rPr>
  </w:style>
  <w:style w:type="paragraph" w:styleId="Footer">
    <w:name w:val="footer"/>
    <w:basedOn w:val="Normal"/>
    <w:link w:val="FooterChar"/>
    <w:uiPriority w:val="99"/>
    <w:unhideWhenUsed/>
    <w:rsid w:val="00E36575"/>
    <w:pPr>
      <w:tabs>
        <w:tab w:val="center" w:pos="4703"/>
        <w:tab w:val="right" w:pos="9406"/>
      </w:tabs>
      <w:spacing w:before="0" w:after="0" w:line="240" w:lineRule="auto"/>
    </w:pPr>
  </w:style>
  <w:style w:type="character" w:customStyle="1" w:styleId="FooterChar">
    <w:name w:val="Footer Char"/>
    <w:basedOn w:val="DefaultParagraphFont"/>
    <w:link w:val="Footer"/>
    <w:uiPriority w:val="99"/>
    <w:rsid w:val="00E36575"/>
    <w:rPr>
      <w:rFonts w:eastAsiaTheme="minorEastAsia"/>
      <w:sz w:val="20"/>
      <w:szCs w:val="20"/>
      <w:lang w:val="de-DE"/>
    </w:rPr>
  </w:style>
  <w:style w:type="character" w:customStyle="1" w:styleId="Heading4Char">
    <w:name w:val="Heading 4 Char"/>
    <w:basedOn w:val="DefaultParagraphFont"/>
    <w:link w:val="Heading4"/>
    <w:uiPriority w:val="9"/>
    <w:semiHidden/>
    <w:rsid w:val="006846C6"/>
    <w:rPr>
      <w:rFonts w:asciiTheme="majorHAnsi" w:eastAsiaTheme="majorEastAsia" w:hAnsiTheme="majorHAnsi" w:cstheme="majorBidi"/>
      <w:i/>
      <w:iCs/>
      <w:color w:val="2F5496" w:themeColor="accent1" w:themeShade="BF"/>
      <w:sz w:val="20"/>
      <w:szCs w:val="20"/>
      <w:lang w:val="de-DE"/>
    </w:rPr>
  </w:style>
  <w:style w:type="character" w:customStyle="1" w:styleId="docsum-authors">
    <w:name w:val="docsum-authors"/>
    <w:basedOn w:val="DefaultParagraphFont"/>
    <w:rsid w:val="00943096"/>
  </w:style>
  <w:style w:type="character" w:customStyle="1" w:styleId="docsum-journal-citation">
    <w:name w:val="docsum-journal-citation"/>
    <w:basedOn w:val="DefaultParagraphFont"/>
    <w:rsid w:val="00943096"/>
  </w:style>
  <w:style w:type="character" w:customStyle="1" w:styleId="citation-part">
    <w:name w:val="citation-part"/>
    <w:basedOn w:val="DefaultParagraphFont"/>
    <w:rsid w:val="00943096"/>
  </w:style>
  <w:style w:type="character" w:customStyle="1" w:styleId="docsum-pmid">
    <w:name w:val="docsum-pmid"/>
    <w:basedOn w:val="DefaultParagraphFont"/>
    <w:rsid w:val="00943096"/>
  </w:style>
  <w:style w:type="paragraph" w:styleId="Revision">
    <w:name w:val="Revision"/>
    <w:hidden/>
    <w:uiPriority w:val="99"/>
    <w:semiHidden/>
    <w:rsid w:val="00C3082E"/>
    <w:pPr>
      <w:spacing w:after="0" w:line="240" w:lineRule="auto"/>
    </w:pPr>
    <w:rPr>
      <w:rFonts w:eastAsiaTheme="minorEastAsia"/>
      <w:sz w:val="20"/>
      <w:szCs w:val="20"/>
      <w:lang w:val="de-DE"/>
    </w:rPr>
  </w:style>
  <w:style w:type="character" w:customStyle="1" w:styleId="Heading1Char">
    <w:name w:val="Heading 1 Char"/>
    <w:basedOn w:val="DefaultParagraphFont"/>
    <w:link w:val="Heading1"/>
    <w:uiPriority w:val="9"/>
    <w:rsid w:val="00F16CFE"/>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F16CFE"/>
    <w:pPr>
      <w:spacing w:after="0" w:line="240" w:lineRule="auto"/>
    </w:pPr>
    <w:rPr>
      <w:rFonts w:eastAsiaTheme="minorEastAsia"/>
      <w:sz w:val="20"/>
      <w:szCs w:val="20"/>
    </w:rPr>
  </w:style>
  <w:style w:type="paragraph" w:styleId="Title">
    <w:name w:val="Title"/>
    <w:basedOn w:val="Normal"/>
    <w:next w:val="Normal"/>
    <w:link w:val="TitleChar"/>
    <w:uiPriority w:val="10"/>
    <w:qFormat/>
    <w:rsid w:val="00F16CFE"/>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6CFE"/>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51E"/>
    <w:pPr>
      <w:spacing w:before="200" w:after="200" w:line="276" w:lineRule="auto"/>
    </w:pPr>
    <w:rPr>
      <w:rFonts w:eastAsiaTheme="minorEastAsia"/>
      <w:sz w:val="20"/>
      <w:szCs w:val="20"/>
    </w:rPr>
  </w:style>
  <w:style w:type="paragraph" w:styleId="Heading1">
    <w:name w:val="heading 1"/>
    <w:basedOn w:val="Normal"/>
    <w:next w:val="Normal"/>
    <w:link w:val="Heading1Char"/>
    <w:uiPriority w:val="9"/>
    <w:qFormat/>
    <w:rsid w:val="00F16C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301CD"/>
    <w:pPr>
      <w:pBdr>
        <w:top w:val="single" w:sz="8" w:space="0" w:color="auto"/>
        <w:left w:val="single" w:sz="8" w:space="0" w:color="auto"/>
        <w:bottom w:val="single" w:sz="8" w:space="0" w:color="auto"/>
        <w:right w:val="single" w:sz="8" w:space="0" w:color="auto"/>
      </w:pBdr>
      <w:shd w:val="clear" w:color="auto" w:fill="C5E0B3" w:themeFill="accent6" w:themeFillTint="66"/>
      <w:spacing w:after="0"/>
      <w:outlineLvl w:val="1"/>
    </w:pPr>
    <w:rPr>
      <w:caps/>
      <w:spacing w:val="15"/>
      <w:sz w:val="22"/>
      <w:szCs w:val="22"/>
    </w:rPr>
  </w:style>
  <w:style w:type="paragraph" w:styleId="Heading3">
    <w:name w:val="heading 3"/>
    <w:basedOn w:val="Normal"/>
    <w:next w:val="Normal"/>
    <w:link w:val="Heading3Char"/>
    <w:uiPriority w:val="9"/>
    <w:unhideWhenUsed/>
    <w:qFormat/>
    <w:rsid w:val="0094751E"/>
    <w:pPr>
      <w:pBdr>
        <w:top w:val="single" w:sz="6" w:space="2" w:color="4472C4" w:themeColor="accent1"/>
        <w:left w:val="single" w:sz="6" w:space="2" w:color="4472C4" w:themeColor="accent1"/>
      </w:pBdr>
      <w:spacing w:before="300" w:after="0"/>
      <w:outlineLvl w:val="2"/>
    </w:pPr>
    <w:rPr>
      <w:caps/>
      <w:color w:val="1F3763" w:themeColor="accent1" w:themeShade="7F"/>
      <w:spacing w:val="15"/>
      <w:sz w:val="22"/>
      <w:szCs w:val="22"/>
    </w:rPr>
  </w:style>
  <w:style w:type="paragraph" w:styleId="Heading4">
    <w:name w:val="heading 4"/>
    <w:basedOn w:val="Normal"/>
    <w:next w:val="Normal"/>
    <w:link w:val="Heading4Char"/>
    <w:uiPriority w:val="9"/>
    <w:semiHidden/>
    <w:unhideWhenUsed/>
    <w:qFormat/>
    <w:rsid w:val="006846C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01CD"/>
    <w:rPr>
      <w:rFonts w:eastAsiaTheme="minorEastAsia"/>
      <w:caps/>
      <w:spacing w:val="15"/>
      <w:shd w:val="clear" w:color="auto" w:fill="C5E0B3" w:themeFill="accent6" w:themeFillTint="66"/>
    </w:rPr>
  </w:style>
  <w:style w:type="character" w:customStyle="1" w:styleId="Heading3Char">
    <w:name w:val="Heading 3 Char"/>
    <w:basedOn w:val="DefaultParagraphFont"/>
    <w:link w:val="Heading3"/>
    <w:uiPriority w:val="9"/>
    <w:rsid w:val="0094751E"/>
    <w:rPr>
      <w:rFonts w:eastAsiaTheme="minorEastAsia"/>
      <w:caps/>
      <w:color w:val="1F3763" w:themeColor="accent1" w:themeShade="7F"/>
      <w:spacing w:val="15"/>
      <w:lang w:val="de-DE"/>
    </w:rPr>
  </w:style>
  <w:style w:type="character" w:styleId="Hyperlink">
    <w:name w:val="Hyperlink"/>
    <w:basedOn w:val="DefaultParagraphFont"/>
    <w:uiPriority w:val="99"/>
    <w:semiHidden/>
    <w:unhideWhenUsed/>
    <w:rsid w:val="0094751E"/>
    <w:rPr>
      <w:color w:val="0563C1" w:themeColor="hyperlink"/>
      <w:u w:val="single"/>
    </w:rPr>
  </w:style>
  <w:style w:type="paragraph" w:styleId="ListParagraph">
    <w:name w:val="List Paragraph"/>
    <w:basedOn w:val="Normal"/>
    <w:uiPriority w:val="34"/>
    <w:qFormat/>
    <w:rsid w:val="0094751E"/>
    <w:pPr>
      <w:ind w:left="720"/>
      <w:contextualSpacing/>
    </w:pPr>
  </w:style>
  <w:style w:type="table" w:styleId="TableGrid">
    <w:name w:val="Table Grid"/>
    <w:basedOn w:val="TableNormal"/>
    <w:uiPriority w:val="59"/>
    <w:rsid w:val="0094751E"/>
    <w:pPr>
      <w:spacing w:after="0" w:line="240" w:lineRule="auto"/>
    </w:pPr>
    <w:rPr>
      <w:rFonts w:eastAsiaTheme="minorEastAsia"/>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95EA6"/>
    <w:rPr>
      <w:sz w:val="16"/>
      <w:szCs w:val="16"/>
    </w:rPr>
  </w:style>
  <w:style w:type="paragraph" w:styleId="CommentText">
    <w:name w:val="annotation text"/>
    <w:basedOn w:val="Normal"/>
    <w:link w:val="CommentTextChar"/>
    <w:uiPriority w:val="99"/>
    <w:semiHidden/>
    <w:unhideWhenUsed/>
    <w:rsid w:val="00F95EA6"/>
    <w:pPr>
      <w:spacing w:line="240" w:lineRule="auto"/>
    </w:pPr>
  </w:style>
  <w:style w:type="character" w:customStyle="1" w:styleId="CommentTextChar">
    <w:name w:val="Comment Text Char"/>
    <w:basedOn w:val="DefaultParagraphFont"/>
    <w:link w:val="CommentText"/>
    <w:uiPriority w:val="99"/>
    <w:semiHidden/>
    <w:rsid w:val="00F95EA6"/>
    <w:rPr>
      <w:rFonts w:eastAsiaTheme="minorEastAsia"/>
      <w:sz w:val="20"/>
      <w:szCs w:val="20"/>
      <w:lang w:val="de-DE"/>
    </w:rPr>
  </w:style>
  <w:style w:type="paragraph" w:styleId="CommentSubject">
    <w:name w:val="annotation subject"/>
    <w:basedOn w:val="CommentText"/>
    <w:next w:val="CommentText"/>
    <w:link w:val="CommentSubjectChar"/>
    <w:uiPriority w:val="99"/>
    <w:semiHidden/>
    <w:unhideWhenUsed/>
    <w:rsid w:val="00F95EA6"/>
    <w:rPr>
      <w:b/>
      <w:bCs/>
    </w:rPr>
  </w:style>
  <w:style w:type="character" w:customStyle="1" w:styleId="CommentSubjectChar">
    <w:name w:val="Comment Subject Char"/>
    <w:basedOn w:val="CommentTextChar"/>
    <w:link w:val="CommentSubject"/>
    <w:uiPriority w:val="99"/>
    <w:semiHidden/>
    <w:rsid w:val="00F95EA6"/>
    <w:rPr>
      <w:rFonts w:eastAsiaTheme="minorEastAsia"/>
      <w:b/>
      <w:bCs/>
      <w:sz w:val="20"/>
      <w:szCs w:val="20"/>
      <w:lang w:val="de-DE"/>
    </w:rPr>
  </w:style>
  <w:style w:type="paragraph" w:styleId="BalloonText">
    <w:name w:val="Balloon Text"/>
    <w:basedOn w:val="Normal"/>
    <w:link w:val="BalloonTextChar"/>
    <w:uiPriority w:val="99"/>
    <w:semiHidden/>
    <w:unhideWhenUsed/>
    <w:rsid w:val="00F95EA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EA6"/>
    <w:rPr>
      <w:rFonts w:ascii="Segoe UI" w:eastAsiaTheme="minorEastAsia" w:hAnsi="Segoe UI" w:cs="Segoe UI"/>
      <w:sz w:val="18"/>
      <w:szCs w:val="18"/>
      <w:lang w:val="de-DE"/>
    </w:rPr>
  </w:style>
  <w:style w:type="paragraph" w:styleId="Header">
    <w:name w:val="header"/>
    <w:basedOn w:val="Normal"/>
    <w:link w:val="HeaderChar"/>
    <w:uiPriority w:val="99"/>
    <w:unhideWhenUsed/>
    <w:rsid w:val="00E36575"/>
    <w:pPr>
      <w:tabs>
        <w:tab w:val="center" w:pos="4703"/>
        <w:tab w:val="right" w:pos="9406"/>
      </w:tabs>
      <w:spacing w:before="0" w:after="0" w:line="240" w:lineRule="auto"/>
    </w:pPr>
  </w:style>
  <w:style w:type="character" w:customStyle="1" w:styleId="HeaderChar">
    <w:name w:val="Header Char"/>
    <w:basedOn w:val="DefaultParagraphFont"/>
    <w:link w:val="Header"/>
    <w:uiPriority w:val="99"/>
    <w:rsid w:val="00E36575"/>
    <w:rPr>
      <w:rFonts w:eastAsiaTheme="minorEastAsia"/>
      <w:sz w:val="20"/>
      <w:szCs w:val="20"/>
      <w:lang w:val="de-DE"/>
    </w:rPr>
  </w:style>
  <w:style w:type="paragraph" w:styleId="Footer">
    <w:name w:val="footer"/>
    <w:basedOn w:val="Normal"/>
    <w:link w:val="FooterChar"/>
    <w:uiPriority w:val="99"/>
    <w:unhideWhenUsed/>
    <w:rsid w:val="00E36575"/>
    <w:pPr>
      <w:tabs>
        <w:tab w:val="center" w:pos="4703"/>
        <w:tab w:val="right" w:pos="9406"/>
      </w:tabs>
      <w:spacing w:before="0" w:after="0" w:line="240" w:lineRule="auto"/>
    </w:pPr>
  </w:style>
  <w:style w:type="character" w:customStyle="1" w:styleId="FooterChar">
    <w:name w:val="Footer Char"/>
    <w:basedOn w:val="DefaultParagraphFont"/>
    <w:link w:val="Footer"/>
    <w:uiPriority w:val="99"/>
    <w:rsid w:val="00E36575"/>
    <w:rPr>
      <w:rFonts w:eastAsiaTheme="minorEastAsia"/>
      <w:sz w:val="20"/>
      <w:szCs w:val="20"/>
      <w:lang w:val="de-DE"/>
    </w:rPr>
  </w:style>
  <w:style w:type="character" w:customStyle="1" w:styleId="Heading4Char">
    <w:name w:val="Heading 4 Char"/>
    <w:basedOn w:val="DefaultParagraphFont"/>
    <w:link w:val="Heading4"/>
    <w:uiPriority w:val="9"/>
    <w:semiHidden/>
    <w:rsid w:val="006846C6"/>
    <w:rPr>
      <w:rFonts w:asciiTheme="majorHAnsi" w:eastAsiaTheme="majorEastAsia" w:hAnsiTheme="majorHAnsi" w:cstheme="majorBidi"/>
      <w:i/>
      <w:iCs/>
      <w:color w:val="2F5496" w:themeColor="accent1" w:themeShade="BF"/>
      <w:sz w:val="20"/>
      <w:szCs w:val="20"/>
      <w:lang w:val="de-DE"/>
    </w:rPr>
  </w:style>
  <w:style w:type="character" w:customStyle="1" w:styleId="docsum-authors">
    <w:name w:val="docsum-authors"/>
    <w:basedOn w:val="DefaultParagraphFont"/>
    <w:rsid w:val="00943096"/>
  </w:style>
  <w:style w:type="character" w:customStyle="1" w:styleId="docsum-journal-citation">
    <w:name w:val="docsum-journal-citation"/>
    <w:basedOn w:val="DefaultParagraphFont"/>
    <w:rsid w:val="00943096"/>
  </w:style>
  <w:style w:type="character" w:customStyle="1" w:styleId="citation-part">
    <w:name w:val="citation-part"/>
    <w:basedOn w:val="DefaultParagraphFont"/>
    <w:rsid w:val="00943096"/>
  </w:style>
  <w:style w:type="character" w:customStyle="1" w:styleId="docsum-pmid">
    <w:name w:val="docsum-pmid"/>
    <w:basedOn w:val="DefaultParagraphFont"/>
    <w:rsid w:val="00943096"/>
  </w:style>
  <w:style w:type="paragraph" w:styleId="Revision">
    <w:name w:val="Revision"/>
    <w:hidden/>
    <w:uiPriority w:val="99"/>
    <w:semiHidden/>
    <w:rsid w:val="00C3082E"/>
    <w:pPr>
      <w:spacing w:after="0" w:line="240" w:lineRule="auto"/>
    </w:pPr>
    <w:rPr>
      <w:rFonts w:eastAsiaTheme="minorEastAsia"/>
      <w:sz w:val="20"/>
      <w:szCs w:val="20"/>
      <w:lang w:val="de-DE"/>
    </w:rPr>
  </w:style>
  <w:style w:type="character" w:customStyle="1" w:styleId="Heading1Char">
    <w:name w:val="Heading 1 Char"/>
    <w:basedOn w:val="DefaultParagraphFont"/>
    <w:link w:val="Heading1"/>
    <w:uiPriority w:val="9"/>
    <w:rsid w:val="00F16CFE"/>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F16CFE"/>
    <w:pPr>
      <w:spacing w:after="0" w:line="240" w:lineRule="auto"/>
    </w:pPr>
    <w:rPr>
      <w:rFonts w:eastAsiaTheme="minorEastAsia"/>
      <w:sz w:val="20"/>
      <w:szCs w:val="20"/>
    </w:rPr>
  </w:style>
  <w:style w:type="paragraph" w:styleId="Title">
    <w:name w:val="Title"/>
    <w:basedOn w:val="Normal"/>
    <w:next w:val="Normal"/>
    <w:link w:val="TitleChar"/>
    <w:uiPriority w:val="10"/>
    <w:qFormat/>
    <w:rsid w:val="00F16CFE"/>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6CF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996945">
      <w:bodyDiv w:val="1"/>
      <w:marLeft w:val="0"/>
      <w:marRight w:val="0"/>
      <w:marTop w:val="0"/>
      <w:marBottom w:val="0"/>
      <w:divBdr>
        <w:top w:val="none" w:sz="0" w:space="0" w:color="auto"/>
        <w:left w:val="none" w:sz="0" w:space="0" w:color="auto"/>
        <w:bottom w:val="none" w:sz="0" w:space="0" w:color="auto"/>
        <w:right w:val="none" w:sz="0" w:space="0" w:color="auto"/>
      </w:divBdr>
      <w:divsChild>
        <w:div w:id="644744331">
          <w:marLeft w:val="0"/>
          <w:marRight w:val="0"/>
          <w:marTop w:val="0"/>
          <w:marBottom w:val="0"/>
          <w:divBdr>
            <w:top w:val="none" w:sz="0" w:space="0" w:color="auto"/>
            <w:left w:val="none" w:sz="0" w:space="0" w:color="auto"/>
            <w:bottom w:val="none" w:sz="0" w:space="0" w:color="auto"/>
            <w:right w:val="none" w:sz="0" w:space="0" w:color="auto"/>
          </w:divBdr>
        </w:div>
      </w:divsChild>
    </w:div>
    <w:div w:id="1166937944">
      <w:bodyDiv w:val="1"/>
      <w:marLeft w:val="0"/>
      <w:marRight w:val="0"/>
      <w:marTop w:val="0"/>
      <w:marBottom w:val="0"/>
      <w:divBdr>
        <w:top w:val="none" w:sz="0" w:space="0" w:color="auto"/>
        <w:left w:val="none" w:sz="0" w:space="0" w:color="auto"/>
        <w:bottom w:val="none" w:sz="0" w:space="0" w:color="auto"/>
        <w:right w:val="none" w:sz="0" w:space="0" w:color="auto"/>
      </w:divBdr>
    </w:div>
    <w:div w:id="1263220457">
      <w:bodyDiv w:val="1"/>
      <w:marLeft w:val="0"/>
      <w:marRight w:val="0"/>
      <w:marTop w:val="0"/>
      <w:marBottom w:val="0"/>
      <w:divBdr>
        <w:top w:val="none" w:sz="0" w:space="0" w:color="auto"/>
        <w:left w:val="none" w:sz="0" w:space="0" w:color="auto"/>
        <w:bottom w:val="none" w:sz="0" w:space="0" w:color="auto"/>
        <w:right w:val="none" w:sz="0" w:space="0" w:color="auto"/>
      </w:divBdr>
    </w:div>
    <w:div w:id="1777867567">
      <w:bodyDiv w:val="1"/>
      <w:marLeft w:val="0"/>
      <w:marRight w:val="0"/>
      <w:marTop w:val="0"/>
      <w:marBottom w:val="0"/>
      <w:divBdr>
        <w:top w:val="none" w:sz="0" w:space="0" w:color="auto"/>
        <w:left w:val="none" w:sz="0" w:space="0" w:color="auto"/>
        <w:bottom w:val="none" w:sz="0" w:space="0" w:color="auto"/>
        <w:right w:val="none" w:sz="0" w:space="0" w:color="auto"/>
      </w:divBdr>
      <w:divsChild>
        <w:div w:id="593057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AD9E1-B582-48F8-A517-74BBACB8F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15642</Words>
  <Characters>89163</Characters>
  <Application>Microsoft Office Word</Application>
  <DocSecurity>0</DocSecurity>
  <Lines>743</Lines>
  <Paragraphs>209</Paragraphs>
  <ScaleCrop>false</ScaleCrop>
  <HeadingPairs>
    <vt:vector size="2" baseType="variant">
      <vt:variant>
        <vt:lpstr>Titel</vt:lpstr>
      </vt:variant>
      <vt:variant>
        <vt:i4>1</vt:i4>
      </vt:variant>
    </vt:vector>
  </HeadingPairs>
  <TitlesOfParts>
    <vt:vector size="1" baseType="lpstr">
      <vt:lpstr/>
    </vt:vector>
  </TitlesOfParts>
  <Company>Universitätsklinikum Leipzig AöR</Company>
  <LinksUpToDate>false</LinksUpToDate>
  <CharactersWithSpaces>104596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jona.def@gmx.de</dc:creator>
  <cp:lastModifiedBy>Maiden Pacang</cp:lastModifiedBy>
  <cp:revision>3</cp:revision>
  <cp:lastPrinted>2020-11-23T15:38:00Z</cp:lastPrinted>
  <dcterms:created xsi:type="dcterms:W3CDTF">2024-12-27T12:05:00Z</dcterms:created>
  <dcterms:modified xsi:type="dcterms:W3CDTF">2025-01-08T08:47:00Z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http://www.zotero.org/styles/american-medical-association</vt:lpwstr>
  </property>
  <property fmtid="{D5CDD505-2E9C-101B-9397-08002B2CF9AE}" pid="4" name="Mendeley Unique User Id_1">
    <vt:lpwstr>13a6b761-504e-3c4f-a379-6a0085a219d8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http://www.zotero.org/styles/elsevier-vancouver</vt:lpwstr>
  </property>
  <property fmtid="{D5CDD505-2E9C-101B-9397-08002B2CF9AE}" pid="16" name="Mendeley Recent Style Name 5_1">
    <vt:lpwstr>Elsevier - Vancouver</vt:lpwstr>
  </property>
  <property fmtid="{D5CDD505-2E9C-101B-9397-08002B2CF9AE}" pid="17" name="Mendeley Recent Style Id 6_1">
    <vt:lpwstr>http://csl.mendeley.com/styles/535684521/elsevier-vancouver</vt:lpwstr>
  </property>
  <property fmtid="{D5CDD505-2E9C-101B-9397-08002B2CF9AE}" pid="18" name="Mendeley Recent Style Name 6_1">
    <vt:lpwstr>Elsevier - Vancouver - gobbo def</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