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3E235" w14:textId="19621F69" w:rsidR="00B61AC1" w:rsidRPr="00612996" w:rsidRDefault="00B61AC1" w:rsidP="00B61AC1">
      <w:pPr>
        <w:spacing w:after="0" w:line="360" w:lineRule="auto"/>
        <w:rPr>
          <w:rFonts w:ascii="Times New Roman" w:hAnsi="Times New Roman" w:cs="Times New Roman"/>
          <w:b/>
          <w:bCs/>
          <w:noProof/>
        </w:rPr>
      </w:pPr>
      <w:r w:rsidRPr="00612996">
        <w:rPr>
          <w:rFonts w:ascii="Times New Roman" w:hAnsi="Times New Roman" w:cs="Times New Roman"/>
          <w:b/>
          <w:noProof/>
          <w:lang w:bidi="en-US"/>
        </w:rPr>
        <w:t>Supplementary Table</w:t>
      </w:r>
      <w:r w:rsidR="00631231">
        <w:rPr>
          <w:rFonts w:ascii="Times New Roman" w:hAnsi="Times New Roman" w:cs="Times New Roman"/>
          <w:b/>
          <w:noProof/>
          <w:lang w:bidi="en-US"/>
        </w:rPr>
        <w:t xml:space="preserve"> </w:t>
      </w:r>
    </w:p>
    <w:tbl>
      <w:tblPr>
        <w:tblW w:w="0" w:type="auto"/>
        <w:tblCellMar>
          <w:left w:w="70" w:type="dxa"/>
          <w:right w:w="70" w:type="dxa"/>
        </w:tblCellMar>
        <w:tblLook w:val="04A0" w:firstRow="1" w:lastRow="0" w:firstColumn="1" w:lastColumn="0" w:noHBand="0" w:noVBand="1"/>
      </w:tblPr>
      <w:tblGrid>
        <w:gridCol w:w="5554"/>
        <w:gridCol w:w="1800"/>
        <w:gridCol w:w="1898"/>
        <w:gridCol w:w="1115"/>
        <w:gridCol w:w="837"/>
      </w:tblGrid>
      <w:tr w:rsidR="00B61AC1" w:rsidRPr="00612996" w14:paraId="727F4127" w14:textId="77777777" w:rsidTr="00DA5754">
        <w:trPr>
          <w:trHeight w:val="340"/>
        </w:trPr>
        <w:tc>
          <w:tcPr>
            <w:tcW w:w="0" w:type="auto"/>
            <w:gridSpan w:val="5"/>
            <w:tcBorders>
              <w:top w:val="single" w:sz="4" w:space="0" w:color="auto"/>
              <w:left w:val="nil"/>
              <w:bottom w:val="single" w:sz="4" w:space="0" w:color="auto"/>
              <w:right w:val="nil"/>
            </w:tcBorders>
            <w:shd w:val="clear" w:color="000000" w:fill="FFFFFF"/>
            <w:noWrap/>
            <w:vAlign w:val="bottom"/>
            <w:hideMark/>
          </w:tcPr>
          <w:p w14:paraId="29A9CF37" w14:textId="645BC161" w:rsidR="00B61AC1" w:rsidRPr="00612996" w:rsidRDefault="00B61AC1" w:rsidP="00DA5754">
            <w:pPr>
              <w:spacing w:after="0" w:line="360" w:lineRule="auto"/>
              <w:jc w:val="center"/>
              <w:rPr>
                <w:rFonts w:ascii="Times New Roman" w:eastAsia="Times New Roman" w:hAnsi="Times New Roman" w:cs="Times New Roman"/>
                <w:b/>
                <w:bCs/>
                <w:noProof/>
                <w:color w:val="000000"/>
                <w:kern w:val="0"/>
                <w:lang w:eastAsia="es-MX"/>
                <w14:ligatures w14:val="none"/>
              </w:rPr>
            </w:pPr>
            <w:r w:rsidRPr="00612996">
              <w:rPr>
                <w:rFonts w:ascii="Times New Roman" w:hAnsi="Times New Roman" w:cs="Times New Roman"/>
                <w:b/>
                <w:noProof/>
                <w:kern w:val="0"/>
                <w:lang w:bidi="en-US"/>
                <w14:ligatures w14:val="none"/>
              </w:rPr>
              <w:t xml:space="preserve">Table </w:t>
            </w:r>
            <w:r w:rsidR="00631231">
              <w:rPr>
                <w:rFonts w:ascii="Times New Roman" w:hAnsi="Times New Roman" w:cs="Times New Roman"/>
                <w:b/>
                <w:noProof/>
                <w:kern w:val="0"/>
                <w:lang w:bidi="en-US"/>
                <w14:ligatures w14:val="none"/>
              </w:rPr>
              <w:t>S</w:t>
            </w:r>
            <w:r w:rsidRPr="00612996">
              <w:rPr>
                <w:rFonts w:ascii="Times New Roman" w:hAnsi="Times New Roman" w:cs="Times New Roman"/>
                <w:b/>
                <w:noProof/>
                <w:kern w:val="0"/>
                <w:lang w:bidi="en-US"/>
                <w14:ligatures w14:val="none"/>
              </w:rPr>
              <w:t>1. Causes associated with veno-arterial extracorporeal membrane oxygenation</w:t>
            </w:r>
          </w:p>
        </w:tc>
      </w:tr>
      <w:tr w:rsidR="00B61AC1" w:rsidRPr="00612996" w14:paraId="7F51FA32" w14:textId="77777777" w:rsidTr="00DA5754">
        <w:trPr>
          <w:trHeight w:val="320"/>
        </w:trPr>
        <w:tc>
          <w:tcPr>
            <w:tcW w:w="0" w:type="auto"/>
            <w:tcBorders>
              <w:top w:val="nil"/>
              <w:left w:val="nil"/>
              <w:bottom w:val="single" w:sz="4" w:space="0" w:color="auto"/>
              <w:right w:val="nil"/>
            </w:tcBorders>
            <w:shd w:val="clear" w:color="000000" w:fill="FFFFFF"/>
            <w:noWrap/>
            <w:vAlign w:val="center"/>
            <w:hideMark/>
          </w:tcPr>
          <w:p w14:paraId="16F35CA6" w14:textId="77777777" w:rsidR="00B61AC1" w:rsidRPr="00612996" w:rsidRDefault="00B61AC1" w:rsidP="00DA5754">
            <w:pPr>
              <w:spacing w:after="0" w:line="360" w:lineRule="auto"/>
              <w:jc w:val="center"/>
              <w:rPr>
                <w:rFonts w:ascii="Times New Roman" w:eastAsia="Times New Roman" w:hAnsi="Times New Roman" w:cs="Times New Roman"/>
                <w:b/>
                <w:bCs/>
                <w:noProof/>
                <w:color w:val="000000"/>
                <w:kern w:val="0"/>
                <w:lang w:eastAsia="es-MX"/>
                <w14:ligatures w14:val="none"/>
              </w:rPr>
            </w:pPr>
            <w:r w:rsidRPr="00612996">
              <w:rPr>
                <w:rFonts w:ascii="Times New Roman" w:hAnsi="Times New Roman" w:cs="Times New Roman"/>
                <w:b/>
                <w:noProof/>
                <w:kern w:val="0"/>
                <w:lang w:bidi="en-US"/>
                <w14:ligatures w14:val="none"/>
              </w:rPr>
              <w:t>Characteristics</w:t>
            </w:r>
          </w:p>
        </w:tc>
        <w:tc>
          <w:tcPr>
            <w:tcW w:w="0" w:type="auto"/>
            <w:tcBorders>
              <w:top w:val="nil"/>
              <w:left w:val="nil"/>
              <w:bottom w:val="single" w:sz="4" w:space="0" w:color="auto"/>
              <w:right w:val="nil"/>
            </w:tcBorders>
            <w:shd w:val="clear" w:color="000000" w:fill="FFFFFF"/>
            <w:noWrap/>
            <w:vAlign w:val="center"/>
            <w:hideMark/>
          </w:tcPr>
          <w:p w14:paraId="1135F9F0" w14:textId="77777777" w:rsidR="00B61AC1" w:rsidRPr="00612996" w:rsidRDefault="00B61AC1" w:rsidP="00DA5754">
            <w:pPr>
              <w:spacing w:after="0" w:line="360" w:lineRule="auto"/>
              <w:jc w:val="center"/>
              <w:rPr>
                <w:rFonts w:ascii="Times New Roman" w:eastAsia="Times New Roman" w:hAnsi="Times New Roman" w:cs="Times New Roman"/>
                <w:b/>
                <w:bCs/>
                <w:noProof/>
                <w:color w:val="000000"/>
                <w:kern w:val="0"/>
                <w:lang w:eastAsia="es-MX"/>
                <w14:ligatures w14:val="none"/>
              </w:rPr>
            </w:pPr>
            <w:r w:rsidRPr="00612996">
              <w:rPr>
                <w:rFonts w:ascii="Times New Roman" w:hAnsi="Times New Roman" w:cs="Times New Roman"/>
                <w:b/>
                <w:noProof/>
                <w:kern w:val="0"/>
                <w:lang w:bidi="en-US"/>
                <w14:ligatures w14:val="none"/>
              </w:rPr>
              <w:t>Population n = 98</w:t>
            </w:r>
          </w:p>
        </w:tc>
        <w:tc>
          <w:tcPr>
            <w:tcW w:w="0" w:type="auto"/>
            <w:tcBorders>
              <w:top w:val="nil"/>
              <w:left w:val="nil"/>
              <w:bottom w:val="single" w:sz="4" w:space="0" w:color="auto"/>
              <w:right w:val="nil"/>
            </w:tcBorders>
            <w:shd w:val="clear" w:color="000000" w:fill="FFFFFF"/>
            <w:noWrap/>
            <w:vAlign w:val="center"/>
            <w:hideMark/>
          </w:tcPr>
          <w:p w14:paraId="5EC2376A" w14:textId="77777777" w:rsidR="00B61AC1" w:rsidRPr="00612996" w:rsidRDefault="00B61AC1" w:rsidP="00DA5754">
            <w:pPr>
              <w:spacing w:after="0" w:line="360" w:lineRule="auto"/>
              <w:jc w:val="center"/>
              <w:rPr>
                <w:rFonts w:ascii="Times New Roman" w:eastAsia="Times New Roman" w:hAnsi="Times New Roman" w:cs="Times New Roman"/>
                <w:b/>
                <w:bCs/>
                <w:noProof/>
                <w:color w:val="000000"/>
                <w:kern w:val="0"/>
                <w:lang w:eastAsia="es-MX"/>
                <w14:ligatures w14:val="none"/>
              </w:rPr>
            </w:pPr>
            <w:r w:rsidRPr="00612996">
              <w:rPr>
                <w:rFonts w:ascii="Times New Roman" w:hAnsi="Times New Roman" w:cs="Times New Roman"/>
                <w:b/>
                <w:noProof/>
                <w:kern w:val="0"/>
                <w:lang w:bidi="en-US"/>
                <w14:ligatures w14:val="none"/>
              </w:rPr>
              <w:t>Without TRR = 72</w:t>
            </w:r>
          </w:p>
        </w:tc>
        <w:tc>
          <w:tcPr>
            <w:tcW w:w="0" w:type="auto"/>
            <w:tcBorders>
              <w:top w:val="nil"/>
              <w:left w:val="nil"/>
              <w:bottom w:val="single" w:sz="4" w:space="0" w:color="auto"/>
              <w:right w:val="nil"/>
            </w:tcBorders>
            <w:shd w:val="clear" w:color="000000" w:fill="FFFFFF"/>
            <w:noWrap/>
            <w:vAlign w:val="center"/>
            <w:hideMark/>
          </w:tcPr>
          <w:p w14:paraId="5BD4C56F" w14:textId="77777777" w:rsidR="00B61AC1" w:rsidRPr="00612996" w:rsidRDefault="00B61AC1" w:rsidP="00DA5754">
            <w:pPr>
              <w:spacing w:after="0" w:line="360" w:lineRule="auto"/>
              <w:jc w:val="center"/>
              <w:rPr>
                <w:rFonts w:ascii="Times New Roman" w:eastAsia="Times New Roman" w:hAnsi="Times New Roman" w:cs="Times New Roman"/>
                <w:b/>
                <w:bCs/>
                <w:noProof/>
                <w:color w:val="000000"/>
                <w:kern w:val="0"/>
                <w:lang w:eastAsia="es-MX"/>
                <w14:ligatures w14:val="none"/>
              </w:rPr>
            </w:pPr>
            <w:r w:rsidRPr="00612996">
              <w:rPr>
                <w:rFonts w:ascii="Times New Roman" w:hAnsi="Times New Roman" w:cs="Times New Roman"/>
                <w:b/>
                <w:noProof/>
                <w:kern w:val="0"/>
                <w:lang w:bidi="en-US"/>
                <w14:ligatures w14:val="none"/>
              </w:rPr>
              <w:t>TRR =  26</w:t>
            </w:r>
          </w:p>
        </w:tc>
        <w:tc>
          <w:tcPr>
            <w:tcW w:w="0" w:type="auto"/>
            <w:tcBorders>
              <w:top w:val="nil"/>
              <w:left w:val="nil"/>
              <w:bottom w:val="single" w:sz="4" w:space="0" w:color="auto"/>
              <w:right w:val="nil"/>
            </w:tcBorders>
            <w:shd w:val="clear" w:color="000000" w:fill="FFFFFF"/>
            <w:noWrap/>
            <w:vAlign w:val="center"/>
            <w:hideMark/>
          </w:tcPr>
          <w:p w14:paraId="0CA70AB2" w14:textId="77777777" w:rsidR="00B61AC1" w:rsidRPr="00612996" w:rsidRDefault="00B61AC1" w:rsidP="00DA5754">
            <w:pPr>
              <w:spacing w:after="0" w:line="360" w:lineRule="auto"/>
              <w:jc w:val="center"/>
              <w:rPr>
                <w:rFonts w:ascii="Times New Roman" w:eastAsia="Times New Roman" w:hAnsi="Times New Roman" w:cs="Times New Roman"/>
                <w:b/>
                <w:bCs/>
                <w:noProof/>
                <w:color w:val="000000"/>
                <w:kern w:val="0"/>
                <w:lang w:eastAsia="es-MX"/>
                <w14:ligatures w14:val="none"/>
              </w:rPr>
            </w:pPr>
            <w:r w:rsidRPr="00612996">
              <w:rPr>
                <w:rFonts w:ascii="Times New Roman" w:hAnsi="Times New Roman" w:cs="Times New Roman"/>
                <w:b/>
                <w:noProof/>
                <w:kern w:val="0"/>
                <w:lang w:bidi="en-US"/>
                <w14:ligatures w14:val="none"/>
              </w:rPr>
              <w:t>p-value</w:t>
            </w:r>
          </w:p>
        </w:tc>
      </w:tr>
      <w:tr w:rsidR="00B61AC1" w:rsidRPr="00612996" w14:paraId="6F3EA10A" w14:textId="77777777" w:rsidTr="00DA5754">
        <w:trPr>
          <w:trHeight w:val="300"/>
        </w:trPr>
        <w:tc>
          <w:tcPr>
            <w:tcW w:w="0" w:type="auto"/>
            <w:tcBorders>
              <w:top w:val="nil"/>
              <w:left w:val="nil"/>
              <w:bottom w:val="nil"/>
              <w:right w:val="nil"/>
            </w:tcBorders>
            <w:shd w:val="clear" w:color="000000" w:fill="FFFFFF"/>
            <w:noWrap/>
            <w:vAlign w:val="bottom"/>
            <w:hideMark/>
          </w:tcPr>
          <w:p w14:paraId="06F83E76" w14:textId="77777777" w:rsidR="00B61AC1" w:rsidRPr="00612996" w:rsidRDefault="00B61AC1" w:rsidP="00DA5754">
            <w:pPr>
              <w:spacing w:after="0" w:line="360" w:lineRule="auto"/>
              <w:rPr>
                <w:rFonts w:ascii="Times New Roman" w:eastAsia="Times New Roman" w:hAnsi="Times New Roman" w:cs="Times New Roman"/>
                <w:b/>
                <w:bCs/>
                <w:noProof/>
                <w:color w:val="000000"/>
                <w:kern w:val="0"/>
                <w:lang w:eastAsia="es-MX"/>
                <w14:ligatures w14:val="none"/>
              </w:rPr>
            </w:pPr>
            <w:r w:rsidRPr="00612996">
              <w:rPr>
                <w:rFonts w:ascii="Times New Roman" w:hAnsi="Times New Roman" w:cs="Times New Roman"/>
                <w:b/>
                <w:noProof/>
                <w:kern w:val="0"/>
                <w:lang w:bidi="en-US"/>
                <w14:ligatures w14:val="none"/>
              </w:rPr>
              <w:t>Specific diagnoses upon admission, n (%)</w:t>
            </w:r>
          </w:p>
        </w:tc>
        <w:tc>
          <w:tcPr>
            <w:tcW w:w="0" w:type="auto"/>
            <w:tcBorders>
              <w:top w:val="nil"/>
              <w:left w:val="nil"/>
              <w:bottom w:val="nil"/>
              <w:right w:val="nil"/>
            </w:tcBorders>
            <w:shd w:val="clear" w:color="000000" w:fill="FFFFFF"/>
            <w:noWrap/>
            <w:vAlign w:val="center"/>
            <w:hideMark/>
          </w:tcPr>
          <w:p w14:paraId="7C80F6BA"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000000" w:fill="FFFFFF"/>
            <w:noWrap/>
            <w:vAlign w:val="center"/>
            <w:hideMark/>
          </w:tcPr>
          <w:p w14:paraId="7A8630C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000000" w:fill="FFFFFF"/>
            <w:noWrap/>
            <w:vAlign w:val="center"/>
            <w:hideMark/>
          </w:tcPr>
          <w:p w14:paraId="090B5D21"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000000" w:fill="FFFFFF"/>
            <w:noWrap/>
            <w:vAlign w:val="center"/>
            <w:hideMark/>
          </w:tcPr>
          <w:p w14:paraId="14006C12"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0.467</w:t>
            </w:r>
          </w:p>
        </w:tc>
      </w:tr>
      <w:tr w:rsidR="00B61AC1" w:rsidRPr="00612996" w14:paraId="0F3E0FDF" w14:textId="77777777" w:rsidTr="00DA5754">
        <w:trPr>
          <w:trHeight w:val="320"/>
        </w:trPr>
        <w:tc>
          <w:tcPr>
            <w:tcW w:w="0" w:type="auto"/>
            <w:tcBorders>
              <w:top w:val="nil"/>
              <w:left w:val="nil"/>
              <w:bottom w:val="nil"/>
              <w:right w:val="nil"/>
            </w:tcBorders>
            <w:shd w:val="clear" w:color="auto" w:fill="auto"/>
            <w:noWrap/>
            <w:vAlign w:val="center"/>
            <w:hideMark/>
          </w:tcPr>
          <w:p w14:paraId="50B4E6CE"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rPr>
              <w:t>Acute myocardial infarction</w:t>
            </w:r>
          </w:p>
        </w:tc>
        <w:tc>
          <w:tcPr>
            <w:tcW w:w="0" w:type="auto"/>
            <w:tcBorders>
              <w:top w:val="nil"/>
              <w:left w:val="nil"/>
              <w:bottom w:val="nil"/>
              <w:right w:val="nil"/>
            </w:tcBorders>
            <w:shd w:val="clear" w:color="auto" w:fill="auto"/>
            <w:noWrap/>
            <w:vAlign w:val="center"/>
            <w:hideMark/>
          </w:tcPr>
          <w:p w14:paraId="47075583"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19 (19)</w:t>
            </w:r>
          </w:p>
        </w:tc>
        <w:tc>
          <w:tcPr>
            <w:tcW w:w="0" w:type="auto"/>
            <w:tcBorders>
              <w:top w:val="nil"/>
              <w:left w:val="nil"/>
              <w:bottom w:val="nil"/>
              <w:right w:val="nil"/>
            </w:tcBorders>
            <w:shd w:val="clear" w:color="auto" w:fill="auto"/>
            <w:noWrap/>
            <w:vAlign w:val="center"/>
            <w:hideMark/>
          </w:tcPr>
          <w:p w14:paraId="7F6852E9"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15 (20.5)</w:t>
            </w:r>
          </w:p>
        </w:tc>
        <w:tc>
          <w:tcPr>
            <w:tcW w:w="0" w:type="auto"/>
            <w:tcBorders>
              <w:top w:val="nil"/>
              <w:left w:val="nil"/>
              <w:bottom w:val="nil"/>
              <w:right w:val="nil"/>
            </w:tcBorders>
            <w:shd w:val="clear" w:color="auto" w:fill="auto"/>
            <w:noWrap/>
            <w:vAlign w:val="center"/>
            <w:hideMark/>
          </w:tcPr>
          <w:p w14:paraId="6041AA0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4 (14.8)</w:t>
            </w:r>
          </w:p>
        </w:tc>
        <w:tc>
          <w:tcPr>
            <w:tcW w:w="0" w:type="auto"/>
            <w:tcBorders>
              <w:top w:val="nil"/>
              <w:left w:val="nil"/>
              <w:bottom w:val="nil"/>
              <w:right w:val="nil"/>
            </w:tcBorders>
            <w:shd w:val="clear" w:color="auto" w:fill="auto"/>
            <w:noWrap/>
            <w:vAlign w:val="center"/>
            <w:hideMark/>
          </w:tcPr>
          <w:p w14:paraId="5225CD33"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253402EF" w14:textId="77777777" w:rsidTr="00DA5754">
        <w:trPr>
          <w:trHeight w:val="320"/>
        </w:trPr>
        <w:tc>
          <w:tcPr>
            <w:tcW w:w="0" w:type="auto"/>
            <w:tcBorders>
              <w:top w:val="nil"/>
              <w:left w:val="nil"/>
              <w:bottom w:val="nil"/>
              <w:right w:val="nil"/>
            </w:tcBorders>
            <w:shd w:val="clear" w:color="auto" w:fill="auto"/>
            <w:noWrap/>
            <w:vAlign w:val="center"/>
            <w:hideMark/>
          </w:tcPr>
          <w:p w14:paraId="5AF39888"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SARS CoV-2</w:t>
            </w:r>
          </w:p>
        </w:tc>
        <w:tc>
          <w:tcPr>
            <w:tcW w:w="0" w:type="auto"/>
            <w:tcBorders>
              <w:top w:val="nil"/>
              <w:left w:val="nil"/>
              <w:bottom w:val="nil"/>
              <w:right w:val="nil"/>
            </w:tcBorders>
            <w:shd w:val="clear" w:color="auto" w:fill="auto"/>
            <w:noWrap/>
            <w:vAlign w:val="center"/>
            <w:hideMark/>
          </w:tcPr>
          <w:p w14:paraId="4E2F6DED"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10 (10)</w:t>
            </w:r>
          </w:p>
        </w:tc>
        <w:tc>
          <w:tcPr>
            <w:tcW w:w="0" w:type="auto"/>
            <w:tcBorders>
              <w:top w:val="nil"/>
              <w:left w:val="nil"/>
              <w:bottom w:val="nil"/>
              <w:right w:val="nil"/>
            </w:tcBorders>
            <w:shd w:val="clear" w:color="auto" w:fill="auto"/>
            <w:noWrap/>
            <w:vAlign w:val="center"/>
            <w:hideMark/>
          </w:tcPr>
          <w:p w14:paraId="0C98F2B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8 (10.9)</w:t>
            </w:r>
          </w:p>
        </w:tc>
        <w:tc>
          <w:tcPr>
            <w:tcW w:w="0" w:type="auto"/>
            <w:tcBorders>
              <w:top w:val="nil"/>
              <w:left w:val="nil"/>
              <w:bottom w:val="nil"/>
              <w:right w:val="nil"/>
            </w:tcBorders>
            <w:shd w:val="clear" w:color="auto" w:fill="auto"/>
            <w:noWrap/>
            <w:vAlign w:val="center"/>
            <w:hideMark/>
          </w:tcPr>
          <w:p w14:paraId="62A52E1A"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(7.4)</w:t>
            </w:r>
          </w:p>
        </w:tc>
        <w:tc>
          <w:tcPr>
            <w:tcW w:w="0" w:type="auto"/>
            <w:tcBorders>
              <w:top w:val="nil"/>
              <w:left w:val="nil"/>
              <w:bottom w:val="nil"/>
              <w:right w:val="nil"/>
            </w:tcBorders>
            <w:shd w:val="clear" w:color="auto" w:fill="auto"/>
            <w:noWrap/>
            <w:vAlign w:val="center"/>
            <w:hideMark/>
          </w:tcPr>
          <w:p w14:paraId="75E6756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0FA8AD3E" w14:textId="77777777" w:rsidTr="00DA5754">
        <w:trPr>
          <w:trHeight w:val="320"/>
        </w:trPr>
        <w:tc>
          <w:tcPr>
            <w:tcW w:w="0" w:type="auto"/>
            <w:tcBorders>
              <w:top w:val="nil"/>
              <w:left w:val="nil"/>
              <w:bottom w:val="nil"/>
              <w:right w:val="nil"/>
            </w:tcBorders>
            <w:shd w:val="clear" w:color="auto" w:fill="auto"/>
            <w:noWrap/>
            <w:vAlign w:val="center"/>
            <w:hideMark/>
          </w:tcPr>
          <w:p w14:paraId="57615BF8"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Pulmonary thromboendarterectomy</w:t>
            </w:r>
          </w:p>
        </w:tc>
        <w:tc>
          <w:tcPr>
            <w:tcW w:w="0" w:type="auto"/>
            <w:tcBorders>
              <w:top w:val="nil"/>
              <w:left w:val="nil"/>
              <w:bottom w:val="nil"/>
              <w:right w:val="nil"/>
            </w:tcBorders>
            <w:shd w:val="clear" w:color="auto" w:fill="auto"/>
            <w:noWrap/>
            <w:vAlign w:val="center"/>
            <w:hideMark/>
          </w:tcPr>
          <w:p w14:paraId="4D122E6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7 (7)</w:t>
            </w:r>
          </w:p>
        </w:tc>
        <w:tc>
          <w:tcPr>
            <w:tcW w:w="0" w:type="auto"/>
            <w:tcBorders>
              <w:top w:val="nil"/>
              <w:left w:val="nil"/>
              <w:bottom w:val="nil"/>
              <w:right w:val="nil"/>
            </w:tcBorders>
            <w:shd w:val="clear" w:color="auto" w:fill="auto"/>
            <w:noWrap/>
            <w:vAlign w:val="center"/>
            <w:hideMark/>
          </w:tcPr>
          <w:p w14:paraId="4D8C1D08"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7 (9.6)</w:t>
            </w:r>
          </w:p>
        </w:tc>
        <w:tc>
          <w:tcPr>
            <w:tcW w:w="0" w:type="auto"/>
            <w:tcBorders>
              <w:top w:val="nil"/>
              <w:left w:val="nil"/>
              <w:bottom w:val="nil"/>
              <w:right w:val="nil"/>
            </w:tcBorders>
            <w:shd w:val="clear" w:color="auto" w:fill="auto"/>
            <w:noWrap/>
            <w:vAlign w:val="center"/>
            <w:hideMark/>
          </w:tcPr>
          <w:p w14:paraId="1342AB6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7FB64CAE"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7B570AED" w14:textId="77777777" w:rsidTr="00DA5754">
        <w:trPr>
          <w:trHeight w:val="320"/>
        </w:trPr>
        <w:tc>
          <w:tcPr>
            <w:tcW w:w="0" w:type="auto"/>
            <w:tcBorders>
              <w:top w:val="nil"/>
              <w:left w:val="nil"/>
              <w:bottom w:val="nil"/>
              <w:right w:val="nil"/>
            </w:tcBorders>
            <w:shd w:val="clear" w:color="auto" w:fill="auto"/>
            <w:noWrap/>
            <w:vAlign w:val="center"/>
            <w:hideMark/>
          </w:tcPr>
          <w:p w14:paraId="550AEB14"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Viral myocarditis</w:t>
            </w:r>
          </w:p>
        </w:tc>
        <w:tc>
          <w:tcPr>
            <w:tcW w:w="0" w:type="auto"/>
            <w:tcBorders>
              <w:top w:val="nil"/>
              <w:left w:val="nil"/>
              <w:bottom w:val="nil"/>
              <w:right w:val="nil"/>
            </w:tcBorders>
            <w:shd w:val="clear" w:color="auto" w:fill="auto"/>
            <w:noWrap/>
            <w:vAlign w:val="center"/>
            <w:hideMark/>
          </w:tcPr>
          <w:p w14:paraId="1EE94A04"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6 (6)</w:t>
            </w:r>
          </w:p>
        </w:tc>
        <w:tc>
          <w:tcPr>
            <w:tcW w:w="0" w:type="auto"/>
            <w:tcBorders>
              <w:top w:val="nil"/>
              <w:left w:val="nil"/>
              <w:bottom w:val="nil"/>
              <w:right w:val="nil"/>
            </w:tcBorders>
            <w:shd w:val="clear" w:color="auto" w:fill="auto"/>
            <w:noWrap/>
            <w:vAlign w:val="center"/>
            <w:hideMark/>
          </w:tcPr>
          <w:p w14:paraId="76C93692"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5 (6.8)</w:t>
            </w:r>
          </w:p>
        </w:tc>
        <w:tc>
          <w:tcPr>
            <w:tcW w:w="0" w:type="auto"/>
            <w:tcBorders>
              <w:top w:val="nil"/>
              <w:left w:val="nil"/>
              <w:bottom w:val="nil"/>
              <w:right w:val="nil"/>
            </w:tcBorders>
            <w:shd w:val="clear" w:color="auto" w:fill="auto"/>
            <w:noWrap/>
            <w:vAlign w:val="center"/>
            <w:hideMark/>
          </w:tcPr>
          <w:p w14:paraId="203F64F2"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3B104C9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2725DEC0" w14:textId="77777777" w:rsidTr="00DA5754">
        <w:trPr>
          <w:trHeight w:val="320"/>
        </w:trPr>
        <w:tc>
          <w:tcPr>
            <w:tcW w:w="0" w:type="auto"/>
            <w:tcBorders>
              <w:top w:val="nil"/>
              <w:left w:val="nil"/>
              <w:bottom w:val="nil"/>
              <w:right w:val="nil"/>
            </w:tcBorders>
            <w:shd w:val="clear" w:color="auto" w:fill="auto"/>
            <w:noWrap/>
            <w:vAlign w:val="center"/>
            <w:hideMark/>
          </w:tcPr>
          <w:p w14:paraId="554B30A4"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Mitral valve replacement</w:t>
            </w:r>
          </w:p>
        </w:tc>
        <w:tc>
          <w:tcPr>
            <w:tcW w:w="0" w:type="auto"/>
            <w:tcBorders>
              <w:top w:val="nil"/>
              <w:left w:val="nil"/>
              <w:bottom w:val="nil"/>
              <w:right w:val="nil"/>
            </w:tcBorders>
            <w:shd w:val="clear" w:color="auto" w:fill="auto"/>
            <w:noWrap/>
            <w:vAlign w:val="center"/>
            <w:hideMark/>
          </w:tcPr>
          <w:p w14:paraId="4095D7D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6 (6)</w:t>
            </w:r>
          </w:p>
        </w:tc>
        <w:tc>
          <w:tcPr>
            <w:tcW w:w="0" w:type="auto"/>
            <w:tcBorders>
              <w:top w:val="nil"/>
              <w:left w:val="nil"/>
              <w:bottom w:val="nil"/>
              <w:right w:val="nil"/>
            </w:tcBorders>
            <w:shd w:val="clear" w:color="auto" w:fill="auto"/>
            <w:noWrap/>
            <w:vAlign w:val="center"/>
            <w:hideMark/>
          </w:tcPr>
          <w:p w14:paraId="4F876D1D"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4 (5.5)</w:t>
            </w:r>
          </w:p>
        </w:tc>
        <w:tc>
          <w:tcPr>
            <w:tcW w:w="0" w:type="auto"/>
            <w:tcBorders>
              <w:top w:val="nil"/>
              <w:left w:val="nil"/>
              <w:bottom w:val="nil"/>
              <w:right w:val="nil"/>
            </w:tcBorders>
            <w:shd w:val="clear" w:color="auto" w:fill="auto"/>
            <w:noWrap/>
            <w:vAlign w:val="center"/>
            <w:hideMark/>
          </w:tcPr>
          <w:p w14:paraId="1971C8FB"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(7.4)</w:t>
            </w:r>
          </w:p>
        </w:tc>
        <w:tc>
          <w:tcPr>
            <w:tcW w:w="0" w:type="auto"/>
            <w:tcBorders>
              <w:top w:val="nil"/>
              <w:left w:val="nil"/>
              <w:bottom w:val="nil"/>
              <w:right w:val="nil"/>
            </w:tcBorders>
            <w:shd w:val="clear" w:color="auto" w:fill="auto"/>
            <w:noWrap/>
            <w:vAlign w:val="center"/>
            <w:hideMark/>
          </w:tcPr>
          <w:p w14:paraId="3D37F7B0"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2C8AAC5D" w14:textId="77777777" w:rsidTr="00DA5754">
        <w:trPr>
          <w:trHeight w:val="320"/>
        </w:trPr>
        <w:tc>
          <w:tcPr>
            <w:tcW w:w="0" w:type="auto"/>
            <w:tcBorders>
              <w:top w:val="nil"/>
              <w:left w:val="nil"/>
              <w:bottom w:val="nil"/>
              <w:right w:val="nil"/>
            </w:tcBorders>
            <w:shd w:val="clear" w:color="auto" w:fill="auto"/>
            <w:noWrap/>
            <w:vAlign w:val="center"/>
            <w:hideMark/>
          </w:tcPr>
          <w:p w14:paraId="72DF2DFC"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Dilated cardiomyopathy</w:t>
            </w:r>
          </w:p>
        </w:tc>
        <w:tc>
          <w:tcPr>
            <w:tcW w:w="0" w:type="auto"/>
            <w:tcBorders>
              <w:top w:val="nil"/>
              <w:left w:val="nil"/>
              <w:bottom w:val="nil"/>
              <w:right w:val="nil"/>
            </w:tcBorders>
            <w:shd w:val="clear" w:color="auto" w:fill="auto"/>
            <w:noWrap/>
            <w:vAlign w:val="center"/>
            <w:hideMark/>
          </w:tcPr>
          <w:p w14:paraId="76F40C43"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5 (5)</w:t>
            </w:r>
          </w:p>
        </w:tc>
        <w:tc>
          <w:tcPr>
            <w:tcW w:w="0" w:type="auto"/>
            <w:tcBorders>
              <w:top w:val="nil"/>
              <w:left w:val="nil"/>
              <w:bottom w:val="nil"/>
              <w:right w:val="nil"/>
            </w:tcBorders>
            <w:shd w:val="clear" w:color="auto" w:fill="auto"/>
            <w:noWrap/>
            <w:vAlign w:val="center"/>
            <w:hideMark/>
          </w:tcPr>
          <w:p w14:paraId="0B875FF4"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3 (4.1)</w:t>
            </w:r>
          </w:p>
        </w:tc>
        <w:tc>
          <w:tcPr>
            <w:tcW w:w="0" w:type="auto"/>
            <w:tcBorders>
              <w:top w:val="nil"/>
              <w:left w:val="nil"/>
              <w:bottom w:val="nil"/>
              <w:right w:val="nil"/>
            </w:tcBorders>
            <w:shd w:val="clear" w:color="auto" w:fill="auto"/>
            <w:noWrap/>
            <w:vAlign w:val="center"/>
            <w:hideMark/>
          </w:tcPr>
          <w:p w14:paraId="6378BF9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(7.4)</w:t>
            </w:r>
          </w:p>
        </w:tc>
        <w:tc>
          <w:tcPr>
            <w:tcW w:w="0" w:type="auto"/>
            <w:tcBorders>
              <w:top w:val="nil"/>
              <w:left w:val="nil"/>
              <w:bottom w:val="nil"/>
              <w:right w:val="nil"/>
            </w:tcBorders>
            <w:shd w:val="clear" w:color="auto" w:fill="auto"/>
            <w:noWrap/>
            <w:vAlign w:val="center"/>
            <w:hideMark/>
          </w:tcPr>
          <w:p w14:paraId="2A5C2881"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3C258A82" w14:textId="77777777" w:rsidTr="00DA5754">
        <w:trPr>
          <w:trHeight w:val="320"/>
        </w:trPr>
        <w:tc>
          <w:tcPr>
            <w:tcW w:w="0" w:type="auto"/>
            <w:tcBorders>
              <w:top w:val="nil"/>
              <w:left w:val="nil"/>
              <w:bottom w:val="nil"/>
              <w:right w:val="nil"/>
            </w:tcBorders>
            <w:shd w:val="clear" w:color="auto" w:fill="auto"/>
            <w:noWrap/>
            <w:vAlign w:val="center"/>
            <w:hideMark/>
          </w:tcPr>
          <w:p w14:paraId="5F033AE8"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Septic shock</w:t>
            </w:r>
          </w:p>
        </w:tc>
        <w:tc>
          <w:tcPr>
            <w:tcW w:w="0" w:type="auto"/>
            <w:tcBorders>
              <w:top w:val="nil"/>
              <w:left w:val="nil"/>
              <w:bottom w:val="nil"/>
              <w:right w:val="nil"/>
            </w:tcBorders>
            <w:shd w:val="clear" w:color="auto" w:fill="auto"/>
            <w:noWrap/>
            <w:vAlign w:val="center"/>
            <w:hideMark/>
          </w:tcPr>
          <w:p w14:paraId="19F7CF4B"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5 (5)</w:t>
            </w:r>
          </w:p>
        </w:tc>
        <w:tc>
          <w:tcPr>
            <w:tcW w:w="0" w:type="auto"/>
            <w:tcBorders>
              <w:top w:val="nil"/>
              <w:left w:val="nil"/>
              <w:bottom w:val="nil"/>
              <w:right w:val="nil"/>
            </w:tcBorders>
            <w:shd w:val="clear" w:color="auto" w:fill="auto"/>
            <w:noWrap/>
            <w:vAlign w:val="center"/>
            <w:hideMark/>
          </w:tcPr>
          <w:p w14:paraId="52D83122"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3 (4.1)</w:t>
            </w:r>
          </w:p>
        </w:tc>
        <w:tc>
          <w:tcPr>
            <w:tcW w:w="0" w:type="auto"/>
            <w:tcBorders>
              <w:top w:val="nil"/>
              <w:left w:val="nil"/>
              <w:bottom w:val="nil"/>
              <w:right w:val="nil"/>
            </w:tcBorders>
            <w:shd w:val="clear" w:color="auto" w:fill="auto"/>
            <w:noWrap/>
            <w:vAlign w:val="center"/>
            <w:hideMark/>
          </w:tcPr>
          <w:p w14:paraId="4AE1CABB"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(7.4)</w:t>
            </w:r>
          </w:p>
        </w:tc>
        <w:tc>
          <w:tcPr>
            <w:tcW w:w="0" w:type="auto"/>
            <w:tcBorders>
              <w:top w:val="nil"/>
              <w:left w:val="nil"/>
              <w:bottom w:val="nil"/>
              <w:right w:val="nil"/>
            </w:tcBorders>
            <w:shd w:val="clear" w:color="auto" w:fill="auto"/>
            <w:noWrap/>
            <w:vAlign w:val="center"/>
            <w:hideMark/>
          </w:tcPr>
          <w:p w14:paraId="532B388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0E40971C" w14:textId="77777777" w:rsidTr="00DA5754">
        <w:trPr>
          <w:trHeight w:val="320"/>
        </w:trPr>
        <w:tc>
          <w:tcPr>
            <w:tcW w:w="0" w:type="auto"/>
            <w:tcBorders>
              <w:top w:val="nil"/>
              <w:left w:val="nil"/>
              <w:bottom w:val="nil"/>
              <w:right w:val="nil"/>
            </w:tcBorders>
            <w:shd w:val="clear" w:color="auto" w:fill="auto"/>
            <w:noWrap/>
            <w:vAlign w:val="center"/>
            <w:hideMark/>
          </w:tcPr>
          <w:p w14:paraId="073F7EC9"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Thromboembolic pulmonary embolism</w:t>
            </w:r>
          </w:p>
        </w:tc>
        <w:tc>
          <w:tcPr>
            <w:tcW w:w="0" w:type="auto"/>
            <w:tcBorders>
              <w:top w:val="nil"/>
              <w:left w:val="nil"/>
              <w:bottom w:val="nil"/>
              <w:right w:val="nil"/>
            </w:tcBorders>
            <w:shd w:val="clear" w:color="auto" w:fill="auto"/>
            <w:noWrap/>
            <w:vAlign w:val="center"/>
            <w:hideMark/>
          </w:tcPr>
          <w:p w14:paraId="29EFAB8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4 (4)</w:t>
            </w:r>
          </w:p>
        </w:tc>
        <w:tc>
          <w:tcPr>
            <w:tcW w:w="0" w:type="auto"/>
            <w:tcBorders>
              <w:top w:val="nil"/>
              <w:left w:val="nil"/>
              <w:bottom w:val="nil"/>
              <w:right w:val="nil"/>
            </w:tcBorders>
            <w:shd w:val="clear" w:color="auto" w:fill="auto"/>
            <w:noWrap/>
            <w:vAlign w:val="center"/>
            <w:hideMark/>
          </w:tcPr>
          <w:p w14:paraId="6A9430F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3 (4.1)</w:t>
            </w:r>
          </w:p>
        </w:tc>
        <w:tc>
          <w:tcPr>
            <w:tcW w:w="0" w:type="auto"/>
            <w:tcBorders>
              <w:top w:val="nil"/>
              <w:left w:val="nil"/>
              <w:bottom w:val="nil"/>
              <w:right w:val="nil"/>
            </w:tcBorders>
            <w:shd w:val="clear" w:color="auto" w:fill="auto"/>
            <w:noWrap/>
            <w:vAlign w:val="center"/>
            <w:hideMark/>
          </w:tcPr>
          <w:p w14:paraId="52271BD1"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4163019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13908745" w14:textId="77777777" w:rsidTr="00DA5754">
        <w:trPr>
          <w:trHeight w:val="320"/>
        </w:trPr>
        <w:tc>
          <w:tcPr>
            <w:tcW w:w="0" w:type="auto"/>
            <w:tcBorders>
              <w:top w:val="nil"/>
              <w:left w:val="nil"/>
              <w:bottom w:val="nil"/>
              <w:right w:val="nil"/>
            </w:tcBorders>
            <w:shd w:val="clear" w:color="auto" w:fill="auto"/>
            <w:noWrap/>
            <w:vAlign w:val="center"/>
            <w:hideMark/>
          </w:tcPr>
          <w:p w14:paraId="5EF1C8D0"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Heart failure</w:t>
            </w:r>
          </w:p>
        </w:tc>
        <w:tc>
          <w:tcPr>
            <w:tcW w:w="0" w:type="auto"/>
            <w:tcBorders>
              <w:top w:val="nil"/>
              <w:left w:val="nil"/>
              <w:bottom w:val="nil"/>
              <w:right w:val="nil"/>
            </w:tcBorders>
            <w:shd w:val="clear" w:color="auto" w:fill="auto"/>
            <w:noWrap/>
            <w:vAlign w:val="center"/>
            <w:hideMark/>
          </w:tcPr>
          <w:p w14:paraId="7CB1C3E0"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4 (4)</w:t>
            </w:r>
          </w:p>
        </w:tc>
        <w:tc>
          <w:tcPr>
            <w:tcW w:w="0" w:type="auto"/>
            <w:tcBorders>
              <w:top w:val="nil"/>
              <w:left w:val="nil"/>
              <w:bottom w:val="nil"/>
              <w:right w:val="nil"/>
            </w:tcBorders>
            <w:shd w:val="clear" w:color="auto" w:fill="auto"/>
            <w:noWrap/>
            <w:vAlign w:val="center"/>
            <w:hideMark/>
          </w:tcPr>
          <w:p w14:paraId="4AB4734B"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4 (5.5)</w:t>
            </w:r>
          </w:p>
        </w:tc>
        <w:tc>
          <w:tcPr>
            <w:tcW w:w="0" w:type="auto"/>
            <w:tcBorders>
              <w:top w:val="nil"/>
              <w:left w:val="nil"/>
              <w:bottom w:val="nil"/>
              <w:right w:val="nil"/>
            </w:tcBorders>
            <w:shd w:val="clear" w:color="auto" w:fill="auto"/>
            <w:noWrap/>
            <w:vAlign w:val="center"/>
            <w:hideMark/>
          </w:tcPr>
          <w:p w14:paraId="07B7D519"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3276D32F"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602A4885" w14:textId="77777777" w:rsidTr="00DA5754">
        <w:trPr>
          <w:trHeight w:val="320"/>
        </w:trPr>
        <w:tc>
          <w:tcPr>
            <w:tcW w:w="0" w:type="auto"/>
            <w:tcBorders>
              <w:top w:val="nil"/>
              <w:left w:val="nil"/>
              <w:bottom w:val="nil"/>
              <w:right w:val="nil"/>
            </w:tcBorders>
            <w:shd w:val="clear" w:color="auto" w:fill="auto"/>
            <w:noWrap/>
            <w:vAlign w:val="center"/>
            <w:hideMark/>
          </w:tcPr>
          <w:p w14:paraId="2AA229B3"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Heart transplant</w:t>
            </w:r>
          </w:p>
        </w:tc>
        <w:tc>
          <w:tcPr>
            <w:tcW w:w="0" w:type="auto"/>
            <w:tcBorders>
              <w:top w:val="nil"/>
              <w:left w:val="nil"/>
              <w:bottom w:val="nil"/>
              <w:right w:val="nil"/>
            </w:tcBorders>
            <w:shd w:val="clear" w:color="auto" w:fill="auto"/>
            <w:noWrap/>
            <w:vAlign w:val="center"/>
            <w:hideMark/>
          </w:tcPr>
          <w:p w14:paraId="2A268462"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3 (3)</w:t>
            </w:r>
          </w:p>
        </w:tc>
        <w:tc>
          <w:tcPr>
            <w:tcW w:w="0" w:type="auto"/>
            <w:tcBorders>
              <w:top w:val="nil"/>
              <w:left w:val="nil"/>
              <w:bottom w:val="nil"/>
              <w:right w:val="nil"/>
            </w:tcBorders>
            <w:shd w:val="clear" w:color="auto" w:fill="auto"/>
            <w:noWrap/>
            <w:vAlign w:val="center"/>
            <w:hideMark/>
          </w:tcPr>
          <w:p w14:paraId="22B15A9A"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08ED85DD"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(7.4)</w:t>
            </w:r>
          </w:p>
        </w:tc>
        <w:tc>
          <w:tcPr>
            <w:tcW w:w="0" w:type="auto"/>
            <w:tcBorders>
              <w:top w:val="nil"/>
              <w:left w:val="nil"/>
              <w:bottom w:val="nil"/>
              <w:right w:val="nil"/>
            </w:tcBorders>
            <w:shd w:val="clear" w:color="auto" w:fill="auto"/>
            <w:noWrap/>
            <w:vAlign w:val="center"/>
            <w:hideMark/>
          </w:tcPr>
          <w:p w14:paraId="1B352071"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00A323BC" w14:textId="77777777" w:rsidTr="00DA5754">
        <w:trPr>
          <w:trHeight w:val="320"/>
        </w:trPr>
        <w:tc>
          <w:tcPr>
            <w:tcW w:w="0" w:type="auto"/>
            <w:tcBorders>
              <w:top w:val="nil"/>
              <w:left w:val="nil"/>
              <w:bottom w:val="nil"/>
              <w:right w:val="nil"/>
            </w:tcBorders>
            <w:shd w:val="clear" w:color="auto" w:fill="auto"/>
            <w:noWrap/>
            <w:vAlign w:val="center"/>
            <w:hideMark/>
          </w:tcPr>
          <w:p w14:paraId="512CFC5E"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Myocardial revascularization</w:t>
            </w:r>
          </w:p>
        </w:tc>
        <w:tc>
          <w:tcPr>
            <w:tcW w:w="0" w:type="auto"/>
            <w:tcBorders>
              <w:top w:val="nil"/>
              <w:left w:val="nil"/>
              <w:bottom w:val="nil"/>
              <w:right w:val="nil"/>
            </w:tcBorders>
            <w:shd w:val="clear" w:color="auto" w:fill="auto"/>
            <w:noWrap/>
            <w:vAlign w:val="center"/>
            <w:hideMark/>
          </w:tcPr>
          <w:p w14:paraId="45DA8B1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3 (3)</w:t>
            </w:r>
          </w:p>
        </w:tc>
        <w:tc>
          <w:tcPr>
            <w:tcW w:w="0" w:type="auto"/>
            <w:tcBorders>
              <w:top w:val="nil"/>
              <w:left w:val="nil"/>
              <w:bottom w:val="nil"/>
              <w:right w:val="nil"/>
            </w:tcBorders>
            <w:shd w:val="clear" w:color="auto" w:fill="auto"/>
            <w:noWrap/>
            <w:vAlign w:val="center"/>
            <w:hideMark/>
          </w:tcPr>
          <w:p w14:paraId="6C18107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(2.7)</w:t>
            </w:r>
          </w:p>
        </w:tc>
        <w:tc>
          <w:tcPr>
            <w:tcW w:w="0" w:type="auto"/>
            <w:tcBorders>
              <w:top w:val="nil"/>
              <w:left w:val="nil"/>
              <w:bottom w:val="nil"/>
              <w:right w:val="nil"/>
            </w:tcBorders>
            <w:shd w:val="clear" w:color="auto" w:fill="auto"/>
            <w:noWrap/>
            <w:vAlign w:val="center"/>
            <w:hideMark/>
          </w:tcPr>
          <w:p w14:paraId="723C3D6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0C0D9894"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4F157BFC" w14:textId="77777777" w:rsidTr="00DA5754">
        <w:trPr>
          <w:trHeight w:val="320"/>
        </w:trPr>
        <w:tc>
          <w:tcPr>
            <w:tcW w:w="0" w:type="auto"/>
            <w:tcBorders>
              <w:top w:val="nil"/>
              <w:left w:val="nil"/>
              <w:bottom w:val="nil"/>
              <w:right w:val="nil"/>
            </w:tcBorders>
            <w:shd w:val="clear" w:color="auto" w:fill="auto"/>
            <w:noWrap/>
            <w:vAlign w:val="center"/>
            <w:hideMark/>
          </w:tcPr>
          <w:p w14:paraId="0D9E9F18"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Aortic valve replacement</w:t>
            </w:r>
          </w:p>
        </w:tc>
        <w:tc>
          <w:tcPr>
            <w:tcW w:w="0" w:type="auto"/>
            <w:tcBorders>
              <w:top w:val="nil"/>
              <w:left w:val="nil"/>
              <w:bottom w:val="nil"/>
              <w:right w:val="nil"/>
            </w:tcBorders>
            <w:shd w:val="clear" w:color="auto" w:fill="auto"/>
            <w:noWrap/>
            <w:vAlign w:val="center"/>
            <w:hideMark/>
          </w:tcPr>
          <w:p w14:paraId="194A0D40"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3 (3)</w:t>
            </w:r>
          </w:p>
        </w:tc>
        <w:tc>
          <w:tcPr>
            <w:tcW w:w="0" w:type="auto"/>
            <w:tcBorders>
              <w:top w:val="nil"/>
              <w:left w:val="nil"/>
              <w:bottom w:val="nil"/>
              <w:right w:val="nil"/>
            </w:tcBorders>
            <w:shd w:val="clear" w:color="auto" w:fill="auto"/>
            <w:noWrap/>
            <w:vAlign w:val="center"/>
            <w:hideMark/>
          </w:tcPr>
          <w:p w14:paraId="48EB11B3"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3 (4.1)</w:t>
            </w:r>
          </w:p>
        </w:tc>
        <w:tc>
          <w:tcPr>
            <w:tcW w:w="0" w:type="auto"/>
            <w:tcBorders>
              <w:top w:val="nil"/>
              <w:left w:val="nil"/>
              <w:bottom w:val="nil"/>
              <w:right w:val="nil"/>
            </w:tcBorders>
            <w:shd w:val="clear" w:color="auto" w:fill="auto"/>
            <w:noWrap/>
            <w:vAlign w:val="center"/>
            <w:hideMark/>
          </w:tcPr>
          <w:p w14:paraId="7D12E01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582CF08F"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76BBE39E" w14:textId="77777777" w:rsidTr="00DA5754">
        <w:trPr>
          <w:trHeight w:val="320"/>
        </w:trPr>
        <w:tc>
          <w:tcPr>
            <w:tcW w:w="0" w:type="auto"/>
            <w:tcBorders>
              <w:top w:val="nil"/>
              <w:left w:val="nil"/>
              <w:bottom w:val="nil"/>
              <w:right w:val="nil"/>
            </w:tcBorders>
            <w:shd w:val="clear" w:color="auto" w:fill="auto"/>
            <w:noWrap/>
            <w:vAlign w:val="center"/>
            <w:hideMark/>
          </w:tcPr>
          <w:p w14:paraId="06424AD1"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Aortic valve replacement + Other cardiovascular intervention</w:t>
            </w:r>
          </w:p>
        </w:tc>
        <w:tc>
          <w:tcPr>
            <w:tcW w:w="0" w:type="auto"/>
            <w:tcBorders>
              <w:top w:val="nil"/>
              <w:left w:val="nil"/>
              <w:bottom w:val="nil"/>
              <w:right w:val="nil"/>
            </w:tcBorders>
            <w:shd w:val="clear" w:color="auto" w:fill="auto"/>
            <w:noWrap/>
            <w:vAlign w:val="center"/>
            <w:hideMark/>
          </w:tcPr>
          <w:p w14:paraId="383CE65A"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3 (3)</w:t>
            </w:r>
          </w:p>
        </w:tc>
        <w:tc>
          <w:tcPr>
            <w:tcW w:w="0" w:type="auto"/>
            <w:tcBorders>
              <w:top w:val="nil"/>
              <w:left w:val="nil"/>
              <w:bottom w:val="nil"/>
              <w:right w:val="nil"/>
            </w:tcBorders>
            <w:shd w:val="clear" w:color="auto" w:fill="auto"/>
            <w:noWrap/>
            <w:vAlign w:val="center"/>
            <w:hideMark/>
          </w:tcPr>
          <w:p w14:paraId="135DEDE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(2.7)</w:t>
            </w:r>
          </w:p>
        </w:tc>
        <w:tc>
          <w:tcPr>
            <w:tcW w:w="0" w:type="auto"/>
            <w:tcBorders>
              <w:top w:val="nil"/>
              <w:left w:val="nil"/>
              <w:bottom w:val="nil"/>
              <w:right w:val="nil"/>
            </w:tcBorders>
            <w:shd w:val="clear" w:color="auto" w:fill="auto"/>
            <w:noWrap/>
            <w:vAlign w:val="center"/>
            <w:hideMark/>
          </w:tcPr>
          <w:p w14:paraId="157C7D4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63DED5C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1E9E1B00" w14:textId="77777777" w:rsidTr="00DA5754">
        <w:trPr>
          <w:trHeight w:val="320"/>
        </w:trPr>
        <w:tc>
          <w:tcPr>
            <w:tcW w:w="0" w:type="auto"/>
            <w:tcBorders>
              <w:top w:val="nil"/>
              <w:left w:val="nil"/>
              <w:bottom w:val="nil"/>
              <w:right w:val="nil"/>
            </w:tcBorders>
            <w:shd w:val="clear" w:color="auto" w:fill="auto"/>
            <w:noWrap/>
            <w:vAlign w:val="center"/>
            <w:hideMark/>
          </w:tcPr>
          <w:p w14:paraId="21182AAC"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 xml:space="preserve">Mitral valve replacement + Aortic valve </w:t>
            </w:r>
          </w:p>
        </w:tc>
        <w:tc>
          <w:tcPr>
            <w:tcW w:w="0" w:type="auto"/>
            <w:tcBorders>
              <w:top w:val="nil"/>
              <w:left w:val="nil"/>
              <w:bottom w:val="nil"/>
              <w:right w:val="nil"/>
            </w:tcBorders>
            <w:shd w:val="clear" w:color="auto" w:fill="auto"/>
            <w:noWrap/>
            <w:vAlign w:val="center"/>
            <w:hideMark/>
          </w:tcPr>
          <w:p w14:paraId="3729CF2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(2)</w:t>
            </w:r>
          </w:p>
        </w:tc>
        <w:tc>
          <w:tcPr>
            <w:tcW w:w="0" w:type="auto"/>
            <w:tcBorders>
              <w:top w:val="nil"/>
              <w:left w:val="nil"/>
              <w:bottom w:val="nil"/>
              <w:right w:val="nil"/>
            </w:tcBorders>
            <w:shd w:val="clear" w:color="auto" w:fill="auto"/>
            <w:noWrap/>
            <w:vAlign w:val="center"/>
            <w:hideMark/>
          </w:tcPr>
          <w:p w14:paraId="59FC7CE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4651A308"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44E84B50"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4194E64F" w14:textId="77777777" w:rsidTr="00DA5754">
        <w:trPr>
          <w:trHeight w:val="320"/>
        </w:trPr>
        <w:tc>
          <w:tcPr>
            <w:tcW w:w="0" w:type="auto"/>
            <w:tcBorders>
              <w:top w:val="nil"/>
              <w:left w:val="nil"/>
              <w:bottom w:val="nil"/>
              <w:right w:val="nil"/>
            </w:tcBorders>
            <w:shd w:val="clear" w:color="auto" w:fill="auto"/>
            <w:noWrap/>
            <w:vAlign w:val="center"/>
            <w:hideMark/>
          </w:tcPr>
          <w:p w14:paraId="327E87CC"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Mitral valve replacement + Myocardial revascularization</w:t>
            </w:r>
          </w:p>
        </w:tc>
        <w:tc>
          <w:tcPr>
            <w:tcW w:w="0" w:type="auto"/>
            <w:tcBorders>
              <w:top w:val="nil"/>
              <w:left w:val="nil"/>
              <w:bottom w:val="nil"/>
              <w:right w:val="nil"/>
            </w:tcBorders>
            <w:shd w:val="clear" w:color="auto" w:fill="auto"/>
            <w:noWrap/>
            <w:vAlign w:val="center"/>
            <w:hideMark/>
          </w:tcPr>
          <w:p w14:paraId="3B2C6AD0"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(2)</w:t>
            </w:r>
          </w:p>
        </w:tc>
        <w:tc>
          <w:tcPr>
            <w:tcW w:w="0" w:type="auto"/>
            <w:tcBorders>
              <w:top w:val="nil"/>
              <w:left w:val="nil"/>
              <w:bottom w:val="nil"/>
              <w:right w:val="nil"/>
            </w:tcBorders>
            <w:shd w:val="clear" w:color="auto" w:fill="auto"/>
            <w:noWrap/>
            <w:vAlign w:val="center"/>
            <w:hideMark/>
          </w:tcPr>
          <w:p w14:paraId="320A6EE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(2.7)</w:t>
            </w:r>
          </w:p>
        </w:tc>
        <w:tc>
          <w:tcPr>
            <w:tcW w:w="0" w:type="auto"/>
            <w:tcBorders>
              <w:top w:val="nil"/>
              <w:left w:val="nil"/>
              <w:bottom w:val="nil"/>
              <w:right w:val="nil"/>
            </w:tcBorders>
            <w:shd w:val="clear" w:color="auto" w:fill="auto"/>
            <w:noWrap/>
            <w:vAlign w:val="center"/>
            <w:hideMark/>
          </w:tcPr>
          <w:p w14:paraId="554D5661"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12F7A580"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5D926A82" w14:textId="77777777" w:rsidTr="00DA5754">
        <w:trPr>
          <w:trHeight w:val="320"/>
        </w:trPr>
        <w:tc>
          <w:tcPr>
            <w:tcW w:w="0" w:type="auto"/>
            <w:tcBorders>
              <w:top w:val="nil"/>
              <w:left w:val="nil"/>
              <w:bottom w:val="nil"/>
              <w:right w:val="nil"/>
            </w:tcBorders>
            <w:shd w:val="clear" w:color="auto" w:fill="auto"/>
            <w:noWrap/>
            <w:vAlign w:val="center"/>
            <w:hideMark/>
          </w:tcPr>
          <w:p w14:paraId="08543121"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Right heart failure</w:t>
            </w:r>
          </w:p>
        </w:tc>
        <w:tc>
          <w:tcPr>
            <w:tcW w:w="0" w:type="auto"/>
            <w:tcBorders>
              <w:top w:val="nil"/>
              <w:left w:val="nil"/>
              <w:bottom w:val="nil"/>
              <w:right w:val="nil"/>
            </w:tcBorders>
            <w:shd w:val="clear" w:color="auto" w:fill="auto"/>
            <w:noWrap/>
            <w:vAlign w:val="center"/>
            <w:hideMark/>
          </w:tcPr>
          <w:p w14:paraId="20ED7CF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(2)</w:t>
            </w:r>
          </w:p>
        </w:tc>
        <w:tc>
          <w:tcPr>
            <w:tcW w:w="0" w:type="auto"/>
            <w:tcBorders>
              <w:top w:val="nil"/>
              <w:left w:val="nil"/>
              <w:bottom w:val="nil"/>
              <w:right w:val="nil"/>
            </w:tcBorders>
            <w:shd w:val="clear" w:color="auto" w:fill="auto"/>
            <w:noWrap/>
            <w:vAlign w:val="center"/>
            <w:hideMark/>
          </w:tcPr>
          <w:p w14:paraId="51DF7ECC"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06103001"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360E4C50"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396ADF82" w14:textId="77777777" w:rsidTr="00DA5754">
        <w:trPr>
          <w:trHeight w:val="320"/>
        </w:trPr>
        <w:tc>
          <w:tcPr>
            <w:tcW w:w="0" w:type="auto"/>
            <w:tcBorders>
              <w:top w:val="nil"/>
              <w:left w:val="nil"/>
              <w:bottom w:val="nil"/>
              <w:right w:val="nil"/>
            </w:tcBorders>
            <w:shd w:val="clear" w:color="auto" w:fill="auto"/>
            <w:noWrap/>
            <w:vAlign w:val="center"/>
            <w:hideMark/>
          </w:tcPr>
          <w:p w14:paraId="550CE813"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Multilobar pneumonia</w:t>
            </w:r>
          </w:p>
        </w:tc>
        <w:tc>
          <w:tcPr>
            <w:tcW w:w="0" w:type="auto"/>
            <w:tcBorders>
              <w:top w:val="nil"/>
              <w:left w:val="nil"/>
              <w:bottom w:val="nil"/>
              <w:right w:val="nil"/>
            </w:tcBorders>
            <w:shd w:val="clear" w:color="auto" w:fill="auto"/>
            <w:noWrap/>
            <w:vAlign w:val="center"/>
            <w:hideMark/>
          </w:tcPr>
          <w:p w14:paraId="6B2FFB7D"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(2)</w:t>
            </w:r>
          </w:p>
        </w:tc>
        <w:tc>
          <w:tcPr>
            <w:tcW w:w="0" w:type="auto"/>
            <w:tcBorders>
              <w:top w:val="nil"/>
              <w:left w:val="nil"/>
              <w:bottom w:val="nil"/>
              <w:right w:val="nil"/>
            </w:tcBorders>
            <w:shd w:val="clear" w:color="auto" w:fill="auto"/>
            <w:noWrap/>
            <w:vAlign w:val="center"/>
            <w:hideMark/>
          </w:tcPr>
          <w:p w14:paraId="2ACFDB6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0320D4F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1D96B35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6BC7331A" w14:textId="77777777" w:rsidTr="00DA5754">
        <w:trPr>
          <w:trHeight w:val="320"/>
        </w:trPr>
        <w:tc>
          <w:tcPr>
            <w:tcW w:w="0" w:type="auto"/>
            <w:tcBorders>
              <w:top w:val="nil"/>
              <w:left w:val="nil"/>
              <w:bottom w:val="nil"/>
              <w:right w:val="nil"/>
            </w:tcBorders>
            <w:shd w:val="clear" w:color="auto" w:fill="auto"/>
            <w:noWrap/>
            <w:vAlign w:val="center"/>
            <w:hideMark/>
          </w:tcPr>
          <w:p w14:paraId="540D52F8"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Type B influenza</w:t>
            </w:r>
          </w:p>
        </w:tc>
        <w:tc>
          <w:tcPr>
            <w:tcW w:w="0" w:type="auto"/>
            <w:tcBorders>
              <w:top w:val="nil"/>
              <w:left w:val="nil"/>
              <w:bottom w:val="nil"/>
              <w:right w:val="nil"/>
            </w:tcBorders>
            <w:shd w:val="clear" w:color="auto" w:fill="auto"/>
            <w:noWrap/>
            <w:vAlign w:val="center"/>
            <w:hideMark/>
          </w:tcPr>
          <w:p w14:paraId="1E34DEA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2 (2)</w:t>
            </w:r>
          </w:p>
        </w:tc>
        <w:tc>
          <w:tcPr>
            <w:tcW w:w="0" w:type="auto"/>
            <w:tcBorders>
              <w:top w:val="nil"/>
              <w:left w:val="nil"/>
              <w:bottom w:val="nil"/>
              <w:right w:val="nil"/>
            </w:tcBorders>
            <w:shd w:val="clear" w:color="auto" w:fill="auto"/>
            <w:noWrap/>
            <w:vAlign w:val="center"/>
            <w:hideMark/>
          </w:tcPr>
          <w:p w14:paraId="6D4E1EA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68FAEE24"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7D8ED67B"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3BD5846A" w14:textId="77777777" w:rsidTr="00DA5754">
        <w:trPr>
          <w:trHeight w:val="320"/>
        </w:trPr>
        <w:tc>
          <w:tcPr>
            <w:tcW w:w="0" w:type="auto"/>
            <w:tcBorders>
              <w:top w:val="nil"/>
              <w:left w:val="nil"/>
              <w:bottom w:val="nil"/>
              <w:right w:val="nil"/>
            </w:tcBorders>
            <w:shd w:val="clear" w:color="auto" w:fill="auto"/>
            <w:noWrap/>
            <w:vAlign w:val="center"/>
            <w:hideMark/>
          </w:tcPr>
          <w:p w14:paraId="5400678D"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Mitral regurgitation</w:t>
            </w:r>
          </w:p>
        </w:tc>
        <w:tc>
          <w:tcPr>
            <w:tcW w:w="0" w:type="auto"/>
            <w:tcBorders>
              <w:top w:val="nil"/>
              <w:left w:val="nil"/>
              <w:bottom w:val="nil"/>
              <w:right w:val="nil"/>
            </w:tcBorders>
            <w:shd w:val="clear" w:color="auto" w:fill="auto"/>
            <w:noWrap/>
            <w:vAlign w:val="center"/>
            <w:hideMark/>
          </w:tcPr>
          <w:p w14:paraId="2E9176D9"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1D89288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31E426F2"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18B6E756"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509538C6" w14:textId="77777777" w:rsidTr="00DA5754">
        <w:trPr>
          <w:trHeight w:val="320"/>
        </w:trPr>
        <w:tc>
          <w:tcPr>
            <w:tcW w:w="0" w:type="auto"/>
            <w:tcBorders>
              <w:top w:val="nil"/>
              <w:left w:val="nil"/>
              <w:bottom w:val="nil"/>
              <w:right w:val="nil"/>
            </w:tcBorders>
            <w:shd w:val="clear" w:color="auto" w:fill="auto"/>
            <w:noWrap/>
            <w:vAlign w:val="center"/>
            <w:hideMark/>
          </w:tcPr>
          <w:p w14:paraId="0945BCDD"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lastRenderedPageBreak/>
              <w:t>Tricuspid valve replacement</w:t>
            </w:r>
          </w:p>
        </w:tc>
        <w:tc>
          <w:tcPr>
            <w:tcW w:w="0" w:type="auto"/>
            <w:tcBorders>
              <w:top w:val="nil"/>
              <w:left w:val="nil"/>
              <w:bottom w:val="nil"/>
              <w:right w:val="nil"/>
            </w:tcBorders>
            <w:shd w:val="clear" w:color="auto" w:fill="auto"/>
            <w:noWrap/>
            <w:vAlign w:val="center"/>
            <w:hideMark/>
          </w:tcPr>
          <w:p w14:paraId="536B2268"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5013CB7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22728734"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1EB994FC"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537C4385" w14:textId="77777777" w:rsidTr="00DA5754">
        <w:trPr>
          <w:trHeight w:val="320"/>
        </w:trPr>
        <w:tc>
          <w:tcPr>
            <w:tcW w:w="0" w:type="auto"/>
            <w:tcBorders>
              <w:top w:val="nil"/>
              <w:left w:val="nil"/>
              <w:bottom w:val="nil"/>
              <w:right w:val="nil"/>
            </w:tcBorders>
            <w:shd w:val="clear" w:color="auto" w:fill="auto"/>
            <w:noWrap/>
            <w:vAlign w:val="center"/>
            <w:hideMark/>
          </w:tcPr>
          <w:p w14:paraId="07AFEABC"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Myopericarditis</w:t>
            </w:r>
          </w:p>
        </w:tc>
        <w:tc>
          <w:tcPr>
            <w:tcW w:w="0" w:type="auto"/>
            <w:tcBorders>
              <w:top w:val="nil"/>
              <w:left w:val="nil"/>
              <w:bottom w:val="nil"/>
              <w:right w:val="nil"/>
            </w:tcBorders>
            <w:shd w:val="clear" w:color="auto" w:fill="auto"/>
            <w:noWrap/>
            <w:vAlign w:val="center"/>
            <w:hideMark/>
          </w:tcPr>
          <w:p w14:paraId="02CCE9D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0A34ACA3"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21CFAB88"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36F4415C"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1C3486F7" w14:textId="77777777" w:rsidTr="00DA5754">
        <w:trPr>
          <w:trHeight w:val="320"/>
        </w:trPr>
        <w:tc>
          <w:tcPr>
            <w:tcW w:w="0" w:type="auto"/>
            <w:tcBorders>
              <w:top w:val="nil"/>
              <w:left w:val="nil"/>
              <w:bottom w:val="nil"/>
              <w:right w:val="nil"/>
            </w:tcBorders>
            <w:shd w:val="clear" w:color="auto" w:fill="auto"/>
            <w:noWrap/>
            <w:vAlign w:val="center"/>
            <w:hideMark/>
          </w:tcPr>
          <w:p w14:paraId="6137266C"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Arrhythmic storm</w:t>
            </w:r>
          </w:p>
        </w:tc>
        <w:tc>
          <w:tcPr>
            <w:tcW w:w="0" w:type="auto"/>
            <w:tcBorders>
              <w:top w:val="nil"/>
              <w:left w:val="nil"/>
              <w:bottom w:val="nil"/>
              <w:right w:val="nil"/>
            </w:tcBorders>
            <w:shd w:val="clear" w:color="auto" w:fill="auto"/>
            <w:noWrap/>
            <w:vAlign w:val="center"/>
            <w:hideMark/>
          </w:tcPr>
          <w:p w14:paraId="1BC9E6A9"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2BA2AAAD"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1A7A7B0D"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67CF7125"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7B96BBC6" w14:textId="77777777" w:rsidTr="00DA5754">
        <w:trPr>
          <w:trHeight w:val="320"/>
        </w:trPr>
        <w:tc>
          <w:tcPr>
            <w:tcW w:w="0" w:type="auto"/>
            <w:tcBorders>
              <w:top w:val="nil"/>
              <w:left w:val="nil"/>
              <w:bottom w:val="nil"/>
              <w:right w:val="nil"/>
            </w:tcBorders>
            <w:shd w:val="clear" w:color="auto" w:fill="auto"/>
            <w:noWrap/>
            <w:vAlign w:val="center"/>
            <w:hideMark/>
          </w:tcPr>
          <w:p w14:paraId="262A6223"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Sudden death</w:t>
            </w:r>
          </w:p>
        </w:tc>
        <w:tc>
          <w:tcPr>
            <w:tcW w:w="0" w:type="auto"/>
            <w:tcBorders>
              <w:top w:val="nil"/>
              <w:left w:val="nil"/>
              <w:bottom w:val="nil"/>
              <w:right w:val="nil"/>
            </w:tcBorders>
            <w:shd w:val="clear" w:color="auto" w:fill="auto"/>
            <w:noWrap/>
            <w:vAlign w:val="center"/>
            <w:hideMark/>
          </w:tcPr>
          <w:p w14:paraId="4303993A"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7C1A2EF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1388C553"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0106C3EB"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6E9DBFFD" w14:textId="77777777" w:rsidTr="00DA5754">
        <w:trPr>
          <w:trHeight w:val="320"/>
        </w:trPr>
        <w:tc>
          <w:tcPr>
            <w:tcW w:w="0" w:type="auto"/>
            <w:tcBorders>
              <w:top w:val="nil"/>
              <w:left w:val="nil"/>
              <w:bottom w:val="nil"/>
              <w:right w:val="nil"/>
            </w:tcBorders>
            <w:shd w:val="clear" w:color="auto" w:fill="auto"/>
            <w:noWrap/>
            <w:vAlign w:val="center"/>
            <w:hideMark/>
          </w:tcPr>
          <w:p w14:paraId="60AE9DFB"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Tachycardiomyopathy</w:t>
            </w:r>
          </w:p>
        </w:tc>
        <w:tc>
          <w:tcPr>
            <w:tcW w:w="0" w:type="auto"/>
            <w:tcBorders>
              <w:top w:val="nil"/>
              <w:left w:val="nil"/>
              <w:bottom w:val="nil"/>
              <w:right w:val="nil"/>
            </w:tcBorders>
            <w:shd w:val="clear" w:color="auto" w:fill="auto"/>
            <w:noWrap/>
            <w:vAlign w:val="center"/>
            <w:hideMark/>
          </w:tcPr>
          <w:p w14:paraId="25EF7FBA"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7003B85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59C4D80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6FA02AFB"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44D79F91" w14:textId="77777777" w:rsidTr="00DA5754">
        <w:trPr>
          <w:trHeight w:val="320"/>
        </w:trPr>
        <w:tc>
          <w:tcPr>
            <w:tcW w:w="0" w:type="auto"/>
            <w:tcBorders>
              <w:top w:val="nil"/>
              <w:left w:val="nil"/>
              <w:bottom w:val="nil"/>
              <w:right w:val="nil"/>
            </w:tcBorders>
            <w:shd w:val="clear" w:color="auto" w:fill="auto"/>
            <w:noWrap/>
            <w:vAlign w:val="center"/>
            <w:hideMark/>
          </w:tcPr>
          <w:p w14:paraId="34DB40D3"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Pancreatitis</w:t>
            </w:r>
          </w:p>
        </w:tc>
        <w:tc>
          <w:tcPr>
            <w:tcW w:w="0" w:type="auto"/>
            <w:tcBorders>
              <w:top w:val="nil"/>
              <w:left w:val="nil"/>
              <w:bottom w:val="nil"/>
              <w:right w:val="nil"/>
            </w:tcBorders>
            <w:shd w:val="clear" w:color="auto" w:fill="auto"/>
            <w:noWrap/>
            <w:vAlign w:val="center"/>
            <w:hideMark/>
          </w:tcPr>
          <w:p w14:paraId="5A52B87D"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327C8B72"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6EFE6DCD"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31C74610"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0A8090AB" w14:textId="77777777" w:rsidTr="00DA5754">
        <w:trPr>
          <w:trHeight w:val="320"/>
        </w:trPr>
        <w:tc>
          <w:tcPr>
            <w:tcW w:w="0" w:type="auto"/>
            <w:tcBorders>
              <w:top w:val="nil"/>
              <w:left w:val="nil"/>
              <w:bottom w:val="nil"/>
              <w:right w:val="nil"/>
            </w:tcBorders>
            <w:shd w:val="clear" w:color="auto" w:fill="auto"/>
            <w:noWrap/>
            <w:vAlign w:val="center"/>
            <w:hideMark/>
          </w:tcPr>
          <w:p w14:paraId="1F1149A8"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Human immunodeficiency virus</w:t>
            </w:r>
          </w:p>
        </w:tc>
        <w:tc>
          <w:tcPr>
            <w:tcW w:w="0" w:type="auto"/>
            <w:tcBorders>
              <w:top w:val="nil"/>
              <w:left w:val="nil"/>
              <w:bottom w:val="nil"/>
              <w:right w:val="nil"/>
            </w:tcBorders>
            <w:shd w:val="clear" w:color="auto" w:fill="auto"/>
            <w:noWrap/>
            <w:vAlign w:val="center"/>
            <w:hideMark/>
          </w:tcPr>
          <w:p w14:paraId="75436C8C"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36A831B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6D891BAA"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3FF73A33"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64EBCB50" w14:textId="77777777" w:rsidTr="00DA5754">
        <w:trPr>
          <w:trHeight w:val="320"/>
        </w:trPr>
        <w:tc>
          <w:tcPr>
            <w:tcW w:w="0" w:type="auto"/>
            <w:tcBorders>
              <w:top w:val="nil"/>
              <w:left w:val="nil"/>
              <w:bottom w:val="nil"/>
              <w:right w:val="nil"/>
            </w:tcBorders>
            <w:shd w:val="clear" w:color="auto" w:fill="auto"/>
            <w:noWrap/>
            <w:vAlign w:val="center"/>
            <w:hideMark/>
          </w:tcPr>
          <w:p w14:paraId="013AB74F"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Acute respiratory distress syndrome</w:t>
            </w:r>
          </w:p>
        </w:tc>
        <w:tc>
          <w:tcPr>
            <w:tcW w:w="0" w:type="auto"/>
            <w:tcBorders>
              <w:top w:val="nil"/>
              <w:left w:val="nil"/>
              <w:bottom w:val="nil"/>
              <w:right w:val="nil"/>
            </w:tcBorders>
            <w:shd w:val="clear" w:color="auto" w:fill="auto"/>
            <w:noWrap/>
            <w:vAlign w:val="center"/>
            <w:hideMark/>
          </w:tcPr>
          <w:p w14:paraId="4496F43E"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6E24BE3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12A36662"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219B7BD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78AD4EDC" w14:textId="77777777" w:rsidTr="00DA5754">
        <w:trPr>
          <w:trHeight w:val="320"/>
        </w:trPr>
        <w:tc>
          <w:tcPr>
            <w:tcW w:w="0" w:type="auto"/>
            <w:tcBorders>
              <w:top w:val="nil"/>
              <w:left w:val="nil"/>
              <w:bottom w:val="nil"/>
              <w:right w:val="nil"/>
            </w:tcBorders>
            <w:shd w:val="clear" w:color="auto" w:fill="auto"/>
            <w:noWrap/>
            <w:vAlign w:val="center"/>
            <w:hideMark/>
          </w:tcPr>
          <w:p w14:paraId="44E3A9D5"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Bronchoaspiration</w:t>
            </w:r>
          </w:p>
        </w:tc>
        <w:tc>
          <w:tcPr>
            <w:tcW w:w="0" w:type="auto"/>
            <w:tcBorders>
              <w:top w:val="nil"/>
              <w:left w:val="nil"/>
              <w:bottom w:val="nil"/>
              <w:right w:val="nil"/>
            </w:tcBorders>
            <w:shd w:val="clear" w:color="auto" w:fill="auto"/>
            <w:noWrap/>
            <w:vAlign w:val="center"/>
            <w:hideMark/>
          </w:tcPr>
          <w:p w14:paraId="6CF72E30"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61B3D129"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nil"/>
              <w:right w:val="nil"/>
            </w:tcBorders>
            <w:shd w:val="clear" w:color="auto" w:fill="auto"/>
            <w:noWrap/>
            <w:vAlign w:val="center"/>
            <w:hideMark/>
          </w:tcPr>
          <w:p w14:paraId="4A6BF71F"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2AF44950" w14:textId="77777777" w:rsidR="00B61AC1" w:rsidRPr="00612996" w:rsidRDefault="00B61AC1" w:rsidP="00DA5754">
            <w:pPr>
              <w:spacing w:after="0" w:line="360" w:lineRule="auto"/>
              <w:jc w:val="center"/>
              <w:rPr>
                <w:rFonts w:ascii="Times New Roman" w:eastAsia="Times New Roman" w:hAnsi="Times New Roman" w:cs="Times New Roman"/>
                <w:noProof/>
                <w:kern w:val="0"/>
                <w:lang w:eastAsia="es-MX"/>
                <w14:ligatures w14:val="none"/>
              </w:rPr>
            </w:pPr>
          </w:p>
        </w:tc>
      </w:tr>
      <w:tr w:rsidR="00B61AC1" w:rsidRPr="00612996" w14:paraId="7A57F6DF" w14:textId="77777777" w:rsidTr="00DA5754">
        <w:trPr>
          <w:trHeight w:val="320"/>
        </w:trPr>
        <w:tc>
          <w:tcPr>
            <w:tcW w:w="0" w:type="auto"/>
            <w:tcBorders>
              <w:top w:val="nil"/>
              <w:left w:val="nil"/>
              <w:bottom w:val="nil"/>
              <w:right w:val="nil"/>
            </w:tcBorders>
            <w:shd w:val="clear" w:color="auto" w:fill="auto"/>
            <w:noWrap/>
            <w:vAlign w:val="center"/>
            <w:hideMark/>
          </w:tcPr>
          <w:p w14:paraId="2BB75518"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Type A influenza</w:t>
            </w:r>
          </w:p>
        </w:tc>
        <w:tc>
          <w:tcPr>
            <w:tcW w:w="0" w:type="auto"/>
            <w:tcBorders>
              <w:top w:val="nil"/>
              <w:left w:val="nil"/>
              <w:bottom w:val="nil"/>
              <w:right w:val="nil"/>
            </w:tcBorders>
            <w:shd w:val="clear" w:color="auto" w:fill="auto"/>
            <w:noWrap/>
            <w:vAlign w:val="center"/>
            <w:hideMark/>
          </w:tcPr>
          <w:p w14:paraId="33484745"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nil"/>
              <w:right w:val="nil"/>
            </w:tcBorders>
            <w:shd w:val="clear" w:color="auto" w:fill="auto"/>
            <w:noWrap/>
            <w:vAlign w:val="center"/>
            <w:hideMark/>
          </w:tcPr>
          <w:p w14:paraId="76E2FBD4"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nil"/>
              <w:right w:val="nil"/>
            </w:tcBorders>
            <w:shd w:val="clear" w:color="auto" w:fill="auto"/>
            <w:noWrap/>
            <w:vAlign w:val="center"/>
            <w:hideMark/>
          </w:tcPr>
          <w:p w14:paraId="7CE3E514"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(3.7)</w:t>
            </w:r>
          </w:p>
        </w:tc>
        <w:tc>
          <w:tcPr>
            <w:tcW w:w="0" w:type="auto"/>
            <w:tcBorders>
              <w:top w:val="nil"/>
              <w:left w:val="nil"/>
              <w:bottom w:val="nil"/>
              <w:right w:val="nil"/>
            </w:tcBorders>
            <w:shd w:val="clear" w:color="auto" w:fill="auto"/>
            <w:noWrap/>
            <w:vAlign w:val="center"/>
            <w:hideMark/>
          </w:tcPr>
          <w:p w14:paraId="4DD83437"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r w:rsidR="00B61AC1" w:rsidRPr="00612996" w14:paraId="0BC5CC91" w14:textId="77777777" w:rsidTr="00DA5754">
        <w:trPr>
          <w:trHeight w:val="320"/>
        </w:trPr>
        <w:tc>
          <w:tcPr>
            <w:tcW w:w="0" w:type="auto"/>
            <w:tcBorders>
              <w:top w:val="nil"/>
              <w:left w:val="nil"/>
              <w:bottom w:val="single" w:sz="4" w:space="0" w:color="auto"/>
              <w:right w:val="nil"/>
            </w:tcBorders>
            <w:shd w:val="clear" w:color="auto" w:fill="auto"/>
            <w:noWrap/>
            <w:vAlign w:val="center"/>
            <w:hideMark/>
          </w:tcPr>
          <w:p w14:paraId="1BA6C180" w14:textId="77777777" w:rsidR="00B61AC1" w:rsidRPr="00612996" w:rsidRDefault="00B61AC1" w:rsidP="00DA5754">
            <w:pPr>
              <w:spacing w:after="0" w:line="360" w:lineRule="auto"/>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Methamphetamine poisoning</w:t>
            </w:r>
          </w:p>
        </w:tc>
        <w:tc>
          <w:tcPr>
            <w:tcW w:w="0" w:type="auto"/>
            <w:tcBorders>
              <w:top w:val="nil"/>
              <w:left w:val="nil"/>
              <w:bottom w:val="single" w:sz="4" w:space="0" w:color="auto"/>
              <w:right w:val="nil"/>
            </w:tcBorders>
            <w:shd w:val="clear" w:color="auto" w:fill="auto"/>
            <w:noWrap/>
            <w:vAlign w:val="center"/>
            <w:hideMark/>
          </w:tcPr>
          <w:p w14:paraId="675A01F9"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w:t>
            </w:r>
          </w:p>
        </w:tc>
        <w:tc>
          <w:tcPr>
            <w:tcW w:w="0" w:type="auto"/>
            <w:tcBorders>
              <w:top w:val="nil"/>
              <w:left w:val="nil"/>
              <w:bottom w:val="single" w:sz="4" w:space="0" w:color="auto"/>
              <w:right w:val="nil"/>
            </w:tcBorders>
            <w:shd w:val="clear" w:color="auto" w:fill="auto"/>
            <w:noWrap/>
            <w:vAlign w:val="center"/>
            <w:hideMark/>
          </w:tcPr>
          <w:p w14:paraId="030A8953"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r w:rsidRPr="00612996">
              <w:rPr>
                <w:rFonts w:ascii="Times New Roman" w:hAnsi="Times New Roman" w:cs="Times New Roman"/>
                <w:noProof/>
                <w:kern w:val="0"/>
                <w:lang w:bidi="en-US"/>
                <w14:ligatures w14:val="none"/>
              </w:rPr>
              <w:t>1 (1.4)</w:t>
            </w:r>
          </w:p>
        </w:tc>
        <w:tc>
          <w:tcPr>
            <w:tcW w:w="0" w:type="auto"/>
            <w:tcBorders>
              <w:top w:val="nil"/>
              <w:left w:val="nil"/>
              <w:bottom w:val="single" w:sz="4" w:space="0" w:color="auto"/>
              <w:right w:val="nil"/>
            </w:tcBorders>
            <w:shd w:val="clear" w:color="auto" w:fill="auto"/>
            <w:noWrap/>
            <w:vAlign w:val="center"/>
            <w:hideMark/>
          </w:tcPr>
          <w:p w14:paraId="4642DCCA"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c>
          <w:tcPr>
            <w:tcW w:w="0" w:type="auto"/>
            <w:tcBorders>
              <w:top w:val="nil"/>
              <w:left w:val="nil"/>
              <w:bottom w:val="single" w:sz="4" w:space="0" w:color="auto"/>
              <w:right w:val="nil"/>
            </w:tcBorders>
            <w:shd w:val="clear" w:color="auto" w:fill="auto"/>
            <w:noWrap/>
            <w:vAlign w:val="center"/>
            <w:hideMark/>
          </w:tcPr>
          <w:p w14:paraId="0E1D0E99" w14:textId="77777777" w:rsidR="00B61AC1" w:rsidRPr="00612996" w:rsidRDefault="00B61AC1" w:rsidP="00DA5754">
            <w:pPr>
              <w:spacing w:after="0" w:line="360" w:lineRule="auto"/>
              <w:jc w:val="center"/>
              <w:rPr>
                <w:rFonts w:ascii="Times New Roman" w:eastAsia="Times New Roman" w:hAnsi="Times New Roman" w:cs="Times New Roman"/>
                <w:noProof/>
                <w:color w:val="000000"/>
                <w:kern w:val="0"/>
                <w:lang w:eastAsia="es-MX"/>
                <w14:ligatures w14:val="none"/>
              </w:rPr>
            </w:pPr>
          </w:p>
        </w:tc>
      </w:tr>
    </w:tbl>
    <w:p w14:paraId="3E458701" w14:textId="77777777" w:rsidR="00B61AC1" w:rsidRPr="00612996" w:rsidRDefault="00B61AC1" w:rsidP="00B61AC1">
      <w:pPr>
        <w:spacing w:after="0" w:line="360" w:lineRule="auto"/>
        <w:rPr>
          <w:rFonts w:ascii="Times New Roman" w:hAnsi="Times New Roman" w:cs="Times New Roman"/>
          <w:noProof/>
        </w:rPr>
      </w:pPr>
    </w:p>
    <w:p w14:paraId="0C591146" w14:textId="77777777" w:rsidR="00B61AC1" w:rsidRDefault="00B61AC1" w:rsidP="00B61AC1"/>
    <w:p w14:paraId="4FF87116" w14:textId="77777777" w:rsidR="00B61AC1" w:rsidRDefault="00B61AC1" w:rsidP="00B61AC1"/>
    <w:p w14:paraId="09173DD9" w14:textId="77777777" w:rsidR="00B61AC1" w:rsidRPr="00D032A4" w:rsidRDefault="00B61AC1" w:rsidP="00B61AC1"/>
    <w:p w14:paraId="5BAC740A" w14:textId="5E572B3D" w:rsidR="00640693" w:rsidRDefault="00000000"/>
    <w:p w14:paraId="5122B127" w14:textId="3AF317E2" w:rsidR="00631231" w:rsidRDefault="00631231"/>
    <w:p w14:paraId="3427399B" w14:textId="55F22F62" w:rsidR="00631231" w:rsidRDefault="00631231"/>
    <w:p w14:paraId="4710B864" w14:textId="677E9C7B" w:rsidR="00631231" w:rsidRDefault="00631231"/>
    <w:p w14:paraId="7F4617CF" w14:textId="3F0C6D70" w:rsidR="00631231" w:rsidRDefault="00631231"/>
    <w:p w14:paraId="5ACF4AA9" w14:textId="77777777" w:rsidR="00631231" w:rsidRDefault="00631231"/>
    <w:p w14:paraId="7227D776" w14:textId="218BA469" w:rsidR="00631231" w:rsidRPr="0083516D" w:rsidRDefault="00631231" w:rsidP="00631231">
      <w:pPr>
        <w:rPr>
          <w:rFonts w:asciiTheme="majorHAnsi" w:hAnsiTheme="majorHAnsi"/>
          <w:b/>
          <w:bCs/>
        </w:rPr>
      </w:pPr>
      <w:r w:rsidRPr="0083516D">
        <w:rPr>
          <w:rFonts w:asciiTheme="majorHAnsi" w:hAnsiTheme="majorHAnsi"/>
          <w:b/>
          <w:bCs/>
        </w:rPr>
        <w:lastRenderedPageBreak/>
        <w:t>Supplementary Table S</w:t>
      </w:r>
      <w:r>
        <w:rPr>
          <w:rFonts w:asciiTheme="majorHAnsi" w:hAnsiTheme="majorHAnsi"/>
          <w:b/>
          <w:bCs/>
        </w:rPr>
        <w:t>2</w:t>
      </w:r>
      <w:r w:rsidRPr="0083516D">
        <w:rPr>
          <w:rFonts w:asciiTheme="majorHAnsi" w:hAnsiTheme="majorHAnsi"/>
          <w:b/>
          <w:bCs/>
        </w:rPr>
        <w:t xml:space="preserve">. Summary of Prior Studies </w:t>
      </w:r>
      <w:r>
        <w:rPr>
          <w:rFonts w:asciiTheme="majorHAnsi" w:hAnsiTheme="majorHAnsi"/>
          <w:b/>
          <w:bCs/>
        </w:rPr>
        <w:t xml:space="preserve">in AKI, ICU and ECMO population. </w:t>
      </w:r>
    </w:p>
    <w:tbl>
      <w:tblPr>
        <w:tblStyle w:val="Tabladecuadrcula4"/>
        <w:tblW w:w="0" w:type="auto"/>
        <w:tblLook w:val="04A0" w:firstRow="1" w:lastRow="0" w:firstColumn="1" w:lastColumn="0" w:noHBand="0" w:noVBand="1"/>
      </w:tblPr>
      <w:tblGrid>
        <w:gridCol w:w="1413"/>
        <w:gridCol w:w="1187"/>
        <w:gridCol w:w="541"/>
        <w:gridCol w:w="958"/>
        <w:gridCol w:w="1362"/>
        <w:gridCol w:w="1589"/>
        <w:gridCol w:w="907"/>
        <w:gridCol w:w="1964"/>
        <w:gridCol w:w="3075"/>
      </w:tblGrid>
      <w:tr w:rsidR="00631231" w:rsidRPr="00EE2100" w14:paraId="13B19260" w14:textId="77777777" w:rsidTr="009C5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hideMark/>
          </w:tcPr>
          <w:p w14:paraId="7D81B4A3" w14:textId="77777777" w:rsidR="00631231" w:rsidRPr="0083516D" w:rsidRDefault="00631231" w:rsidP="009C55F0">
            <w:pPr>
              <w:spacing w:line="278" w:lineRule="auto"/>
              <w:rPr>
                <w:rFonts w:asciiTheme="majorHAnsi" w:hAnsiTheme="majorHAnsi" w:cs="Arial"/>
                <w:sz w:val="16"/>
                <w:szCs w:val="16"/>
              </w:rPr>
            </w:pPr>
            <w:r w:rsidRPr="0083516D">
              <w:rPr>
                <w:rFonts w:asciiTheme="majorHAnsi" w:hAnsiTheme="majorHAnsi" w:cs="Arial"/>
                <w:sz w:val="16"/>
                <w:szCs w:val="16"/>
              </w:rPr>
              <w:t>Author</w:t>
            </w:r>
          </w:p>
        </w:tc>
        <w:tc>
          <w:tcPr>
            <w:tcW w:w="1187" w:type="dxa"/>
            <w:hideMark/>
          </w:tcPr>
          <w:p w14:paraId="73FBCB45" w14:textId="77777777" w:rsidR="00631231" w:rsidRPr="0083516D" w:rsidRDefault="00631231" w:rsidP="009C55F0">
            <w:pPr>
              <w:spacing w:line="278"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Study</w:t>
            </w:r>
          </w:p>
        </w:tc>
        <w:tc>
          <w:tcPr>
            <w:tcW w:w="0" w:type="auto"/>
            <w:hideMark/>
          </w:tcPr>
          <w:p w14:paraId="1DB2123A" w14:textId="77777777" w:rsidR="00631231" w:rsidRPr="0083516D" w:rsidRDefault="00631231" w:rsidP="009C55F0">
            <w:pPr>
              <w:spacing w:line="278"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Year</w:t>
            </w:r>
          </w:p>
        </w:tc>
        <w:tc>
          <w:tcPr>
            <w:tcW w:w="0" w:type="auto"/>
            <w:hideMark/>
          </w:tcPr>
          <w:p w14:paraId="5371EDCC" w14:textId="77777777" w:rsidR="00631231" w:rsidRPr="0083516D" w:rsidRDefault="00631231" w:rsidP="009C55F0">
            <w:pPr>
              <w:spacing w:line="278"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Sample Size</w:t>
            </w:r>
          </w:p>
        </w:tc>
        <w:tc>
          <w:tcPr>
            <w:tcW w:w="0" w:type="auto"/>
            <w:hideMark/>
          </w:tcPr>
          <w:p w14:paraId="54BC83D3" w14:textId="77777777" w:rsidR="00631231" w:rsidRPr="0083516D" w:rsidRDefault="00631231" w:rsidP="009C55F0">
            <w:pPr>
              <w:spacing w:line="278"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AKI definition</w:t>
            </w:r>
          </w:p>
        </w:tc>
        <w:tc>
          <w:tcPr>
            <w:tcW w:w="0" w:type="auto"/>
            <w:hideMark/>
          </w:tcPr>
          <w:p w14:paraId="5F1A11E3" w14:textId="77777777" w:rsidR="00631231" w:rsidRPr="0083516D" w:rsidRDefault="00631231" w:rsidP="009C55F0">
            <w:pPr>
              <w:spacing w:line="278"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Population</w:t>
            </w:r>
          </w:p>
        </w:tc>
        <w:tc>
          <w:tcPr>
            <w:tcW w:w="0" w:type="auto"/>
            <w:hideMark/>
          </w:tcPr>
          <w:p w14:paraId="062D2250" w14:textId="77777777" w:rsidR="00631231" w:rsidRPr="0083516D" w:rsidRDefault="00631231" w:rsidP="009C55F0">
            <w:pPr>
              <w:spacing w:line="278"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Type of ECMO</w:t>
            </w:r>
          </w:p>
        </w:tc>
        <w:tc>
          <w:tcPr>
            <w:tcW w:w="0" w:type="auto"/>
            <w:hideMark/>
          </w:tcPr>
          <w:p w14:paraId="0C89F94F" w14:textId="77777777" w:rsidR="00631231" w:rsidRPr="0083516D" w:rsidRDefault="00631231" w:rsidP="009C55F0">
            <w:pPr>
              <w:spacing w:line="278"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Primary Outcomes</w:t>
            </w:r>
          </w:p>
        </w:tc>
        <w:tc>
          <w:tcPr>
            <w:tcW w:w="0" w:type="auto"/>
            <w:hideMark/>
          </w:tcPr>
          <w:p w14:paraId="242DFF8D" w14:textId="77777777" w:rsidR="00631231" w:rsidRPr="0083516D" w:rsidRDefault="00631231" w:rsidP="009C55F0">
            <w:pPr>
              <w:spacing w:line="278"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Association with RRT</w:t>
            </w:r>
          </w:p>
        </w:tc>
      </w:tr>
      <w:tr w:rsidR="00631231" w:rsidRPr="00B7693E" w14:paraId="6C7DA144" w14:textId="77777777" w:rsidTr="009C5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1E4931A9" w14:textId="77777777" w:rsidR="00631231" w:rsidRPr="0083516D" w:rsidRDefault="00631231" w:rsidP="009C55F0">
            <w:pPr>
              <w:spacing w:line="278" w:lineRule="auto"/>
              <w:jc w:val="center"/>
              <w:rPr>
                <w:rFonts w:asciiTheme="majorHAnsi" w:hAnsiTheme="majorHAnsi" w:cs="Arial"/>
                <w:sz w:val="16"/>
                <w:szCs w:val="16"/>
              </w:rPr>
            </w:pPr>
            <w:r w:rsidRPr="0083516D">
              <w:rPr>
                <w:rFonts w:asciiTheme="majorHAnsi" w:hAnsiTheme="majorHAnsi" w:cs="Arial"/>
                <w:sz w:val="16"/>
                <w:szCs w:val="16"/>
              </w:rPr>
              <w:t>Iglesias P, et al.</w:t>
            </w:r>
            <w:r>
              <w:rPr>
                <w:rFonts w:asciiTheme="majorHAnsi" w:hAnsiTheme="majorHAnsi" w:cs="Arial"/>
                <w:sz w:val="16"/>
                <w:szCs w:val="16"/>
              </w:rPr>
              <w:t xml:space="preserve"> </w:t>
            </w:r>
            <w:r>
              <w:rPr>
                <w:rFonts w:asciiTheme="majorHAnsi" w:hAnsiTheme="majorHAnsi" w:cs="Arial"/>
                <w:sz w:val="16"/>
                <w:szCs w:val="16"/>
                <w:vertAlign w:val="superscript"/>
              </w:rPr>
              <w:t>1</w:t>
            </w:r>
          </w:p>
        </w:tc>
        <w:tc>
          <w:tcPr>
            <w:tcW w:w="1187" w:type="dxa"/>
            <w:vAlign w:val="center"/>
            <w:hideMark/>
          </w:tcPr>
          <w:p w14:paraId="7902F07D"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Prospective observational</w:t>
            </w:r>
          </w:p>
        </w:tc>
        <w:tc>
          <w:tcPr>
            <w:tcW w:w="0" w:type="auto"/>
            <w:vAlign w:val="center"/>
            <w:hideMark/>
          </w:tcPr>
          <w:p w14:paraId="00D0F249"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2013</w:t>
            </w:r>
          </w:p>
        </w:tc>
        <w:tc>
          <w:tcPr>
            <w:tcW w:w="0" w:type="auto"/>
            <w:vAlign w:val="center"/>
            <w:hideMark/>
          </w:tcPr>
          <w:p w14:paraId="6AEB8C32"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35 patients</w:t>
            </w:r>
          </w:p>
        </w:tc>
        <w:tc>
          <w:tcPr>
            <w:tcW w:w="0" w:type="auto"/>
            <w:vAlign w:val="center"/>
            <w:hideMark/>
          </w:tcPr>
          <w:p w14:paraId="696E4469"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NA (Etiology of prerenal, renal, mixed, and postrenal AKI)</w:t>
            </w:r>
          </w:p>
        </w:tc>
        <w:tc>
          <w:tcPr>
            <w:tcW w:w="0" w:type="auto"/>
            <w:vAlign w:val="center"/>
            <w:hideMark/>
          </w:tcPr>
          <w:p w14:paraId="46436B40"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Hospitalized patients with Acute Kidney Injury (AKI)</w:t>
            </w:r>
          </w:p>
        </w:tc>
        <w:tc>
          <w:tcPr>
            <w:tcW w:w="0" w:type="auto"/>
            <w:vAlign w:val="center"/>
            <w:hideMark/>
          </w:tcPr>
          <w:p w14:paraId="237660CD"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Not applicable</w:t>
            </w:r>
          </w:p>
        </w:tc>
        <w:tc>
          <w:tcPr>
            <w:tcW w:w="0" w:type="auto"/>
            <w:vAlign w:val="center"/>
            <w:hideMark/>
          </w:tcPr>
          <w:p w14:paraId="0F6C5731"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Alterations in thyroid function tests in patients with AKI.</w:t>
            </w:r>
          </w:p>
        </w:tc>
        <w:tc>
          <w:tcPr>
            <w:tcW w:w="0" w:type="auto"/>
            <w:vAlign w:val="center"/>
            <w:hideMark/>
          </w:tcPr>
          <w:p w14:paraId="4A59A78D"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The prevalence of alterations in thyroid function tests was 82% in patients with AKI. A subgroup (44%) required RRT. The need for RRT was associated with lower levels of T3 and T4.</w:t>
            </w:r>
          </w:p>
        </w:tc>
      </w:tr>
      <w:tr w:rsidR="00631231" w:rsidRPr="00B7693E" w14:paraId="07A6F31E" w14:textId="77777777" w:rsidTr="009C55F0">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2AA08DC3" w14:textId="77777777" w:rsidR="00631231" w:rsidRPr="00631231" w:rsidRDefault="00631231" w:rsidP="009C55F0">
            <w:pPr>
              <w:spacing w:line="278" w:lineRule="auto"/>
              <w:jc w:val="center"/>
              <w:rPr>
                <w:rFonts w:asciiTheme="majorHAnsi" w:hAnsiTheme="majorHAnsi" w:cs="Arial"/>
                <w:sz w:val="16"/>
                <w:szCs w:val="16"/>
                <w:vertAlign w:val="superscript"/>
                <w:lang w:val="es-CO"/>
              </w:rPr>
            </w:pPr>
            <w:proofErr w:type="spellStart"/>
            <w:r w:rsidRPr="00631231">
              <w:rPr>
                <w:rFonts w:asciiTheme="majorHAnsi" w:hAnsiTheme="majorHAnsi" w:cs="Arial"/>
                <w:sz w:val="16"/>
                <w:szCs w:val="16"/>
                <w:lang w:val="es-CO"/>
              </w:rPr>
              <w:t>Harsha</w:t>
            </w:r>
            <w:proofErr w:type="spellEnd"/>
            <w:r w:rsidRPr="00631231">
              <w:rPr>
                <w:rFonts w:asciiTheme="majorHAnsi" w:hAnsiTheme="majorHAnsi" w:cs="Arial"/>
                <w:sz w:val="16"/>
                <w:szCs w:val="16"/>
                <w:lang w:val="es-CO"/>
              </w:rPr>
              <w:t xml:space="preserve"> </w:t>
            </w:r>
            <w:proofErr w:type="spellStart"/>
            <w:r w:rsidRPr="00631231">
              <w:rPr>
                <w:rFonts w:asciiTheme="majorHAnsi" w:hAnsiTheme="majorHAnsi" w:cs="Arial"/>
                <w:sz w:val="16"/>
                <w:szCs w:val="16"/>
                <w:lang w:val="es-CO"/>
              </w:rPr>
              <w:t>Narilla</w:t>
            </w:r>
            <w:proofErr w:type="spellEnd"/>
            <w:r w:rsidRPr="00631231">
              <w:rPr>
                <w:rFonts w:asciiTheme="majorHAnsi" w:hAnsiTheme="majorHAnsi" w:cs="Arial"/>
                <w:sz w:val="16"/>
                <w:szCs w:val="16"/>
                <w:lang w:val="es-CO"/>
              </w:rPr>
              <w:t xml:space="preserve"> NSS, et al. </w:t>
            </w:r>
            <w:r w:rsidRPr="00631231">
              <w:rPr>
                <w:rFonts w:asciiTheme="majorHAnsi" w:hAnsiTheme="majorHAnsi" w:cs="Arial"/>
                <w:sz w:val="16"/>
                <w:szCs w:val="16"/>
                <w:vertAlign w:val="superscript"/>
                <w:lang w:val="es-CO"/>
              </w:rPr>
              <w:t>2</w:t>
            </w:r>
          </w:p>
        </w:tc>
        <w:tc>
          <w:tcPr>
            <w:tcW w:w="1187" w:type="dxa"/>
            <w:vAlign w:val="center"/>
            <w:hideMark/>
          </w:tcPr>
          <w:p w14:paraId="6C6B4695"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Retrospective</w:t>
            </w:r>
          </w:p>
        </w:tc>
        <w:tc>
          <w:tcPr>
            <w:tcW w:w="0" w:type="auto"/>
            <w:vAlign w:val="center"/>
            <w:hideMark/>
          </w:tcPr>
          <w:p w14:paraId="6A7FACAD"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2023</w:t>
            </w:r>
          </w:p>
        </w:tc>
        <w:tc>
          <w:tcPr>
            <w:tcW w:w="0" w:type="auto"/>
            <w:vAlign w:val="center"/>
            <w:hideMark/>
          </w:tcPr>
          <w:p w14:paraId="3F104E13"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49 patients</w:t>
            </w:r>
          </w:p>
        </w:tc>
        <w:tc>
          <w:tcPr>
            <w:tcW w:w="0" w:type="auto"/>
            <w:vAlign w:val="center"/>
            <w:hideMark/>
          </w:tcPr>
          <w:p w14:paraId="6F9017F3"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KDIGO</w:t>
            </w:r>
          </w:p>
        </w:tc>
        <w:tc>
          <w:tcPr>
            <w:tcW w:w="0" w:type="auto"/>
            <w:vAlign w:val="center"/>
            <w:hideMark/>
          </w:tcPr>
          <w:p w14:paraId="05F3B872"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Patients with hypothyroidism-induced AKI</w:t>
            </w:r>
          </w:p>
        </w:tc>
        <w:tc>
          <w:tcPr>
            <w:tcW w:w="0" w:type="auto"/>
            <w:vAlign w:val="center"/>
            <w:hideMark/>
          </w:tcPr>
          <w:p w14:paraId="71F7A7EE"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Not applicable</w:t>
            </w:r>
          </w:p>
        </w:tc>
        <w:tc>
          <w:tcPr>
            <w:tcW w:w="0" w:type="auto"/>
            <w:vAlign w:val="center"/>
            <w:hideMark/>
          </w:tcPr>
          <w:p w14:paraId="44F25058"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Prevalence and outcomes of AKI in patients with hypothyroidism.</w:t>
            </w:r>
          </w:p>
        </w:tc>
        <w:tc>
          <w:tcPr>
            <w:tcW w:w="0" w:type="auto"/>
            <w:vAlign w:val="center"/>
            <w:hideMark/>
          </w:tcPr>
          <w:p w14:paraId="1F01159D"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The prevalence of hypothyroidism-induced AKI was 1.9%. Describes the incidence of AKI requiring RRT (38.7% of the cohort) in this context.</w:t>
            </w:r>
          </w:p>
        </w:tc>
      </w:tr>
      <w:tr w:rsidR="00631231" w:rsidRPr="00B7693E" w14:paraId="2A33B751" w14:textId="77777777" w:rsidTr="009C5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2AC97987" w14:textId="77777777" w:rsidR="00631231" w:rsidRPr="006A52B3" w:rsidRDefault="00631231" w:rsidP="009C55F0">
            <w:pPr>
              <w:spacing w:line="278" w:lineRule="auto"/>
              <w:jc w:val="center"/>
              <w:rPr>
                <w:rFonts w:asciiTheme="majorHAnsi" w:hAnsiTheme="majorHAnsi" w:cs="Arial"/>
                <w:sz w:val="16"/>
                <w:szCs w:val="16"/>
                <w:vertAlign w:val="superscript"/>
              </w:rPr>
            </w:pPr>
            <w:proofErr w:type="spellStart"/>
            <w:r w:rsidRPr="0083516D">
              <w:rPr>
                <w:rFonts w:asciiTheme="majorHAnsi" w:hAnsiTheme="majorHAnsi" w:cs="Arial"/>
                <w:sz w:val="16"/>
                <w:szCs w:val="16"/>
              </w:rPr>
              <w:t>Sakaguchi</w:t>
            </w:r>
            <w:proofErr w:type="spellEnd"/>
            <w:r w:rsidRPr="0083516D">
              <w:rPr>
                <w:rFonts w:asciiTheme="majorHAnsi" w:hAnsiTheme="majorHAnsi" w:cs="Arial"/>
                <w:sz w:val="16"/>
                <w:szCs w:val="16"/>
              </w:rPr>
              <w:t xml:space="preserve"> E, et al.</w:t>
            </w:r>
            <w:r>
              <w:rPr>
                <w:rFonts w:asciiTheme="majorHAnsi" w:hAnsiTheme="majorHAnsi" w:cs="Arial"/>
                <w:sz w:val="16"/>
                <w:szCs w:val="16"/>
              </w:rPr>
              <w:t xml:space="preserve"> </w:t>
            </w:r>
            <w:r>
              <w:rPr>
                <w:rFonts w:asciiTheme="majorHAnsi" w:hAnsiTheme="majorHAnsi" w:cs="Arial"/>
                <w:sz w:val="16"/>
                <w:szCs w:val="16"/>
                <w:vertAlign w:val="superscript"/>
              </w:rPr>
              <w:t>3</w:t>
            </w:r>
          </w:p>
        </w:tc>
        <w:tc>
          <w:tcPr>
            <w:tcW w:w="1187" w:type="dxa"/>
            <w:vAlign w:val="center"/>
            <w:hideMark/>
          </w:tcPr>
          <w:p w14:paraId="0E47E94B"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Prospective observational</w:t>
            </w:r>
          </w:p>
        </w:tc>
        <w:tc>
          <w:tcPr>
            <w:tcW w:w="0" w:type="auto"/>
            <w:vAlign w:val="center"/>
            <w:hideMark/>
          </w:tcPr>
          <w:p w14:paraId="77CD8D07"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2024</w:t>
            </w:r>
          </w:p>
        </w:tc>
        <w:tc>
          <w:tcPr>
            <w:tcW w:w="0" w:type="auto"/>
            <w:vAlign w:val="center"/>
            <w:hideMark/>
          </w:tcPr>
          <w:p w14:paraId="23A83AE2"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2436 patients</w:t>
            </w:r>
          </w:p>
        </w:tc>
        <w:tc>
          <w:tcPr>
            <w:tcW w:w="0" w:type="auto"/>
            <w:vAlign w:val="center"/>
            <w:hideMark/>
          </w:tcPr>
          <w:p w14:paraId="07E7B4F7"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KDIGO</w:t>
            </w:r>
          </w:p>
        </w:tc>
        <w:tc>
          <w:tcPr>
            <w:tcW w:w="0" w:type="auto"/>
            <w:vAlign w:val="center"/>
            <w:hideMark/>
          </w:tcPr>
          <w:p w14:paraId="5F16186F"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Patients in cardiac ICU</w:t>
            </w:r>
          </w:p>
        </w:tc>
        <w:tc>
          <w:tcPr>
            <w:tcW w:w="0" w:type="auto"/>
            <w:vAlign w:val="center"/>
            <w:hideMark/>
          </w:tcPr>
          <w:p w14:paraId="6DB436B5"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Not applicable</w:t>
            </w:r>
          </w:p>
        </w:tc>
        <w:tc>
          <w:tcPr>
            <w:tcW w:w="0" w:type="auto"/>
            <w:vAlign w:val="center"/>
            <w:hideMark/>
          </w:tcPr>
          <w:p w14:paraId="35A3BC89"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To evaluate the utility of the Renal Angina Index (RAI) to predict severe AKI.</w:t>
            </w:r>
          </w:p>
        </w:tc>
        <w:tc>
          <w:tcPr>
            <w:tcW w:w="0" w:type="auto"/>
            <w:vAlign w:val="center"/>
            <w:hideMark/>
          </w:tcPr>
          <w:p w14:paraId="65849422"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The need for RRT is part of the composite outcome of ""severe AKI"" (KDIGO 2-3) that the RAI aims to predict.</w:t>
            </w:r>
          </w:p>
        </w:tc>
      </w:tr>
      <w:tr w:rsidR="00631231" w:rsidRPr="00B7693E" w14:paraId="4044CF62" w14:textId="77777777" w:rsidTr="009C55F0">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1D0C6589" w14:textId="77777777" w:rsidR="00631231" w:rsidRPr="006A52B3" w:rsidRDefault="00631231" w:rsidP="009C55F0">
            <w:pPr>
              <w:spacing w:line="278" w:lineRule="auto"/>
              <w:jc w:val="center"/>
              <w:rPr>
                <w:rFonts w:asciiTheme="majorHAnsi" w:hAnsiTheme="majorHAnsi" w:cs="Arial"/>
                <w:sz w:val="16"/>
                <w:szCs w:val="16"/>
                <w:vertAlign w:val="superscript"/>
              </w:rPr>
            </w:pPr>
            <w:r w:rsidRPr="0083516D">
              <w:rPr>
                <w:rFonts w:asciiTheme="majorHAnsi" w:hAnsiTheme="majorHAnsi" w:cs="Arial"/>
                <w:sz w:val="16"/>
                <w:szCs w:val="16"/>
              </w:rPr>
              <w:t>Mitra S, et al.</w:t>
            </w:r>
            <w:r>
              <w:rPr>
                <w:rFonts w:asciiTheme="majorHAnsi" w:hAnsiTheme="majorHAnsi" w:cs="Arial"/>
                <w:sz w:val="16"/>
                <w:szCs w:val="16"/>
              </w:rPr>
              <w:t xml:space="preserve"> </w:t>
            </w:r>
            <w:r>
              <w:rPr>
                <w:rFonts w:asciiTheme="majorHAnsi" w:hAnsiTheme="majorHAnsi" w:cs="Arial"/>
                <w:sz w:val="16"/>
                <w:szCs w:val="16"/>
                <w:vertAlign w:val="superscript"/>
              </w:rPr>
              <w:t>4</w:t>
            </w:r>
          </w:p>
        </w:tc>
        <w:tc>
          <w:tcPr>
            <w:tcW w:w="1187" w:type="dxa"/>
            <w:vAlign w:val="center"/>
            <w:hideMark/>
          </w:tcPr>
          <w:p w14:paraId="7F9FFAB4"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Systematic review and Meta-analysis</w:t>
            </w:r>
          </w:p>
        </w:tc>
        <w:tc>
          <w:tcPr>
            <w:tcW w:w="0" w:type="auto"/>
            <w:vAlign w:val="center"/>
            <w:hideMark/>
          </w:tcPr>
          <w:p w14:paraId="3761C599"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2021</w:t>
            </w:r>
          </w:p>
        </w:tc>
        <w:tc>
          <w:tcPr>
            <w:tcW w:w="0" w:type="auto"/>
            <w:vAlign w:val="center"/>
            <w:hideMark/>
          </w:tcPr>
          <w:p w14:paraId="3CE66250"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55 studies (17,213 patients)</w:t>
            </w:r>
          </w:p>
        </w:tc>
        <w:tc>
          <w:tcPr>
            <w:tcW w:w="0" w:type="auto"/>
            <w:vAlign w:val="center"/>
            <w:hideMark/>
          </w:tcPr>
          <w:p w14:paraId="6D5667D5"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RRT</w:t>
            </w:r>
          </w:p>
        </w:tc>
        <w:tc>
          <w:tcPr>
            <w:tcW w:w="0" w:type="auto"/>
            <w:vAlign w:val="center"/>
            <w:hideMark/>
          </w:tcPr>
          <w:p w14:paraId="26DA4F3D"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Patients on ECMO</w:t>
            </w:r>
          </w:p>
        </w:tc>
        <w:tc>
          <w:tcPr>
            <w:tcW w:w="0" w:type="auto"/>
            <w:vAlign w:val="center"/>
            <w:hideMark/>
          </w:tcPr>
          <w:p w14:paraId="201EB08D"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 and V-V</w:t>
            </w:r>
          </w:p>
        </w:tc>
        <w:tc>
          <w:tcPr>
            <w:tcW w:w="0" w:type="auto"/>
            <w:vAlign w:val="center"/>
            <w:hideMark/>
          </w:tcPr>
          <w:p w14:paraId="5467DF72"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Mortality in patients on ECMO receiving concurrent RRT.</w:t>
            </w:r>
          </w:p>
        </w:tc>
        <w:tc>
          <w:tcPr>
            <w:tcW w:w="0" w:type="auto"/>
            <w:vAlign w:val="center"/>
            <w:hideMark/>
          </w:tcPr>
          <w:p w14:paraId="2FF40A88"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The use of RRT was associated with higher mortality, likely as a marker of disease severity.</w:t>
            </w:r>
          </w:p>
        </w:tc>
      </w:tr>
      <w:tr w:rsidR="00631231" w:rsidRPr="006A52B3" w14:paraId="2931848B" w14:textId="77777777" w:rsidTr="009C5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2AD4C37C" w14:textId="77777777" w:rsidR="00631231" w:rsidRPr="006A52B3" w:rsidRDefault="00631231" w:rsidP="009C55F0">
            <w:pPr>
              <w:spacing w:line="278" w:lineRule="auto"/>
              <w:jc w:val="center"/>
              <w:rPr>
                <w:rFonts w:asciiTheme="majorHAnsi" w:hAnsiTheme="majorHAnsi" w:cs="Arial"/>
                <w:sz w:val="16"/>
                <w:szCs w:val="16"/>
                <w:vertAlign w:val="superscript"/>
              </w:rPr>
            </w:pPr>
            <w:proofErr w:type="spellStart"/>
            <w:r w:rsidRPr="0083516D">
              <w:rPr>
                <w:rFonts w:asciiTheme="majorHAnsi" w:hAnsiTheme="majorHAnsi" w:cs="Arial"/>
                <w:sz w:val="16"/>
                <w:szCs w:val="16"/>
              </w:rPr>
              <w:t>Rajsic</w:t>
            </w:r>
            <w:proofErr w:type="spellEnd"/>
            <w:r w:rsidRPr="0083516D">
              <w:rPr>
                <w:rFonts w:asciiTheme="majorHAnsi" w:hAnsiTheme="majorHAnsi" w:cs="Arial"/>
                <w:sz w:val="16"/>
                <w:szCs w:val="16"/>
              </w:rPr>
              <w:t xml:space="preserve"> S, et al.</w:t>
            </w:r>
            <w:r>
              <w:rPr>
                <w:rFonts w:asciiTheme="majorHAnsi" w:hAnsiTheme="majorHAnsi" w:cs="Arial"/>
                <w:sz w:val="16"/>
                <w:szCs w:val="16"/>
              </w:rPr>
              <w:t xml:space="preserve"> </w:t>
            </w:r>
            <w:r>
              <w:rPr>
                <w:rFonts w:asciiTheme="majorHAnsi" w:hAnsiTheme="majorHAnsi" w:cs="Arial"/>
                <w:sz w:val="16"/>
                <w:szCs w:val="16"/>
                <w:vertAlign w:val="superscript"/>
              </w:rPr>
              <w:t>5</w:t>
            </w:r>
          </w:p>
        </w:tc>
        <w:tc>
          <w:tcPr>
            <w:tcW w:w="1187" w:type="dxa"/>
            <w:vAlign w:val="center"/>
            <w:hideMark/>
          </w:tcPr>
          <w:p w14:paraId="3F5C4091"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Meta-analysis</w:t>
            </w:r>
          </w:p>
        </w:tc>
        <w:tc>
          <w:tcPr>
            <w:tcW w:w="0" w:type="auto"/>
            <w:vAlign w:val="center"/>
            <w:hideMark/>
          </w:tcPr>
          <w:p w14:paraId="5125D051"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2022</w:t>
            </w:r>
          </w:p>
        </w:tc>
        <w:tc>
          <w:tcPr>
            <w:tcW w:w="0" w:type="auto"/>
            <w:vAlign w:val="center"/>
            <w:hideMark/>
          </w:tcPr>
          <w:p w14:paraId="32B5A4DE"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32 studies (12,756 patients)</w:t>
            </w:r>
          </w:p>
        </w:tc>
        <w:tc>
          <w:tcPr>
            <w:tcW w:w="0" w:type="auto"/>
            <w:vAlign w:val="center"/>
            <w:hideMark/>
          </w:tcPr>
          <w:p w14:paraId="7D82B2A2"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RIFLE, AKIN, KDIGO, RRT</w:t>
            </w:r>
          </w:p>
        </w:tc>
        <w:tc>
          <w:tcPr>
            <w:tcW w:w="0" w:type="auto"/>
            <w:vAlign w:val="center"/>
            <w:hideMark/>
          </w:tcPr>
          <w:p w14:paraId="1A0BF6D3"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Patients with cardiogenic shock</w:t>
            </w:r>
          </w:p>
        </w:tc>
        <w:tc>
          <w:tcPr>
            <w:tcW w:w="0" w:type="auto"/>
            <w:vAlign w:val="center"/>
            <w:hideMark/>
          </w:tcPr>
          <w:p w14:paraId="5808CDCC"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w:t>
            </w:r>
          </w:p>
        </w:tc>
        <w:tc>
          <w:tcPr>
            <w:tcW w:w="0" w:type="auto"/>
            <w:vAlign w:val="center"/>
            <w:hideMark/>
          </w:tcPr>
          <w:p w14:paraId="64CC0072"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Mortality and complications.</w:t>
            </w:r>
          </w:p>
        </w:tc>
        <w:tc>
          <w:tcPr>
            <w:tcW w:w="0" w:type="auto"/>
            <w:vAlign w:val="center"/>
            <w:hideMark/>
          </w:tcPr>
          <w:p w14:paraId="013A007E"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AKI requiring RRT is one of the most frequent complications, associated with worse outcomes.</w:t>
            </w:r>
          </w:p>
        </w:tc>
      </w:tr>
      <w:tr w:rsidR="00631231" w:rsidRPr="006A52B3" w14:paraId="12C4BA4C" w14:textId="77777777" w:rsidTr="009C55F0">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6BB686C3" w14:textId="77777777" w:rsidR="00631231" w:rsidRPr="006A52B3" w:rsidRDefault="00631231" w:rsidP="009C55F0">
            <w:pPr>
              <w:spacing w:line="278" w:lineRule="auto"/>
              <w:jc w:val="center"/>
              <w:rPr>
                <w:rFonts w:asciiTheme="majorHAnsi" w:hAnsiTheme="majorHAnsi" w:cs="Arial"/>
                <w:sz w:val="16"/>
                <w:szCs w:val="16"/>
                <w:vertAlign w:val="superscript"/>
              </w:rPr>
            </w:pPr>
            <w:r w:rsidRPr="0083516D">
              <w:rPr>
                <w:rFonts w:asciiTheme="majorHAnsi" w:hAnsiTheme="majorHAnsi" w:cs="Arial"/>
                <w:sz w:val="16"/>
                <w:szCs w:val="16"/>
              </w:rPr>
              <w:t>Chen W, et al.</w:t>
            </w:r>
            <w:r>
              <w:rPr>
                <w:rFonts w:asciiTheme="majorHAnsi" w:hAnsiTheme="majorHAnsi" w:cs="Arial"/>
                <w:sz w:val="16"/>
                <w:szCs w:val="16"/>
              </w:rPr>
              <w:t xml:space="preserve"> </w:t>
            </w:r>
            <w:r>
              <w:rPr>
                <w:rFonts w:asciiTheme="majorHAnsi" w:hAnsiTheme="majorHAnsi" w:cs="Arial"/>
                <w:sz w:val="16"/>
                <w:szCs w:val="16"/>
                <w:vertAlign w:val="superscript"/>
              </w:rPr>
              <w:t>6</w:t>
            </w:r>
          </w:p>
        </w:tc>
        <w:tc>
          <w:tcPr>
            <w:tcW w:w="1187" w:type="dxa"/>
            <w:vAlign w:val="center"/>
            <w:hideMark/>
          </w:tcPr>
          <w:p w14:paraId="545CCA02"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Retrospective cohort</w:t>
            </w:r>
            <w:r>
              <w:rPr>
                <w:rFonts w:asciiTheme="majorHAnsi" w:hAnsiTheme="majorHAnsi" w:cs="Arial"/>
                <w:sz w:val="16"/>
                <w:szCs w:val="16"/>
              </w:rPr>
              <w:t xml:space="preserve"> study</w:t>
            </w:r>
          </w:p>
        </w:tc>
        <w:tc>
          <w:tcPr>
            <w:tcW w:w="0" w:type="auto"/>
            <w:vAlign w:val="center"/>
            <w:hideMark/>
          </w:tcPr>
          <w:p w14:paraId="06BE84D3"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2023</w:t>
            </w:r>
          </w:p>
        </w:tc>
        <w:tc>
          <w:tcPr>
            <w:tcW w:w="0" w:type="auto"/>
            <w:vAlign w:val="center"/>
            <w:hideMark/>
          </w:tcPr>
          <w:p w14:paraId="55FA3AD0"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373 patients</w:t>
            </w:r>
          </w:p>
        </w:tc>
        <w:tc>
          <w:tcPr>
            <w:tcW w:w="0" w:type="auto"/>
            <w:vAlign w:val="center"/>
            <w:hideMark/>
          </w:tcPr>
          <w:p w14:paraId="7BAF252F"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KDIGO</w:t>
            </w:r>
          </w:p>
        </w:tc>
        <w:tc>
          <w:tcPr>
            <w:tcW w:w="0" w:type="auto"/>
            <w:vAlign w:val="center"/>
            <w:hideMark/>
          </w:tcPr>
          <w:p w14:paraId="0932844C"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Adult patients on ECMO</w:t>
            </w:r>
          </w:p>
        </w:tc>
        <w:tc>
          <w:tcPr>
            <w:tcW w:w="0" w:type="auto"/>
            <w:vAlign w:val="center"/>
            <w:hideMark/>
          </w:tcPr>
          <w:p w14:paraId="720A13C6"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 and V-V</w:t>
            </w:r>
          </w:p>
        </w:tc>
        <w:tc>
          <w:tcPr>
            <w:tcW w:w="0" w:type="auto"/>
            <w:vAlign w:val="center"/>
            <w:hideMark/>
          </w:tcPr>
          <w:p w14:paraId="07A58DAA"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Independent risk factors for the development of AKI.</w:t>
            </w:r>
          </w:p>
        </w:tc>
        <w:tc>
          <w:tcPr>
            <w:tcW w:w="0" w:type="auto"/>
            <w:vAlign w:val="center"/>
            <w:hideMark/>
          </w:tcPr>
          <w:p w14:paraId="75387A9C"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Identifies predictors of AKI, which is the main indication for initiating RRT.</w:t>
            </w:r>
          </w:p>
        </w:tc>
      </w:tr>
      <w:tr w:rsidR="00631231" w:rsidRPr="006A52B3" w14:paraId="114F24A4" w14:textId="77777777" w:rsidTr="009C5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202BA065" w14:textId="77777777" w:rsidR="00631231" w:rsidRPr="006A52B3" w:rsidRDefault="00631231" w:rsidP="009C55F0">
            <w:pPr>
              <w:spacing w:line="278" w:lineRule="auto"/>
              <w:jc w:val="center"/>
              <w:rPr>
                <w:rFonts w:asciiTheme="majorHAnsi" w:hAnsiTheme="majorHAnsi" w:cs="Arial"/>
                <w:sz w:val="16"/>
                <w:szCs w:val="16"/>
                <w:vertAlign w:val="superscript"/>
              </w:rPr>
            </w:pPr>
            <w:proofErr w:type="spellStart"/>
            <w:r w:rsidRPr="0083516D">
              <w:rPr>
                <w:rFonts w:asciiTheme="majorHAnsi" w:hAnsiTheme="majorHAnsi" w:cs="Arial"/>
                <w:sz w:val="16"/>
                <w:szCs w:val="16"/>
              </w:rPr>
              <w:t>Thongprayoon</w:t>
            </w:r>
            <w:proofErr w:type="spellEnd"/>
            <w:r w:rsidRPr="0083516D">
              <w:rPr>
                <w:rFonts w:asciiTheme="majorHAnsi" w:hAnsiTheme="majorHAnsi" w:cs="Arial"/>
                <w:sz w:val="16"/>
                <w:szCs w:val="16"/>
              </w:rPr>
              <w:t xml:space="preserve"> C, et al.</w:t>
            </w:r>
            <w:r>
              <w:rPr>
                <w:rFonts w:asciiTheme="majorHAnsi" w:hAnsiTheme="majorHAnsi" w:cs="Arial"/>
                <w:sz w:val="16"/>
                <w:szCs w:val="16"/>
              </w:rPr>
              <w:t xml:space="preserve"> </w:t>
            </w:r>
            <w:r>
              <w:rPr>
                <w:rFonts w:asciiTheme="majorHAnsi" w:hAnsiTheme="majorHAnsi" w:cs="Arial"/>
                <w:sz w:val="16"/>
                <w:szCs w:val="16"/>
                <w:vertAlign w:val="superscript"/>
              </w:rPr>
              <w:t>7</w:t>
            </w:r>
          </w:p>
        </w:tc>
        <w:tc>
          <w:tcPr>
            <w:tcW w:w="1187" w:type="dxa"/>
            <w:vAlign w:val="center"/>
            <w:hideMark/>
          </w:tcPr>
          <w:p w14:paraId="44B511AA"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B23C4C">
              <w:rPr>
                <w:rFonts w:asciiTheme="majorHAnsi" w:hAnsiTheme="majorHAnsi" w:cs="Arial"/>
                <w:sz w:val="16"/>
                <w:szCs w:val="16"/>
              </w:rPr>
              <w:t>Meta-analysis on AKI in ECMO</w:t>
            </w:r>
          </w:p>
        </w:tc>
        <w:tc>
          <w:tcPr>
            <w:tcW w:w="0" w:type="auto"/>
            <w:vAlign w:val="center"/>
            <w:hideMark/>
          </w:tcPr>
          <w:p w14:paraId="717391D4"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2019</w:t>
            </w:r>
          </w:p>
        </w:tc>
        <w:tc>
          <w:tcPr>
            <w:tcW w:w="0" w:type="auto"/>
            <w:vAlign w:val="center"/>
            <w:hideMark/>
          </w:tcPr>
          <w:p w14:paraId="79AE6181"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38 studies (14,035 patients)</w:t>
            </w:r>
          </w:p>
        </w:tc>
        <w:tc>
          <w:tcPr>
            <w:tcW w:w="0" w:type="auto"/>
            <w:vAlign w:val="center"/>
            <w:hideMark/>
          </w:tcPr>
          <w:p w14:paraId="31DF9CDB"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RIFLE, AKIN, KDIGO</w:t>
            </w:r>
          </w:p>
        </w:tc>
        <w:tc>
          <w:tcPr>
            <w:tcW w:w="0" w:type="auto"/>
            <w:vAlign w:val="center"/>
            <w:hideMark/>
          </w:tcPr>
          <w:p w14:paraId="6A91554C"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Patients on ECMO</w:t>
            </w:r>
          </w:p>
        </w:tc>
        <w:tc>
          <w:tcPr>
            <w:tcW w:w="0" w:type="auto"/>
            <w:vAlign w:val="center"/>
            <w:hideMark/>
          </w:tcPr>
          <w:p w14:paraId="64823959"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 and V-V</w:t>
            </w:r>
          </w:p>
        </w:tc>
        <w:tc>
          <w:tcPr>
            <w:tcW w:w="0" w:type="auto"/>
            <w:vAlign w:val="center"/>
            <w:hideMark/>
          </w:tcPr>
          <w:p w14:paraId="72DEE505"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Incidence and prognostic impact of AKI.</w:t>
            </w:r>
          </w:p>
        </w:tc>
        <w:tc>
          <w:tcPr>
            <w:tcW w:w="0" w:type="auto"/>
            <w:vAlign w:val="center"/>
            <w:hideMark/>
          </w:tcPr>
          <w:p w14:paraId="6C04DAEA"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The need for RRT was associated with a significantly higher risk of mortality (OR 4.54).</w:t>
            </w:r>
          </w:p>
        </w:tc>
      </w:tr>
      <w:tr w:rsidR="00631231" w:rsidRPr="006A52B3" w14:paraId="5F080FF4" w14:textId="77777777" w:rsidTr="009C55F0">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243D7522" w14:textId="77777777" w:rsidR="00631231" w:rsidRPr="006A52B3" w:rsidRDefault="00631231" w:rsidP="009C55F0">
            <w:pPr>
              <w:spacing w:line="278" w:lineRule="auto"/>
              <w:jc w:val="center"/>
              <w:rPr>
                <w:rFonts w:asciiTheme="majorHAnsi" w:hAnsiTheme="majorHAnsi" w:cs="Arial"/>
                <w:sz w:val="16"/>
                <w:szCs w:val="16"/>
                <w:vertAlign w:val="superscript"/>
              </w:rPr>
            </w:pPr>
            <w:proofErr w:type="spellStart"/>
            <w:r w:rsidRPr="0083516D">
              <w:rPr>
                <w:rFonts w:asciiTheme="majorHAnsi" w:hAnsiTheme="majorHAnsi" w:cs="Arial"/>
                <w:sz w:val="16"/>
                <w:szCs w:val="16"/>
              </w:rPr>
              <w:t>Vinclair</w:t>
            </w:r>
            <w:proofErr w:type="spellEnd"/>
            <w:r w:rsidRPr="0083516D">
              <w:rPr>
                <w:rFonts w:asciiTheme="majorHAnsi" w:hAnsiTheme="majorHAnsi" w:cs="Arial"/>
                <w:sz w:val="16"/>
                <w:szCs w:val="16"/>
              </w:rPr>
              <w:t xml:space="preserve"> C, et al.</w:t>
            </w:r>
            <w:r>
              <w:rPr>
                <w:rFonts w:asciiTheme="majorHAnsi" w:hAnsiTheme="majorHAnsi" w:cs="Arial"/>
                <w:sz w:val="16"/>
                <w:szCs w:val="16"/>
              </w:rPr>
              <w:t xml:space="preserve"> </w:t>
            </w:r>
            <w:r>
              <w:rPr>
                <w:rFonts w:asciiTheme="majorHAnsi" w:hAnsiTheme="majorHAnsi" w:cs="Arial"/>
                <w:sz w:val="16"/>
                <w:szCs w:val="16"/>
                <w:vertAlign w:val="superscript"/>
              </w:rPr>
              <w:t>8</w:t>
            </w:r>
          </w:p>
        </w:tc>
        <w:tc>
          <w:tcPr>
            <w:tcW w:w="1187" w:type="dxa"/>
            <w:vAlign w:val="center"/>
            <w:hideMark/>
          </w:tcPr>
          <w:p w14:paraId="64C34CC0"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Retrospective cohort</w:t>
            </w:r>
            <w:r>
              <w:rPr>
                <w:rFonts w:asciiTheme="majorHAnsi" w:hAnsiTheme="majorHAnsi" w:cs="Arial"/>
                <w:sz w:val="16"/>
                <w:szCs w:val="16"/>
              </w:rPr>
              <w:t>.</w:t>
            </w:r>
          </w:p>
        </w:tc>
        <w:tc>
          <w:tcPr>
            <w:tcW w:w="0" w:type="auto"/>
            <w:vAlign w:val="center"/>
            <w:hideMark/>
          </w:tcPr>
          <w:p w14:paraId="336452D1"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2020</w:t>
            </w:r>
          </w:p>
        </w:tc>
        <w:tc>
          <w:tcPr>
            <w:tcW w:w="0" w:type="auto"/>
            <w:vAlign w:val="center"/>
            <w:hideMark/>
          </w:tcPr>
          <w:p w14:paraId="2AC9F970"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141 patients</w:t>
            </w:r>
          </w:p>
        </w:tc>
        <w:tc>
          <w:tcPr>
            <w:tcW w:w="0" w:type="auto"/>
            <w:vAlign w:val="center"/>
            <w:hideMark/>
          </w:tcPr>
          <w:p w14:paraId="21730B8A"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KDIGO (360 days)</w:t>
            </w:r>
          </w:p>
        </w:tc>
        <w:tc>
          <w:tcPr>
            <w:tcW w:w="0" w:type="auto"/>
            <w:vAlign w:val="center"/>
            <w:hideMark/>
          </w:tcPr>
          <w:p w14:paraId="558E7C68"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 xml:space="preserve">Adult patients on </w:t>
            </w:r>
            <w:proofErr w:type="spellStart"/>
            <w:r w:rsidRPr="0083516D">
              <w:rPr>
                <w:rFonts w:asciiTheme="majorHAnsi" w:hAnsiTheme="majorHAnsi" w:cs="Arial"/>
                <w:sz w:val="16"/>
                <w:szCs w:val="16"/>
              </w:rPr>
              <w:t>Veno</w:t>
            </w:r>
            <w:proofErr w:type="spellEnd"/>
            <w:r w:rsidRPr="0083516D">
              <w:rPr>
                <w:rFonts w:asciiTheme="majorHAnsi" w:hAnsiTheme="majorHAnsi" w:cs="Arial"/>
                <w:sz w:val="16"/>
                <w:szCs w:val="16"/>
              </w:rPr>
              <w:t>-Arterial ECMO</w:t>
            </w:r>
          </w:p>
        </w:tc>
        <w:tc>
          <w:tcPr>
            <w:tcW w:w="0" w:type="auto"/>
            <w:vAlign w:val="center"/>
            <w:hideMark/>
          </w:tcPr>
          <w:p w14:paraId="5647825D"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w:t>
            </w:r>
          </w:p>
        </w:tc>
        <w:tc>
          <w:tcPr>
            <w:tcW w:w="0" w:type="auto"/>
            <w:vAlign w:val="center"/>
            <w:hideMark/>
          </w:tcPr>
          <w:p w14:paraId="106108CC"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Factors associated with major adverse kidney events (MAKE).</w:t>
            </w:r>
          </w:p>
        </w:tc>
        <w:tc>
          <w:tcPr>
            <w:tcW w:w="0" w:type="auto"/>
            <w:vAlign w:val="center"/>
            <w:hideMark/>
          </w:tcPr>
          <w:p w14:paraId="759B39DF"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RRT is a component of the primary outcome (MAKE) and is associated with worse outcomes.</w:t>
            </w:r>
          </w:p>
        </w:tc>
      </w:tr>
      <w:tr w:rsidR="00631231" w:rsidRPr="006A52B3" w14:paraId="0C65DD04" w14:textId="77777777" w:rsidTr="009C5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5358EBDD" w14:textId="77777777" w:rsidR="00631231" w:rsidRPr="006A52B3" w:rsidRDefault="00631231" w:rsidP="009C55F0">
            <w:pPr>
              <w:spacing w:line="278" w:lineRule="auto"/>
              <w:jc w:val="center"/>
              <w:rPr>
                <w:rFonts w:asciiTheme="majorHAnsi" w:hAnsiTheme="majorHAnsi" w:cs="Arial"/>
                <w:sz w:val="16"/>
                <w:szCs w:val="16"/>
                <w:vertAlign w:val="superscript"/>
              </w:rPr>
            </w:pPr>
            <w:proofErr w:type="spellStart"/>
            <w:r w:rsidRPr="0083516D">
              <w:rPr>
                <w:rFonts w:asciiTheme="majorHAnsi" w:hAnsiTheme="majorHAnsi" w:cs="Arial"/>
                <w:sz w:val="16"/>
                <w:szCs w:val="16"/>
              </w:rPr>
              <w:lastRenderedPageBreak/>
              <w:t>Mou</w:t>
            </w:r>
            <w:proofErr w:type="spellEnd"/>
            <w:r w:rsidRPr="0083516D">
              <w:rPr>
                <w:rFonts w:asciiTheme="majorHAnsi" w:hAnsiTheme="majorHAnsi" w:cs="Arial"/>
                <w:sz w:val="16"/>
                <w:szCs w:val="16"/>
              </w:rPr>
              <w:t xml:space="preserve"> Z, et al.</w:t>
            </w:r>
            <w:r>
              <w:rPr>
                <w:rFonts w:asciiTheme="majorHAnsi" w:hAnsiTheme="majorHAnsi" w:cs="Arial"/>
                <w:sz w:val="16"/>
                <w:szCs w:val="16"/>
              </w:rPr>
              <w:t xml:space="preserve"> </w:t>
            </w:r>
            <w:r>
              <w:rPr>
                <w:rFonts w:asciiTheme="majorHAnsi" w:hAnsiTheme="majorHAnsi" w:cs="Arial"/>
                <w:sz w:val="16"/>
                <w:szCs w:val="16"/>
                <w:vertAlign w:val="superscript"/>
              </w:rPr>
              <w:t>9</w:t>
            </w:r>
          </w:p>
        </w:tc>
        <w:tc>
          <w:tcPr>
            <w:tcW w:w="1187" w:type="dxa"/>
            <w:vAlign w:val="center"/>
            <w:hideMark/>
          </w:tcPr>
          <w:p w14:paraId="155D7087"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Systematic review and Meta-analysis</w:t>
            </w:r>
          </w:p>
        </w:tc>
        <w:tc>
          <w:tcPr>
            <w:tcW w:w="0" w:type="auto"/>
            <w:vAlign w:val="center"/>
            <w:hideMark/>
          </w:tcPr>
          <w:p w14:paraId="3CB2AC75"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2022</w:t>
            </w:r>
          </w:p>
        </w:tc>
        <w:tc>
          <w:tcPr>
            <w:tcW w:w="0" w:type="auto"/>
            <w:vAlign w:val="center"/>
            <w:hideMark/>
          </w:tcPr>
          <w:p w14:paraId="2D8ECDEF"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10 studies (4559 patients)</w:t>
            </w:r>
          </w:p>
        </w:tc>
        <w:tc>
          <w:tcPr>
            <w:tcW w:w="0" w:type="auto"/>
            <w:vAlign w:val="center"/>
            <w:hideMark/>
          </w:tcPr>
          <w:p w14:paraId="5A7F23F6"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AKIN, RIFLE-F, KDIGO/RRT</w:t>
            </w:r>
          </w:p>
        </w:tc>
        <w:tc>
          <w:tcPr>
            <w:tcW w:w="0" w:type="auto"/>
            <w:vAlign w:val="center"/>
            <w:hideMark/>
          </w:tcPr>
          <w:p w14:paraId="5A9381E9"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Patients on ECMO</w:t>
            </w:r>
          </w:p>
        </w:tc>
        <w:tc>
          <w:tcPr>
            <w:tcW w:w="0" w:type="auto"/>
            <w:vAlign w:val="center"/>
            <w:hideMark/>
          </w:tcPr>
          <w:p w14:paraId="67EBB6E9"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 and V-V</w:t>
            </w:r>
          </w:p>
        </w:tc>
        <w:tc>
          <w:tcPr>
            <w:tcW w:w="0" w:type="auto"/>
            <w:vAlign w:val="center"/>
            <w:hideMark/>
          </w:tcPr>
          <w:p w14:paraId="58D4FEBB"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Risk factors for the development of AKI.</w:t>
            </w:r>
          </w:p>
        </w:tc>
        <w:tc>
          <w:tcPr>
            <w:tcW w:w="0" w:type="auto"/>
            <w:vAlign w:val="center"/>
            <w:hideMark/>
          </w:tcPr>
          <w:p w14:paraId="7E3D2FF6"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The incidence of AKI/severe AKI was higher in older ECMO patients or those with a higher APACHE II score.</w:t>
            </w:r>
          </w:p>
        </w:tc>
      </w:tr>
      <w:tr w:rsidR="00631231" w:rsidRPr="006A52B3" w14:paraId="3ADB6711" w14:textId="77777777" w:rsidTr="009C55F0">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3ADCA49E" w14:textId="77777777" w:rsidR="00631231" w:rsidRPr="006A52B3" w:rsidRDefault="00631231" w:rsidP="009C55F0">
            <w:pPr>
              <w:spacing w:line="278" w:lineRule="auto"/>
              <w:jc w:val="center"/>
              <w:rPr>
                <w:rFonts w:asciiTheme="majorHAnsi" w:hAnsiTheme="majorHAnsi" w:cs="Arial"/>
                <w:sz w:val="16"/>
                <w:szCs w:val="16"/>
                <w:vertAlign w:val="superscript"/>
              </w:rPr>
            </w:pPr>
            <w:r w:rsidRPr="0083516D">
              <w:rPr>
                <w:rFonts w:asciiTheme="majorHAnsi" w:hAnsiTheme="majorHAnsi" w:cs="Arial"/>
                <w:sz w:val="16"/>
                <w:szCs w:val="16"/>
              </w:rPr>
              <w:t>Tsai TY, et al.</w:t>
            </w:r>
            <w:r>
              <w:rPr>
                <w:rFonts w:asciiTheme="majorHAnsi" w:hAnsiTheme="majorHAnsi" w:cs="Arial"/>
                <w:sz w:val="16"/>
                <w:szCs w:val="16"/>
              </w:rPr>
              <w:t xml:space="preserve"> </w:t>
            </w:r>
            <w:r>
              <w:rPr>
                <w:rFonts w:asciiTheme="majorHAnsi" w:hAnsiTheme="majorHAnsi" w:cs="Arial"/>
                <w:sz w:val="16"/>
                <w:szCs w:val="16"/>
                <w:vertAlign w:val="superscript"/>
              </w:rPr>
              <w:t>10</w:t>
            </w:r>
          </w:p>
        </w:tc>
        <w:tc>
          <w:tcPr>
            <w:tcW w:w="1187" w:type="dxa"/>
            <w:vAlign w:val="center"/>
            <w:hideMark/>
          </w:tcPr>
          <w:p w14:paraId="3DA403C9"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Retrospective cohort</w:t>
            </w:r>
            <w:r>
              <w:rPr>
                <w:rFonts w:asciiTheme="majorHAnsi" w:hAnsiTheme="majorHAnsi" w:cs="Arial"/>
                <w:sz w:val="16"/>
                <w:szCs w:val="16"/>
              </w:rPr>
              <w:t xml:space="preserve"> study</w:t>
            </w:r>
          </w:p>
        </w:tc>
        <w:tc>
          <w:tcPr>
            <w:tcW w:w="0" w:type="auto"/>
            <w:vAlign w:val="center"/>
            <w:hideMark/>
          </w:tcPr>
          <w:p w14:paraId="58320D4F"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2017</w:t>
            </w:r>
          </w:p>
        </w:tc>
        <w:tc>
          <w:tcPr>
            <w:tcW w:w="0" w:type="auto"/>
            <w:vAlign w:val="center"/>
            <w:hideMark/>
          </w:tcPr>
          <w:p w14:paraId="133580FE"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401 patients</w:t>
            </w:r>
          </w:p>
        </w:tc>
        <w:tc>
          <w:tcPr>
            <w:tcW w:w="0" w:type="auto"/>
            <w:vAlign w:val="center"/>
            <w:hideMark/>
          </w:tcPr>
          <w:p w14:paraId="06A25C54"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RIFLE, AKIN, KDIGO</w:t>
            </w:r>
          </w:p>
        </w:tc>
        <w:tc>
          <w:tcPr>
            <w:tcW w:w="0" w:type="auto"/>
            <w:vAlign w:val="center"/>
            <w:hideMark/>
          </w:tcPr>
          <w:p w14:paraId="1DBCC401"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Adult patients on ECMO</w:t>
            </w:r>
          </w:p>
        </w:tc>
        <w:tc>
          <w:tcPr>
            <w:tcW w:w="0" w:type="auto"/>
            <w:vAlign w:val="center"/>
            <w:hideMark/>
          </w:tcPr>
          <w:p w14:paraId="6DB82AC2"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w:t>
            </w:r>
          </w:p>
        </w:tc>
        <w:tc>
          <w:tcPr>
            <w:tcW w:w="0" w:type="auto"/>
            <w:vAlign w:val="center"/>
            <w:hideMark/>
          </w:tcPr>
          <w:p w14:paraId="4D4D50DB"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To compare the prognostic ability of RIFLE, AKIN, and KDIGO classifications.</w:t>
            </w:r>
          </w:p>
        </w:tc>
        <w:tc>
          <w:tcPr>
            <w:tcW w:w="0" w:type="auto"/>
            <w:vAlign w:val="center"/>
            <w:hideMark/>
          </w:tcPr>
          <w:p w14:paraId="2A23CF7B"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RRT is the most severe stage in all 3 classifications and was strongly associated with mortality.</w:t>
            </w:r>
          </w:p>
        </w:tc>
      </w:tr>
      <w:tr w:rsidR="00631231" w:rsidRPr="006A52B3" w14:paraId="18FDA604" w14:textId="77777777" w:rsidTr="009C5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0E0DD8A9" w14:textId="77777777" w:rsidR="00631231" w:rsidRPr="006A52B3" w:rsidRDefault="00631231" w:rsidP="009C55F0">
            <w:pPr>
              <w:spacing w:line="278" w:lineRule="auto"/>
              <w:jc w:val="center"/>
              <w:rPr>
                <w:rFonts w:asciiTheme="majorHAnsi" w:hAnsiTheme="majorHAnsi" w:cs="Arial"/>
                <w:sz w:val="16"/>
                <w:szCs w:val="16"/>
                <w:vertAlign w:val="superscript"/>
              </w:rPr>
            </w:pPr>
            <w:r w:rsidRPr="0083516D">
              <w:rPr>
                <w:rFonts w:asciiTheme="majorHAnsi" w:hAnsiTheme="majorHAnsi" w:cs="Arial"/>
                <w:sz w:val="16"/>
                <w:szCs w:val="16"/>
              </w:rPr>
              <w:t>Sharma S, et al.</w:t>
            </w:r>
            <w:r>
              <w:rPr>
                <w:rFonts w:asciiTheme="majorHAnsi" w:hAnsiTheme="majorHAnsi" w:cs="Arial"/>
                <w:sz w:val="16"/>
                <w:szCs w:val="16"/>
              </w:rPr>
              <w:t xml:space="preserve"> </w:t>
            </w:r>
            <w:r>
              <w:rPr>
                <w:rFonts w:asciiTheme="majorHAnsi" w:hAnsiTheme="majorHAnsi" w:cs="Arial"/>
                <w:sz w:val="16"/>
                <w:szCs w:val="16"/>
                <w:vertAlign w:val="superscript"/>
              </w:rPr>
              <w:t>11</w:t>
            </w:r>
          </w:p>
        </w:tc>
        <w:tc>
          <w:tcPr>
            <w:tcW w:w="1187" w:type="dxa"/>
            <w:vAlign w:val="center"/>
            <w:hideMark/>
          </w:tcPr>
          <w:p w14:paraId="443D8AEF"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Secondary analysis of a clinical trial</w:t>
            </w:r>
          </w:p>
        </w:tc>
        <w:tc>
          <w:tcPr>
            <w:tcW w:w="0" w:type="auto"/>
            <w:vAlign w:val="center"/>
            <w:hideMark/>
          </w:tcPr>
          <w:p w14:paraId="0807CDDE"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2020</w:t>
            </w:r>
          </w:p>
        </w:tc>
        <w:tc>
          <w:tcPr>
            <w:tcW w:w="0" w:type="auto"/>
            <w:vAlign w:val="center"/>
            <w:hideMark/>
          </w:tcPr>
          <w:p w14:paraId="2E71655D"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1124 patients</w:t>
            </w:r>
          </w:p>
        </w:tc>
        <w:tc>
          <w:tcPr>
            <w:tcW w:w="0" w:type="auto"/>
            <w:vAlign w:val="center"/>
            <w:hideMark/>
          </w:tcPr>
          <w:p w14:paraId="4F4A5E9A"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RRT</w:t>
            </w:r>
          </w:p>
        </w:tc>
        <w:tc>
          <w:tcPr>
            <w:tcW w:w="0" w:type="auto"/>
            <w:vAlign w:val="center"/>
            <w:hideMark/>
          </w:tcPr>
          <w:p w14:paraId="731C0E29"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Critically ill patients with AKI and Respiratory Failure</w:t>
            </w:r>
          </w:p>
        </w:tc>
        <w:tc>
          <w:tcPr>
            <w:tcW w:w="0" w:type="auto"/>
            <w:vAlign w:val="center"/>
            <w:hideMark/>
          </w:tcPr>
          <w:p w14:paraId="16584165"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Not applicable</w:t>
            </w:r>
          </w:p>
        </w:tc>
        <w:tc>
          <w:tcPr>
            <w:tcW w:w="0" w:type="auto"/>
            <w:vAlign w:val="center"/>
            <w:hideMark/>
          </w:tcPr>
          <w:p w14:paraId="52D174F7"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Association between RRT intensity and duration of mechanical ventilation.</w:t>
            </w:r>
          </w:p>
        </w:tc>
        <w:tc>
          <w:tcPr>
            <w:tcW w:w="0" w:type="auto"/>
            <w:vAlign w:val="center"/>
            <w:hideMark/>
          </w:tcPr>
          <w:p w14:paraId="48810730"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Critically ill patients on mechanical ventilation who were randomly assigned to more intensive RRT had a longer duration of mechanical ventilation compared to those assigned to less intensive RRT.</w:t>
            </w:r>
          </w:p>
        </w:tc>
      </w:tr>
      <w:tr w:rsidR="00631231" w:rsidRPr="006A52B3" w14:paraId="7592563F" w14:textId="77777777" w:rsidTr="009C55F0">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55D6984E" w14:textId="77777777" w:rsidR="00631231" w:rsidRPr="006A52B3" w:rsidRDefault="00631231" w:rsidP="009C55F0">
            <w:pPr>
              <w:spacing w:line="278" w:lineRule="auto"/>
              <w:jc w:val="center"/>
              <w:rPr>
                <w:rFonts w:asciiTheme="majorHAnsi" w:hAnsiTheme="majorHAnsi" w:cs="Arial"/>
                <w:sz w:val="16"/>
                <w:szCs w:val="16"/>
                <w:vertAlign w:val="superscript"/>
              </w:rPr>
            </w:pPr>
            <w:proofErr w:type="spellStart"/>
            <w:r w:rsidRPr="0083516D">
              <w:rPr>
                <w:rFonts w:asciiTheme="majorHAnsi" w:hAnsiTheme="majorHAnsi" w:cs="Arial"/>
                <w:sz w:val="16"/>
                <w:szCs w:val="16"/>
              </w:rPr>
              <w:t>Schiffl</w:t>
            </w:r>
            <w:proofErr w:type="spellEnd"/>
            <w:r w:rsidRPr="0083516D">
              <w:rPr>
                <w:rFonts w:asciiTheme="majorHAnsi" w:hAnsiTheme="majorHAnsi" w:cs="Arial"/>
                <w:sz w:val="16"/>
                <w:szCs w:val="16"/>
              </w:rPr>
              <w:t xml:space="preserve"> H, et al.</w:t>
            </w:r>
            <w:r>
              <w:rPr>
                <w:rFonts w:asciiTheme="majorHAnsi" w:hAnsiTheme="majorHAnsi" w:cs="Arial"/>
                <w:sz w:val="16"/>
                <w:szCs w:val="16"/>
              </w:rPr>
              <w:t xml:space="preserve"> </w:t>
            </w:r>
            <w:r>
              <w:rPr>
                <w:rFonts w:asciiTheme="majorHAnsi" w:hAnsiTheme="majorHAnsi" w:cs="Arial"/>
                <w:sz w:val="16"/>
                <w:szCs w:val="16"/>
                <w:vertAlign w:val="superscript"/>
              </w:rPr>
              <w:t>12</w:t>
            </w:r>
          </w:p>
        </w:tc>
        <w:tc>
          <w:tcPr>
            <w:tcW w:w="1187" w:type="dxa"/>
            <w:vAlign w:val="center"/>
            <w:hideMark/>
          </w:tcPr>
          <w:p w14:paraId="249DD2A9"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Prospective observational</w:t>
            </w:r>
          </w:p>
        </w:tc>
        <w:tc>
          <w:tcPr>
            <w:tcW w:w="0" w:type="auto"/>
            <w:vAlign w:val="center"/>
            <w:hideMark/>
          </w:tcPr>
          <w:p w14:paraId="55A76D91"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2013</w:t>
            </w:r>
          </w:p>
        </w:tc>
        <w:tc>
          <w:tcPr>
            <w:tcW w:w="0" w:type="auto"/>
            <w:vAlign w:val="center"/>
            <w:hideMark/>
          </w:tcPr>
          <w:p w14:paraId="13233B28"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289 patients</w:t>
            </w:r>
          </w:p>
        </w:tc>
        <w:tc>
          <w:tcPr>
            <w:tcW w:w="0" w:type="auto"/>
            <w:vAlign w:val="center"/>
            <w:hideMark/>
          </w:tcPr>
          <w:p w14:paraId="49A11B16"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RRT, RIFLE class F.</w:t>
            </w:r>
          </w:p>
        </w:tc>
        <w:tc>
          <w:tcPr>
            <w:tcW w:w="0" w:type="auto"/>
            <w:vAlign w:val="center"/>
            <w:hideMark/>
          </w:tcPr>
          <w:p w14:paraId="4499059D"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Critically ill patients with AKI</w:t>
            </w:r>
          </w:p>
        </w:tc>
        <w:tc>
          <w:tcPr>
            <w:tcW w:w="0" w:type="auto"/>
            <w:vAlign w:val="center"/>
            <w:hideMark/>
          </w:tcPr>
          <w:p w14:paraId="3D794415"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Not applicable</w:t>
            </w:r>
          </w:p>
        </w:tc>
        <w:tc>
          <w:tcPr>
            <w:tcW w:w="0" w:type="auto"/>
            <w:vAlign w:val="center"/>
            <w:hideMark/>
          </w:tcPr>
          <w:p w14:paraId="7035B09E"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Effect of severe hypophosphatemia during RRT on outcomes.</w:t>
            </w:r>
          </w:p>
        </w:tc>
        <w:tc>
          <w:tcPr>
            <w:tcW w:w="0" w:type="auto"/>
            <w:vAlign w:val="center"/>
            <w:hideMark/>
          </w:tcPr>
          <w:p w14:paraId="56C5992E"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RRT-induced hypophosphatemia was associated with worse outcomes and higher mortality.</w:t>
            </w:r>
          </w:p>
        </w:tc>
      </w:tr>
      <w:tr w:rsidR="00631231" w:rsidRPr="006A52B3" w14:paraId="18ED06B1" w14:textId="77777777" w:rsidTr="009C5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0A03953E" w14:textId="77777777" w:rsidR="00631231" w:rsidRPr="006A52B3" w:rsidRDefault="00631231" w:rsidP="009C55F0">
            <w:pPr>
              <w:spacing w:line="278" w:lineRule="auto"/>
              <w:jc w:val="center"/>
              <w:rPr>
                <w:rFonts w:asciiTheme="majorHAnsi" w:hAnsiTheme="majorHAnsi" w:cs="Arial"/>
                <w:sz w:val="16"/>
                <w:szCs w:val="16"/>
                <w:vertAlign w:val="superscript"/>
              </w:rPr>
            </w:pPr>
            <w:proofErr w:type="spellStart"/>
            <w:r w:rsidRPr="0083516D">
              <w:rPr>
                <w:rFonts w:asciiTheme="majorHAnsi" w:hAnsiTheme="majorHAnsi" w:cs="Arial"/>
                <w:sz w:val="16"/>
                <w:szCs w:val="16"/>
              </w:rPr>
              <w:t>Borasino</w:t>
            </w:r>
            <w:proofErr w:type="spellEnd"/>
            <w:r w:rsidRPr="0083516D">
              <w:rPr>
                <w:rFonts w:asciiTheme="majorHAnsi" w:hAnsiTheme="majorHAnsi" w:cs="Arial"/>
                <w:sz w:val="16"/>
                <w:szCs w:val="16"/>
              </w:rPr>
              <w:t xml:space="preserve"> S, et al.</w:t>
            </w:r>
            <w:r>
              <w:rPr>
                <w:rFonts w:asciiTheme="majorHAnsi" w:hAnsiTheme="majorHAnsi" w:cs="Arial"/>
                <w:sz w:val="16"/>
                <w:szCs w:val="16"/>
              </w:rPr>
              <w:t xml:space="preserve"> </w:t>
            </w:r>
            <w:r>
              <w:rPr>
                <w:rFonts w:asciiTheme="majorHAnsi" w:hAnsiTheme="majorHAnsi" w:cs="Arial"/>
                <w:sz w:val="16"/>
                <w:szCs w:val="16"/>
                <w:vertAlign w:val="superscript"/>
              </w:rPr>
              <w:t>13</w:t>
            </w:r>
          </w:p>
        </w:tc>
        <w:tc>
          <w:tcPr>
            <w:tcW w:w="1187" w:type="dxa"/>
            <w:vAlign w:val="center"/>
            <w:hideMark/>
          </w:tcPr>
          <w:p w14:paraId="468123CB"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Retrospective cohort</w:t>
            </w:r>
            <w:r>
              <w:rPr>
                <w:rFonts w:asciiTheme="majorHAnsi" w:hAnsiTheme="majorHAnsi" w:cs="Arial"/>
                <w:sz w:val="16"/>
                <w:szCs w:val="16"/>
              </w:rPr>
              <w:t xml:space="preserve"> study</w:t>
            </w:r>
          </w:p>
        </w:tc>
        <w:tc>
          <w:tcPr>
            <w:tcW w:w="0" w:type="auto"/>
            <w:vAlign w:val="center"/>
            <w:hideMark/>
          </w:tcPr>
          <w:p w14:paraId="63470C65"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2018</w:t>
            </w:r>
          </w:p>
        </w:tc>
        <w:tc>
          <w:tcPr>
            <w:tcW w:w="0" w:type="auto"/>
            <w:vAlign w:val="center"/>
            <w:hideMark/>
          </w:tcPr>
          <w:p w14:paraId="37B35CE1"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50 patients</w:t>
            </w:r>
          </w:p>
        </w:tc>
        <w:tc>
          <w:tcPr>
            <w:tcW w:w="0" w:type="auto"/>
            <w:vAlign w:val="center"/>
            <w:hideMark/>
          </w:tcPr>
          <w:p w14:paraId="76FEE393"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RRT</w:t>
            </w:r>
          </w:p>
        </w:tc>
        <w:tc>
          <w:tcPr>
            <w:tcW w:w="0" w:type="auto"/>
            <w:vAlign w:val="center"/>
            <w:hideMark/>
          </w:tcPr>
          <w:p w14:paraId="2B6D7551"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Pediatric population with cardiac ECMO</w:t>
            </w:r>
          </w:p>
        </w:tc>
        <w:tc>
          <w:tcPr>
            <w:tcW w:w="0" w:type="auto"/>
            <w:vAlign w:val="center"/>
            <w:hideMark/>
          </w:tcPr>
          <w:p w14:paraId="213A6218"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w:t>
            </w:r>
          </w:p>
        </w:tc>
        <w:tc>
          <w:tcPr>
            <w:tcW w:w="0" w:type="auto"/>
            <w:vAlign w:val="center"/>
            <w:hideMark/>
          </w:tcPr>
          <w:p w14:paraId="57D1F900"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Impact of hemolysis on AKI and mortality.</w:t>
            </w:r>
          </w:p>
        </w:tc>
        <w:tc>
          <w:tcPr>
            <w:tcW w:w="0" w:type="auto"/>
            <w:vAlign w:val="center"/>
            <w:hideMark/>
          </w:tcPr>
          <w:p w14:paraId="2D4A5D60"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Hemolysis was associated with a higher risk of severe AKI (including the need for RRT).</w:t>
            </w:r>
          </w:p>
        </w:tc>
      </w:tr>
      <w:tr w:rsidR="00631231" w:rsidRPr="00EE2100" w14:paraId="458ADD0D" w14:textId="77777777" w:rsidTr="009C55F0">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58266D78" w14:textId="77777777" w:rsidR="00631231" w:rsidRPr="006A52B3" w:rsidRDefault="00631231" w:rsidP="009C55F0">
            <w:pPr>
              <w:spacing w:line="278" w:lineRule="auto"/>
              <w:jc w:val="center"/>
              <w:rPr>
                <w:rFonts w:asciiTheme="majorHAnsi" w:hAnsiTheme="majorHAnsi" w:cs="Arial"/>
                <w:sz w:val="16"/>
                <w:szCs w:val="16"/>
                <w:vertAlign w:val="superscript"/>
              </w:rPr>
            </w:pPr>
            <w:r w:rsidRPr="0083516D">
              <w:rPr>
                <w:rFonts w:asciiTheme="majorHAnsi" w:hAnsiTheme="majorHAnsi" w:cs="Arial"/>
                <w:sz w:val="16"/>
                <w:szCs w:val="16"/>
              </w:rPr>
              <w:t>Schmidt M, et al.</w:t>
            </w:r>
            <w:r>
              <w:rPr>
                <w:rFonts w:asciiTheme="majorHAnsi" w:hAnsiTheme="majorHAnsi" w:cs="Arial"/>
                <w:sz w:val="16"/>
                <w:szCs w:val="16"/>
              </w:rPr>
              <w:t xml:space="preserve"> </w:t>
            </w:r>
            <w:r>
              <w:rPr>
                <w:rFonts w:asciiTheme="majorHAnsi" w:hAnsiTheme="majorHAnsi" w:cs="Arial"/>
                <w:sz w:val="16"/>
                <w:szCs w:val="16"/>
                <w:vertAlign w:val="superscript"/>
              </w:rPr>
              <w:t>14</w:t>
            </w:r>
          </w:p>
        </w:tc>
        <w:tc>
          <w:tcPr>
            <w:tcW w:w="1187" w:type="dxa"/>
            <w:vAlign w:val="center"/>
            <w:hideMark/>
          </w:tcPr>
          <w:p w14:paraId="55428523"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Retrospective observational study</w:t>
            </w:r>
          </w:p>
        </w:tc>
        <w:tc>
          <w:tcPr>
            <w:tcW w:w="0" w:type="auto"/>
            <w:vAlign w:val="center"/>
            <w:hideMark/>
          </w:tcPr>
          <w:p w14:paraId="73FA62CF"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2014</w:t>
            </w:r>
          </w:p>
        </w:tc>
        <w:tc>
          <w:tcPr>
            <w:tcW w:w="0" w:type="auto"/>
            <w:vAlign w:val="center"/>
            <w:hideMark/>
          </w:tcPr>
          <w:p w14:paraId="67AD89E5"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172 patients</w:t>
            </w:r>
          </w:p>
        </w:tc>
        <w:tc>
          <w:tcPr>
            <w:tcW w:w="0" w:type="auto"/>
            <w:vAlign w:val="center"/>
            <w:hideMark/>
          </w:tcPr>
          <w:p w14:paraId="07900936"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RIFLE, RRT</w:t>
            </w:r>
          </w:p>
        </w:tc>
        <w:tc>
          <w:tcPr>
            <w:tcW w:w="0" w:type="auto"/>
            <w:vAlign w:val="center"/>
            <w:hideMark/>
          </w:tcPr>
          <w:p w14:paraId="3BBE0920"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Adult patients on ECMO</w:t>
            </w:r>
          </w:p>
        </w:tc>
        <w:tc>
          <w:tcPr>
            <w:tcW w:w="0" w:type="auto"/>
            <w:vAlign w:val="center"/>
            <w:hideMark/>
          </w:tcPr>
          <w:p w14:paraId="0470E66C"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 and V-V</w:t>
            </w:r>
          </w:p>
        </w:tc>
        <w:tc>
          <w:tcPr>
            <w:tcW w:w="0" w:type="auto"/>
            <w:vAlign w:val="center"/>
            <w:hideMark/>
          </w:tcPr>
          <w:p w14:paraId="7A446FE2"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Impact of fluid balance on outcomes.</w:t>
            </w:r>
          </w:p>
        </w:tc>
        <w:tc>
          <w:tcPr>
            <w:tcW w:w="0" w:type="auto"/>
            <w:vAlign w:val="center"/>
            <w:hideMark/>
          </w:tcPr>
          <w:p w14:paraId="2E852937" w14:textId="77777777" w:rsidR="00631231" w:rsidRPr="0083516D" w:rsidRDefault="00631231" w:rsidP="009C55F0">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An early positive fluid balance, especially on day 3, is a strong independent predictor of 90-day mortality during ECMO. RRT is a tool to manage this balance.</w:t>
            </w:r>
          </w:p>
        </w:tc>
      </w:tr>
      <w:tr w:rsidR="00631231" w:rsidRPr="006A52B3" w14:paraId="6FED35B1" w14:textId="77777777" w:rsidTr="009C5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hideMark/>
          </w:tcPr>
          <w:p w14:paraId="7B4F0CCB" w14:textId="77777777" w:rsidR="00631231" w:rsidRPr="006A52B3" w:rsidRDefault="00631231" w:rsidP="009C55F0">
            <w:pPr>
              <w:spacing w:line="278" w:lineRule="auto"/>
              <w:jc w:val="center"/>
              <w:rPr>
                <w:rFonts w:asciiTheme="majorHAnsi" w:hAnsiTheme="majorHAnsi" w:cs="Arial"/>
                <w:sz w:val="16"/>
                <w:szCs w:val="16"/>
                <w:vertAlign w:val="superscript"/>
              </w:rPr>
            </w:pPr>
            <w:proofErr w:type="spellStart"/>
            <w:r w:rsidRPr="0083516D">
              <w:rPr>
                <w:rFonts w:asciiTheme="majorHAnsi" w:hAnsiTheme="majorHAnsi" w:cs="Arial"/>
                <w:sz w:val="16"/>
                <w:szCs w:val="16"/>
              </w:rPr>
              <w:t>Staudacher</w:t>
            </w:r>
            <w:proofErr w:type="spellEnd"/>
            <w:r w:rsidRPr="0083516D">
              <w:rPr>
                <w:rFonts w:asciiTheme="majorHAnsi" w:hAnsiTheme="majorHAnsi" w:cs="Arial"/>
                <w:sz w:val="16"/>
                <w:szCs w:val="16"/>
              </w:rPr>
              <w:t xml:space="preserve"> DL, et al.</w:t>
            </w:r>
            <w:r>
              <w:rPr>
                <w:rFonts w:asciiTheme="majorHAnsi" w:hAnsiTheme="majorHAnsi" w:cs="Arial"/>
                <w:sz w:val="16"/>
                <w:szCs w:val="16"/>
              </w:rPr>
              <w:t xml:space="preserve"> </w:t>
            </w:r>
            <w:r>
              <w:rPr>
                <w:rFonts w:asciiTheme="majorHAnsi" w:hAnsiTheme="majorHAnsi" w:cs="Arial"/>
                <w:sz w:val="16"/>
                <w:szCs w:val="16"/>
                <w:vertAlign w:val="superscript"/>
              </w:rPr>
              <w:t>15</w:t>
            </w:r>
          </w:p>
        </w:tc>
        <w:tc>
          <w:tcPr>
            <w:tcW w:w="1187" w:type="dxa"/>
            <w:vAlign w:val="center"/>
            <w:hideMark/>
          </w:tcPr>
          <w:p w14:paraId="22AAB61E"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Retrospective cohort</w:t>
            </w:r>
            <w:r>
              <w:rPr>
                <w:rFonts w:asciiTheme="majorHAnsi" w:hAnsiTheme="majorHAnsi" w:cs="Arial"/>
                <w:sz w:val="16"/>
                <w:szCs w:val="16"/>
              </w:rPr>
              <w:t xml:space="preserve"> study</w:t>
            </w:r>
          </w:p>
        </w:tc>
        <w:tc>
          <w:tcPr>
            <w:tcW w:w="0" w:type="auto"/>
            <w:vAlign w:val="center"/>
            <w:hideMark/>
          </w:tcPr>
          <w:p w14:paraId="0A1965CF"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2017</w:t>
            </w:r>
          </w:p>
        </w:tc>
        <w:tc>
          <w:tcPr>
            <w:tcW w:w="0" w:type="auto"/>
            <w:vAlign w:val="center"/>
            <w:hideMark/>
          </w:tcPr>
          <w:p w14:paraId="0B635F90"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195 patients</w:t>
            </w:r>
          </w:p>
        </w:tc>
        <w:tc>
          <w:tcPr>
            <w:tcW w:w="0" w:type="auto"/>
            <w:vAlign w:val="center"/>
            <w:hideMark/>
          </w:tcPr>
          <w:p w14:paraId="7E55D4FA"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Not applicable</w:t>
            </w:r>
          </w:p>
        </w:tc>
        <w:tc>
          <w:tcPr>
            <w:tcW w:w="0" w:type="auto"/>
            <w:vAlign w:val="center"/>
            <w:hideMark/>
          </w:tcPr>
          <w:p w14:paraId="3DD86778"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 xml:space="preserve">Adult patients on </w:t>
            </w:r>
            <w:proofErr w:type="spellStart"/>
            <w:r w:rsidRPr="0083516D">
              <w:rPr>
                <w:rFonts w:asciiTheme="majorHAnsi" w:hAnsiTheme="majorHAnsi" w:cs="Arial"/>
                <w:sz w:val="16"/>
                <w:szCs w:val="16"/>
              </w:rPr>
              <w:t>Veno</w:t>
            </w:r>
            <w:proofErr w:type="spellEnd"/>
            <w:r w:rsidRPr="0083516D">
              <w:rPr>
                <w:rFonts w:asciiTheme="majorHAnsi" w:hAnsiTheme="majorHAnsi" w:cs="Arial"/>
                <w:sz w:val="16"/>
                <w:szCs w:val="16"/>
              </w:rPr>
              <w:t>-Arterial ECMO</w:t>
            </w:r>
          </w:p>
        </w:tc>
        <w:tc>
          <w:tcPr>
            <w:tcW w:w="0" w:type="auto"/>
            <w:vAlign w:val="center"/>
            <w:hideMark/>
          </w:tcPr>
          <w:p w14:paraId="320628C2"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V-A</w:t>
            </w:r>
          </w:p>
        </w:tc>
        <w:tc>
          <w:tcPr>
            <w:tcW w:w="0" w:type="auto"/>
            <w:vAlign w:val="center"/>
            <w:hideMark/>
          </w:tcPr>
          <w:p w14:paraId="31565CDD"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Impact of early fluid resuscitation on outcomes.</w:t>
            </w:r>
          </w:p>
        </w:tc>
        <w:tc>
          <w:tcPr>
            <w:tcW w:w="0" w:type="auto"/>
            <w:vAlign w:val="center"/>
            <w:hideMark/>
          </w:tcPr>
          <w:p w14:paraId="59356193" w14:textId="77777777" w:rsidR="00631231" w:rsidRPr="0083516D" w:rsidRDefault="00631231" w:rsidP="009C55F0">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szCs w:val="16"/>
              </w:rPr>
            </w:pPr>
            <w:r w:rsidRPr="0083516D">
              <w:rPr>
                <w:rFonts w:asciiTheme="majorHAnsi" w:hAnsiTheme="majorHAnsi" w:cs="Arial"/>
                <w:sz w:val="16"/>
                <w:szCs w:val="16"/>
              </w:rPr>
              <w:t>A positive fluid balance in the first 24h was associated with severe AKI and the need for RRT.</w:t>
            </w:r>
          </w:p>
        </w:tc>
      </w:tr>
    </w:tbl>
    <w:p w14:paraId="7A31B9B7" w14:textId="77777777" w:rsidR="00631231" w:rsidRPr="00EE2100" w:rsidRDefault="00631231" w:rsidP="00631231">
      <w:pPr>
        <w:rPr>
          <w:rFonts w:asciiTheme="majorHAnsi" w:hAnsiTheme="majorHAnsi"/>
        </w:rPr>
      </w:pPr>
    </w:p>
    <w:p w14:paraId="60AE8968" w14:textId="77777777" w:rsidR="00631231" w:rsidRPr="00EE2100" w:rsidRDefault="00631231" w:rsidP="00631231">
      <w:pPr>
        <w:jc w:val="both"/>
        <w:rPr>
          <w:rFonts w:asciiTheme="majorHAnsi" w:hAnsiTheme="majorHAnsi"/>
          <w:b/>
          <w:bCs/>
        </w:rPr>
      </w:pPr>
      <w:r w:rsidRPr="00EE2100">
        <w:rPr>
          <w:rFonts w:asciiTheme="majorHAnsi" w:hAnsiTheme="majorHAnsi"/>
          <w:b/>
          <w:bCs/>
        </w:rPr>
        <w:t>Reference</w:t>
      </w:r>
    </w:p>
    <w:p w14:paraId="22DA323A" w14:textId="77777777" w:rsidR="00631231" w:rsidRPr="00EE2100" w:rsidRDefault="00631231" w:rsidP="00631231">
      <w:pPr>
        <w:jc w:val="both"/>
        <w:rPr>
          <w:rFonts w:asciiTheme="majorHAnsi" w:hAnsiTheme="majorHAnsi"/>
        </w:rPr>
      </w:pPr>
    </w:p>
    <w:p w14:paraId="27C58D93"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r w:rsidRPr="006A52B3">
        <w:rPr>
          <w:rFonts w:asciiTheme="majorHAnsi" w:eastAsia="Times New Roman" w:hAnsiTheme="majorHAnsi"/>
        </w:rPr>
        <w:t xml:space="preserve">Iglesias P, Olea T, Vega-Cabrera C, Heras M, Bajo MA, del Peso G, et al. </w:t>
      </w:r>
      <w:r w:rsidRPr="006A52B3">
        <w:rPr>
          <w:rFonts w:asciiTheme="majorHAnsi" w:eastAsia="Times New Roman" w:hAnsiTheme="majorHAnsi"/>
          <w:lang w:val="en-US"/>
        </w:rPr>
        <w:t xml:space="preserve">Thyroid function tests in acute kidney injury. J Nephrol. 2013;26(1). </w:t>
      </w:r>
    </w:p>
    <w:p w14:paraId="60D50436" w14:textId="77777777" w:rsidR="00631231" w:rsidRDefault="00631231" w:rsidP="00631231">
      <w:pPr>
        <w:autoSpaceDE w:val="0"/>
        <w:autoSpaceDN w:val="0"/>
        <w:ind w:hanging="640"/>
        <w:jc w:val="both"/>
        <w:rPr>
          <w:rFonts w:asciiTheme="majorHAnsi" w:eastAsia="Times New Roman" w:hAnsiTheme="majorHAnsi"/>
        </w:rPr>
      </w:pPr>
    </w:p>
    <w:p w14:paraId="670F7437"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r w:rsidRPr="006A52B3">
        <w:rPr>
          <w:rFonts w:asciiTheme="majorHAnsi" w:eastAsia="Times New Roman" w:hAnsiTheme="majorHAnsi"/>
          <w:lang w:val="en-US"/>
        </w:rPr>
        <w:t xml:space="preserve">Harsha </w:t>
      </w:r>
      <w:proofErr w:type="spellStart"/>
      <w:r w:rsidRPr="006A52B3">
        <w:rPr>
          <w:rFonts w:asciiTheme="majorHAnsi" w:eastAsia="Times New Roman" w:hAnsiTheme="majorHAnsi"/>
          <w:lang w:val="en-US"/>
        </w:rPr>
        <w:t>Narilla</w:t>
      </w:r>
      <w:proofErr w:type="spellEnd"/>
      <w:r w:rsidRPr="006A52B3">
        <w:rPr>
          <w:rFonts w:asciiTheme="majorHAnsi" w:eastAsia="Times New Roman" w:hAnsiTheme="majorHAnsi"/>
          <w:lang w:val="en-US"/>
        </w:rPr>
        <w:t xml:space="preserve"> NSS, </w:t>
      </w:r>
      <w:proofErr w:type="spellStart"/>
      <w:r w:rsidRPr="006A52B3">
        <w:rPr>
          <w:rFonts w:asciiTheme="majorHAnsi" w:eastAsia="Times New Roman" w:hAnsiTheme="majorHAnsi"/>
          <w:lang w:val="en-US"/>
        </w:rPr>
        <w:t>Ramineni</w:t>
      </w:r>
      <w:proofErr w:type="spellEnd"/>
      <w:r w:rsidRPr="006A52B3">
        <w:rPr>
          <w:rFonts w:asciiTheme="majorHAnsi" w:eastAsia="Times New Roman" w:hAnsiTheme="majorHAnsi"/>
          <w:lang w:val="en-US"/>
        </w:rPr>
        <w:t xml:space="preserve"> S, Yarlagadda S, </w:t>
      </w:r>
      <w:proofErr w:type="spellStart"/>
      <w:r w:rsidRPr="006A52B3">
        <w:rPr>
          <w:rFonts w:asciiTheme="majorHAnsi" w:eastAsia="Times New Roman" w:hAnsiTheme="majorHAnsi"/>
          <w:lang w:val="en-US"/>
        </w:rPr>
        <w:t>Bandi</w:t>
      </w:r>
      <w:proofErr w:type="spellEnd"/>
      <w:r w:rsidRPr="006A52B3">
        <w:rPr>
          <w:rFonts w:asciiTheme="majorHAnsi" w:eastAsia="Times New Roman" w:hAnsiTheme="majorHAnsi"/>
          <w:lang w:val="en-US"/>
        </w:rPr>
        <w:t xml:space="preserve"> VK. Prevalence and outcomes of hypothyroidism-induced acute kidney injury. Clin Nephrol. 2023;99(4). </w:t>
      </w:r>
    </w:p>
    <w:p w14:paraId="56EA51B3"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r w:rsidRPr="00631231">
        <w:rPr>
          <w:rFonts w:asciiTheme="majorHAnsi" w:eastAsia="Times New Roman" w:hAnsiTheme="majorHAnsi"/>
        </w:rPr>
        <w:t xml:space="preserve">Sakaguchi E, </w:t>
      </w:r>
      <w:proofErr w:type="spellStart"/>
      <w:r w:rsidRPr="00631231">
        <w:rPr>
          <w:rFonts w:asciiTheme="majorHAnsi" w:eastAsia="Times New Roman" w:hAnsiTheme="majorHAnsi"/>
        </w:rPr>
        <w:t>Naruse</w:t>
      </w:r>
      <w:proofErr w:type="spellEnd"/>
      <w:r w:rsidRPr="00631231">
        <w:rPr>
          <w:rFonts w:asciiTheme="majorHAnsi" w:eastAsia="Times New Roman" w:hAnsiTheme="majorHAnsi"/>
        </w:rPr>
        <w:t xml:space="preserve"> H, Ishihara Y, </w:t>
      </w:r>
      <w:proofErr w:type="spellStart"/>
      <w:r w:rsidRPr="00631231">
        <w:rPr>
          <w:rFonts w:asciiTheme="majorHAnsi" w:eastAsia="Times New Roman" w:hAnsiTheme="majorHAnsi"/>
        </w:rPr>
        <w:t>Hattori</w:t>
      </w:r>
      <w:proofErr w:type="spellEnd"/>
      <w:r w:rsidRPr="00631231">
        <w:rPr>
          <w:rFonts w:asciiTheme="majorHAnsi" w:eastAsia="Times New Roman" w:hAnsiTheme="majorHAnsi"/>
        </w:rPr>
        <w:t xml:space="preserve"> H, </w:t>
      </w:r>
      <w:proofErr w:type="spellStart"/>
      <w:r w:rsidRPr="00631231">
        <w:rPr>
          <w:rFonts w:asciiTheme="majorHAnsi" w:eastAsia="Times New Roman" w:hAnsiTheme="majorHAnsi"/>
        </w:rPr>
        <w:t>Yamada</w:t>
      </w:r>
      <w:proofErr w:type="spellEnd"/>
      <w:r w:rsidRPr="00631231">
        <w:rPr>
          <w:rFonts w:asciiTheme="majorHAnsi" w:eastAsia="Times New Roman" w:hAnsiTheme="majorHAnsi"/>
        </w:rPr>
        <w:t xml:space="preserve"> A, Kawai H, et al. </w:t>
      </w:r>
      <w:r w:rsidRPr="006A52B3">
        <w:rPr>
          <w:rFonts w:asciiTheme="majorHAnsi" w:eastAsia="Times New Roman" w:hAnsiTheme="majorHAnsi"/>
          <w:lang w:val="en-US"/>
        </w:rPr>
        <w:t xml:space="preserve">Assessment of the renal angina index in patients hospitalized in a cardiac intensive care unit. Sci Rep. 2024;14(1). </w:t>
      </w:r>
    </w:p>
    <w:p w14:paraId="764D1332" w14:textId="77777777" w:rsidR="00631231" w:rsidRPr="00EE2100" w:rsidRDefault="00631231" w:rsidP="00631231">
      <w:pPr>
        <w:autoSpaceDE w:val="0"/>
        <w:autoSpaceDN w:val="0"/>
        <w:ind w:left="-640"/>
        <w:jc w:val="both"/>
        <w:rPr>
          <w:rFonts w:asciiTheme="majorHAnsi" w:eastAsia="Times New Roman" w:hAnsiTheme="majorHAnsi"/>
        </w:rPr>
      </w:pPr>
    </w:p>
    <w:p w14:paraId="05E656D6"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r w:rsidRPr="006A52B3">
        <w:rPr>
          <w:rFonts w:asciiTheme="majorHAnsi" w:eastAsia="Times New Roman" w:hAnsiTheme="majorHAnsi"/>
          <w:lang w:val="en-US"/>
        </w:rPr>
        <w:t xml:space="preserve">Mitra S, Ling RR, Tan CS, Shekar K, Maclaren G, Ramanathan K. Concurrent use of renal replacement therapy during extracorporeal membrane oxygenation support: A systematic review and meta-analysis. Vol. 10, Journal of Clinical Medicine. 2021. </w:t>
      </w:r>
    </w:p>
    <w:p w14:paraId="709DF1FB" w14:textId="77777777" w:rsidR="00631231" w:rsidRPr="00EE2100" w:rsidRDefault="00631231" w:rsidP="00631231">
      <w:pPr>
        <w:autoSpaceDE w:val="0"/>
        <w:autoSpaceDN w:val="0"/>
        <w:ind w:hanging="640"/>
        <w:jc w:val="both"/>
        <w:rPr>
          <w:rFonts w:asciiTheme="majorHAnsi" w:eastAsia="Times New Roman" w:hAnsiTheme="majorHAnsi"/>
        </w:rPr>
      </w:pPr>
    </w:p>
    <w:p w14:paraId="76592AC2" w14:textId="77777777" w:rsidR="00631231" w:rsidRPr="006A52B3" w:rsidRDefault="00631231" w:rsidP="00631231">
      <w:pPr>
        <w:pStyle w:val="Prrafodelista"/>
        <w:numPr>
          <w:ilvl w:val="0"/>
          <w:numId w:val="1"/>
        </w:numPr>
        <w:jc w:val="both"/>
        <w:rPr>
          <w:rFonts w:asciiTheme="majorHAnsi" w:eastAsia="Times New Roman" w:hAnsiTheme="majorHAnsi"/>
          <w:lang w:val="en-US"/>
        </w:rPr>
      </w:pPr>
      <w:proofErr w:type="spellStart"/>
      <w:r w:rsidRPr="006A52B3">
        <w:rPr>
          <w:rFonts w:asciiTheme="majorHAnsi" w:eastAsia="Times New Roman" w:hAnsiTheme="majorHAnsi"/>
          <w:lang w:val="en-US"/>
        </w:rPr>
        <w:t>Rajsic</w:t>
      </w:r>
      <w:proofErr w:type="spellEnd"/>
      <w:r w:rsidRPr="006A52B3">
        <w:rPr>
          <w:rFonts w:asciiTheme="majorHAnsi" w:eastAsia="Times New Roman" w:hAnsiTheme="majorHAnsi"/>
          <w:lang w:val="en-US"/>
        </w:rPr>
        <w:t xml:space="preserve"> S, </w:t>
      </w:r>
      <w:proofErr w:type="spellStart"/>
      <w:r w:rsidRPr="006A52B3">
        <w:rPr>
          <w:rFonts w:asciiTheme="majorHAnsi" w:eastAsia="Times New Roman" w:hAnsiTheme="majorHAnsi"/>
          <w:lang w:val="en-US"/>
        </w:rPr>
        <w:t>Treml</w:t>
      </w:r>
      <w:proofErr w:type="spellEnd"/>
      <w:r w:rsidRPr="006A52B3">
        <w:rPr>
          <w:rFonts w:asciiTheme="majorHAnsi" w:eastAsia="Times New Roman" w:hAnsiTheme="majorHAnsi"/>
          <w:lang w:val="en-US"/>
        </w:rPr>
        <w:t xml:space="preserve"> B, </w:t>
      </w:r>
      <w:proofErr w:type="spellStart"/>
      <w:r w:rsidRPr="006A52B3">
        <w:rPr>
          <w:rFonts w:asciiTheme="majorHAnsi" w:eastAsia="Times New Roman" w:hAnsiTheme="majorHAnsi"/>
          <w:lang w:val="en-US"/>
        </w:rPr>
        <w:t>Jadzic</w:t>
      </w:r>
      <w:proofErr w:type="spellEnd"/>
      <w:r w:rsidRPr="006A52B3">
        <w:rPr>
          <w:rFonts w:asciiTheme="majorHAnsi" w:eastAsia="Times New Roman" w:hAnsiTheme="majorHAnsi"/>
          <w:lang w:val="en-US"/>
        </w:rPr>
        <w:t xml:space="preserve"> D, </w:t>
      </w:r>
      <w:proofErr w:type="spellStart"/>
      <w:r w:rsidRPr="006A52B3">
        <w:rPr>
          <w:rFonts w:asciiTheme="majorHAnsi" w:eastAsia="Times New Roman" w:hAnsiTheme="majorHAnsi"/>
          <w:lang w:val="en-US"/>
        </w:rPr>
        <w:t>Breitkopf</w:t>
      </w:r>
      <w:proofErr w:type="spellEnd"/>
      <w:r w:rsidRPr="006A52B3">
        <w:rPr>
          <w:rFonts w:asciiTheme="majorHAnsi" w:eastAsia="Times New Roman" w:hAnsiTheme="majorHAnsi"/>
          <w:lang w:val="en-US"/>
        </w:rPr>
        <w:t xml:space="preserve"> R, </w:t>
      </w:r>
      <w:proofErr w:type="spellStart"/>
      <w:r w:rsidRPr="006A52B3">
        <w:rPr>
          <w:rFonts w:asciiTheme="majorHAnsi" w:eastAsia="Times New Roman" w:hAnsiTheme="majorHAnsi"/>
          <w:lang w:val="en-US"/>
        </w:rPr>
        <w:t>Oberleitner</w:t>
      </w:r>
      <w:proofErr w:type="spellEnd"/>
      <w:r w:rsidRPr="006A52B3">
        <w:rPr>
          <w:rFonts w:asciiTheme="majorHAnsi" w:eastAsia="Times New Roman" w:hAnsiTheme="majorHAnsi"/>
          <w:lang w:val="en-US"/>
        </w:rPr>
        <w:t xml:space="preserve"> C, Popovic </w:t>
      </w:r>
      <w:proofErr w:type="spellStart"/>
      <w:r w:rsidRPr="006A52B3">
        <w:rPr>
          <w:rFonts w:asciiTheme="majorHAnsi" w:eastAsia="Times New Roman" w:hAnsiTheme="majorHAnsi"/>
          <w:lang w:val="en-US"/>
        </w:rPr>
        <w:t>Krneta</w:t>
      </w:r>
      <w:proofErr w:type="spellEnd"/>
      <w:r w:rsidRPr="006A52B3">
        <w:rPr>
          <w:rFonts w:asciiTheme="majorHAnsi" w:eastAsia="Times New Roman" w:hAnsiTheme="majorHAnsi"/>
          <w:lang w:val="en-US"/>
        </w:rPr>
        <w:t xml:space="preserve"> M, et al. Extracorporeal membrane oxygenation for cardiogenic shock: a meta-analysis of mortality and complications. Ann Intensive Care. 2022;12(1).</w:t>
      </w:r>
    </w:p>
    <w:p w14:paraId="55CA48FD" w14:textId="77777777" w:rsidR="00631231" w:rsidRPr="00EE2100" w:rsidRDefault="00631231" w:rsidP="00631231">
      <w:pPr>
        <w:jc w:val="both"/>
        <w:rPr>
          <w:rFonts w:asciiTheme="majorHAnsi" w:eastAsia="Times New Roman" w:hAnsiTheme="majorHAnsi"/>
        </w:rPr>
      </w:pPr>
    </w:p>
    <w:p w14:paraId="4C5EFD22"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r w:rsidRPr="006A52B3">
        <w:rPr>
          <w:rFonts w:asciiTheme="majorHAnsi" w:eastAsia="Times New Roman" w:hAnsiTheme="majorHAnsi"/>
          <w:lang w:val="en-US"/>
        </w:rPr>
        <w:t xml:space="preserve">Chen W, Pei M, Chen C, Zhu R, Wang B, Shi L, et al. </w:t>
      </w:r>
      <w:proofErr w:type="gramStart"/>
      <w:r w:rsidRPr="006A52B3">
        <w:rPr>
          <w:rFonts w:asciiTheme="majorHAnsi" w:eastAsia="Times New Roman" w:hAnsiTheme="majorHAnsi"/>
          <w:lang w:val="en-US"/>
        </w:rPr>
        <w:t>Independent</w:t>
      </w:r>
      <w:proofErr w:type="gramEnd"/>
      <w:r w:rsidRPr="006A52B3">
        <w:rPr>
          <w:rFonts w:asciiTheme="majorHAnsi" w:eastAsia="Times New Roman" w:hAnsiTheme="majorHAnsi"/>
          <w:lang w:val="en-US"/>
        </w:rPr>
        <w:t xml:space="preserve"> risk factors of acute kidney injury among patients receiving extracorporeal membrane oxygenation. BMC Nephrol. 2023;24(1). </w:t>
      </w:r>
    </w:p>
    <w:p w14:paraId="7321D86A" w14:textId="77777777" w:rsidR="00631231" w:rsidRPr="00EE2100" w:rsidRDefault="00631231" w:rsidP="00631231">
      <w:pPr>
        <w:autoSpaceDE w:val="0"/>
        <w:autoSpaceDN w:val="0"/>
        <w:jc w:val="both"/>
        <w:rPr>
          <w:rFonts w:asciiTheme="majorHAnsi" w:eastAsia="Times New Roman" w:hAnsiTheme="majorHAnsi"/>
        </w:rPr>
      </w:pPr>
    </w:p>
    <w:p w14:paraId="74785D41"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proofErr w:type="spellStart"/>
      <w:r w:rsidRPr="006A52B3">
        <w:rPr>
          <w:rFonts w:asciiTheme="majorHAnsi" w:eastAsia="Times New Roman" w:hAnsiTheme="majorHAnsi"/>
          <w:lang w:val="en-US"/>
        </w:rPr>
        <w:t>Thongprayoon</w:t>
      </w:r>
      <w:proofErr w:type="spellEnd"/>
      <w:r w:rsidRPr="006A52B3">
        <w:rPr>
          <w:rFonts w:asciiTheme="majorHAnsi" w:eastAsia="Times New Roman" w:hAnsiTheme="majorHAnsi"/>
          <w:lang w:val="en-US"/>
        </w:rPr>
        <w:t xml:space="preserve"> C, </w:t>
      </w:r>
      <w:proofErr w:type="spellStart"/>
      <w:r w:rsidRPr="006A52B3">
        <w:rPr>
          <w:rFonts w:asciiTheme="majorHAnsi" w:eastAsia="Times New Roman" w:hAnsiTheme="majorHAnsi"/>
          <w:lang w:val="en-US"/>
        </w:rPr>
        <w:t>Cheungpasitporn</w:t>
      </w:r>
      <w:proofErr w:type="spellEnd"/>
      <w:r w:rsidRPr="006A52B3">
        <w:rPr>
          <w:rFonts w:asciiTheme="majorHAnsi" w:eastAsia="Times New Roman" w:hAnsiTheme="majorHAnsi"/>
          <w:lang w:val="en-US"/>
        </w:rPr>
        <w:t xml:space="preserve"> W, </w:t>
      </w:r>
      <w:proofErr w:type="spellStart"/>
      <w:r w:rsidRPr="006A52B3">
        <w:rPr>
          <w:rFonts w:asciiTheme="majorHAnsi" w:eastAsia="Times New Roman" w:hAnsiTheme="majorHAnsi"/>
          <w:lang w:val="en-US"/>
        </w:rPr>
        <w:t>Lertjitbanjong</w:t>
      </w:r>
      <w:proofErr w:type="spellEnd"/>
      <w:r w:rsidRPr="006A52B3">
        <w:rPr>
          <w:rFonts w:asciiTheme="majorHAnsi" w:eastAsia="Times New Roman" w:hAnsiTheme="majorHAnsi"/>
          <w:lang w:val="en-US"/>
        </w:rPr>
        <w:t xml:space="preserve"> P, </w:t>
      </w:r>
      <w:proofErr w:type="spellStart"/>
      <w:r w:rsidRPr="006A52B3">
        <w:rPr>
          <w:rFonts w:asciiTheme="majorHAnsi" w:eastAsia="Times New Roman" w:hAnsiTheme="majorHAnsi"/>
          <w:lang w:val="en-US"/>
        </w:rPr>
        <w:t>Aeddula</w:t>
      </w:r>
      <w:proofErr w:type="spellEnd"/>
      <w:r w:rsidRPr="006A52B3">
        <w:rPr>
          <w:rFonts w:asciiTheme="majorHAnsi" w:eastAsia="Times New Roman" w:hAnsiTheme="majorHAnsi"/>
          <w:lang w:val="en-US"/>
        </w:rPr>
        <w:t xml:space="preserve"> NR, </w:t>
      </w:r>
      <w:proofErr w:type="spellStart"/>
      <w:r w:rsidRPr="006A52B3">
        <w:rPr>
          <w:rFonts w:asciiTheme="majorHAnsi" w:eastAsia="Times New Roman" w:hAnsiTheme="majorHAnsi"/>
          <w:lang w:val="en-US"/>
        </w:rPr>
        <w:t>Bathini</w:t>
      </w:r>
      <w:proofErr w:type="spellEnd"/>
      <w:r w:rsidRPr="006A52B3">
        <w:rPr>
          <w:rFonts w:asciiTheme="majorHAnsi" w:eastAsia="Times New Roman" w:hAnsiTheme="majorHAnsi"/>
          <w:lang w:val="en-US"/>
        </w:rPr>
        <w:t xml:space="preserve"> T, </w:t>
      </w:r>
      <w:proofErr w:type="spellStart"/>
      <w:r w:rsidRPr="006A52B3">
        <w:rPr>
          <w:rFonts w:asciiTheme="majorHAnsi" w:eastAsia="Times New Roman" w:hAnsiTheme="majorHAnsi"/>
          <w:lang w:val="en-US"/>
        </w:rPr>
        <w:t>Watthanasuntorn</w:t>
      </w:r>
      <w:proofErr w:type="spellEnd"/>
      <w:r w:rsidRPr="006A52B3">
        <w:rPr>
          <w:rFonts w:asciiTheme="majorHAnsi" w:eastAsia="Times New Roman" w:hAnsiTheme="majorHAnsi"/>
          <w:lang w:val="en-US"/>
        </w:rPr>
        <w:t xml:space="preserve"> K, et al. Incidence and impact of acute kidney injury in patients receiving extracorporeal membrane oxygenation: A meta-analysis. J Clin Med. 2019;8(7). </w:t>
      </w:r>
    </w:p>
    <w:p w14:paraId="489E8577" w14:textId="77777777" w:rsidR="00631231" w:rsidRPr="00EE2100" w:rsidRDefault="00631231" w:rsidP="00631231">
      <w:pPr>
        <w:autoSpaceDE w:val="0"/>
        <w:autoSpaceDN w:val="0"/>
        <w:jc w:val="both"/>
        <w:rPr>
          <w:rFonts w:asciiTheme="majorHAnsi" w:eastAsia="Times New Roman" w:hAnsiTheme="majorHAnsi"/>
        </w:rPr>
      </w:pPr>
    </w:p>
    <w:p w14:paraId="04731401"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proofErr w:type="spellStart"/>
      <w:r w:rsidRPr="006A52B3">
        <w:rPr>
          <w:rFonts w:asciiTheme="majorHAnsi" w:eastAsia="Times New Roman" w:hAnsiTheme="majorHAnsi"/>
          <w:lang w:val="en-US"/>
        </w:rPr>
        <w:t>Vinclair</w:t>
      </w:r>
      <w:proofErr w:type="spellEnd"/>
      <w:r w:rsidRPr="006A52B3">
        <w:rPr>
          <w:rFonts w:asciiTheme="majorHAnsi" w:eastAsia="Times New Roman" w:hAnsiTheme="majorHAnsi"/>
          <w:lang w:val="en-US"/>
        </w:rPr>
        <w:t xml:space="preserve"> C, De </w:t>
      </w:r>
      <w:proofErr w:type="spellStart"/>
      <w:r w:rsidRPr="006A52B3">
        <w:rPr>
          <w:rFonts w:asciiTheme="majorHAnsi" w:eastAsia="Times New Roman" w:hAnsiTheme="majorHAnsi"/>
          <w:lang w:val="en-US"/>
        </w:rPr>
        <w:t>Montmollin</w:t>
      </w:r>
      <w:proofErr w:type="spellEnd"/>
      <w:r w:rsidRPr="006A52B3">
        <w:rPr>
          <w:rFonts w:asciiTheme="majorHAnsi" w:eastAsia="Times New Roman" w:hAnsiTheme="majorHAnsi"/>
          <w:lang w:val="en-US"/>
        </w:rPr>
        <w:t xml:space="preserve"> E, </w:t>
      </w:r>
      <w:proofErr w:type="spellStart"/>
      <w:r w:rsidRPr="006A52B3">
        <w:rPr>
          <w:rFonts w:asciiTheme="majorHAnsi" w:eastAsia="Times New Roman" w:hAnsiTheme="majorHAnsi"/>
          <w:lang w:val="en-US"/>
        </w:rPr>
        <w:t>Sonneville</w:t>
      </w:r>
      <w:proofErr w:type="spellEnd"/>
      <w:r w:rsidRPr="006A52B3">
        <w:rPr>
          <w:rFonts w:asciiTheme="majorHAnsi" w:eastAsia="Times New Roman" w:hAnsiTheme="majorHAnsi"/>
          <w:lang w:val="en-US"/>
        </w:rPr>
        <w:t xml:space="preserve"> R, Reuter J, </w:t>
      </w:r>
      <w:proofErr w:type="spellStart"/>
      <w:r w:rsidRPr="006A52B3">
        <w:rPr>
          <w:rFonts w:asciiTheme="majorHAnsi" w:eastAsia="Times New Roman" w:hAnsiTheme="majorHAnsi"/>
          <w:lang w:val="en-US"/>
        </w:rPr>
        <w:t>Lebut</w:t>
      </w:r>
      <w:proofErr w:type="spellEnd"/>
      <w:r w:rsidRPr="006A52B3">
        <w:rPr>
          <w:rFonts w:asciiTheme="majorHAnsi" w:eastAsia="Times New Roman" w:hAnsiTheme="majorHAnsi"/>
          <w:lang w:val="en-US"/>
        </w:rPr>
        <w:t xml:space="preserve"> J, </w:t>
      </w:r>
      <w:proofErr w:type="spellStart"/>
      <w:r w:rsidRPr="006A52B3">
        <w:rPr>
          <w:rFonts w:asciiTheme="majorHAnsi" w:eastAsia="Times New Roman" w:hAnsiTheme="majorHAnsi"/>
          <w:lang w:val="en-US"/>
        </w:rPr>
        <w:t>Cally</w:t>
      </w:r>
      <w:proofErr w:type="spellEnd"/>
      <w:r w:rsidRPr="006A52B3">
        <w:rPr>
          <w:rFonts w:asciiTheme="majorHAnsi" w:eastAsia="Times New Roman" w:hAnsiTheme="majorHAnsi"/>
          <w:lang w:val="en-US"/>
        </w:rPr>
        <w:t xml:space="preserve"> R, et al. Factors associated with major adverse kidney events in patients who underwent </w:t>
      </w:r>
      <w:proofErr w:type="spellStart"/>
      <w:r w:rsidRPr="006A52B3">
        <w:rPr>
          <w:rFonts w:asciiTheme="majorHAnsi" w:eastAsia="Times New Roman" w:hAnsiTheme="majorHAnsi"/>
          <w:lang w:val="en-US"/>
        </w:rPr>
        <w:t>veno</w:t>
      </w:r>
      <w:proofErr w:type="spellEnd"/>
      <w:r w:rsidRPr="006A52B3">
        <w:rPr>
          <w:rFonts w:asciiTheme="majorHAnsi" w:eastAsia="Times New Roman" w:hAnsiTheme="majorHAnsi"/>
          <w:lang w:val="en-US"/>
        </w:rPr>
        <w:t xml:space="preserve">-arterial extracorporeal membrane oxygenation. Ann Intensive Care. 2020;10(1). </w:t>
      </w:r>
    </w:p>
    <w:p w14:paraId="4DD321CF" w14:textId="77777777" w:rsidR="00631231" w:rsidRPr="00EE2100" w:rsidRDefault="00631231" w:rsidP="00631231">
      <w:pPr>
        <w:autoSpaceDE w:val="0"/>
        <w:autoSpaceDN w:val="0"/>
        <w:jc w:val="both"/>
        <w:rPr>
          <w:rFonts w:asciiTheme="majorHAnsi" w:eastAsia="Times New Roman" w:hAnsiTheme="majorHAnsi"/>
        </w:rPr>
      </w:pPr>
    </w:p>
    <w:p w14:paraId="37C4EBED"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proofErr w:type="spellStart"/>
      <w:r w:rsidRPr="006A52B3">
        <w:rPr>
          <w:rFonts w:asciiTheme="majorHAnsi" w:eastAsia="Times New Roman" w:hAnsiTheme="majorHAnsi"/>
          <w:lang w:val="en-US"/>
        </w:rPr>
        <w:lastRenderedPageBreak/>
        <w:t>Mou</w:t>
      </w:r>
      <w:proofErr w:type="spellEnd"/>
      <w:r w:rsidRPr="006A52B3">
        <w:rPr>
          <w:rFonts w:asciiTheme="majorHAnsi" w:eastAsia="Times New Roman" w:hAnsiTheme="majorHAnsi"/>
          <w:lang w:val="en-US"/>
        </w:rPr>
        <w:t xml:space="preserve"> Z, Guan T, Chen L. Risk Factors of Acute Kidney Injury in ECMO Patients: A Systematic Review and Meta-Analysis. J Intensive Care Med. 2022;37(2). </w:t>
      </w:r>
    </w:p>
    <w:p w14:paraId="189BA1E4" w14:textId="77777777" w:rsidR="00631231" w:rsidRPr="00EE2100" w:rsidRDefault="00631231" w:rsidP="00631231">
      <w:pPr>
        <w:autoSpaceDE w:val="0"/>
        <w:autoSpaceDN w:val="0"/>
        <w:jc w:val="both"/>
        <w:rPr>
          <w:rFonts w:asciiTheme="majorHAnsi" w:eastAsia="Times New Roman" w:hAnsiTheme="majorHAnsi"/>
        </w:rPr>
      </w:pPr>
    </w:p>
    <w:p w14:paraId="259E638C"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r w:rsidRPr="006A52B3">
        <w:rPr>
          <w:rFonts w:asciiTheme="majorHAnsi" w:eastAsia="Times New Roman" w:hAnsiTheme="majorHAnsi"/>
          <w:lang w:val="en-US"/>
        </w:rPr>
        <w:t xml:space="preserve">Tsai TY, </w:t>
      </w:r>
      <w:proofErr w:type="spellStart"/>
      <w:r w:rsidRPr="006A52B3">
        <w:rPr>
          <w:rFonts w:asciiTheme="majorHAnsi" w:eastAsia="Times New Roman" w:hAnsiTheme="majorHAnsi"/>
          <w:lang w:val="en-US"/>
        </w:rPr>
        <w:t>Chien</w:t>
      </w:r>
      <w:proofErr w:type="spellEnd"/>
      <w:r w:rsidRPr="006A52B3">
        <w:rPr>
          <w:rFonts w:asciiTheme="majorHAnsi" w:eastAsia="Times New Roman" w:hAnsiTheme="majorHAnsi"/>
          <w:lang w:val="en-US"/>
        </w:rPr>
        <w:t xml:space="preserve"> H, Tsai FC, Pan HC, Yang HY, Lee SY, et al. Comparison of RIFLE, AKIN, and KDIGO classifications for assessing prognosis of patients on extracorporeal membrane oxygenation. Journal of the Formosan Medical Association. 2017;116(11).</w:t>
      </w:r>
    </w:p>
    <w:p w14:paraId="485DC2C8" w14:textId="77777777" w:rsidR="00631231" w:rsidRPr="00EE2100" w:rsidRDefault="00631231" w:rsidP="00631231">
      <w:pPr>
        <w:autoSpaceDE w:val="0"/>
        <w:autoSpaceDN w:val="0"/>
        <w:jc w:val="both"/>
        <w:rPr>
          <w:rFonts w:asciiTheme="majorHAnsi" w:eastAsia="Times New Roman" w:hAnsiTheme="majorHAnsi"/>
        </w:rPr>
      </w:pPr>
    </w:p>
    <w:p w14:paraId="50065317"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r w:rsidRPr="006A52B3">
        <w:rPr>
          <w:rFonts w:asciiTheme="majorHAnsi" w:eastAsia="Times New Roman" w:hAnsiTheme="majorHAnsi"/>
          <w:lang w:val="en-US"/>
        </w:rPr>
        <w:t xml:space="preserve">Sharma S, Kelly YP, Palevsky PM, </w:t>
      </w:r>
      <w:proofErr w:type="spellStart"/>
      <w:r w:rsidRPr="006A52B3">
        <w:rPr>
          <w:rFonts w:asciiTheme="majorHAnsi" w:eastAsia="Times New Roman" w:hAnsiTheme="majorHAnsi"/>
          <w:lang w:val="en-US"/>
        </w:rPr>
        <w:t>Waikar</w:t>
      </w:r>
      <w:proofErr w:type="spellEnd"/>
      <w:r w:rsidRPr="006A52B3">
        <w:rPr>
          <w:rFonts w:asciiTheme="majorHAnsi" w:eastAsia="Times New Roman" w:hAnsiTheme="majorHAnsi"/>
          <w:lang w:val="en-US"/>
        </w:rPr>
        <w:t xml:space="preserve"> SS. Intensity of Renal Replacement Therapy and Duration of Mechanical Ventilation: Secondary Analysis of the Acute Renal Failure Trial Network Study. Chest. 2020;158(4). </w:t>
      </w:r>
    </w:p>
    <w:p w14:paraId="1DAE6A6E" w14:textId="77777777" w:rsidR="00631231" w:rsidRPr="00EE2100" w:rsidRDefault="00631231" w:rsidP="00631231">
      <w:pPr>
        <w:autoSpaceDE w:val="0"/>
        <w:autoSpaceDN w:val="0"/>
        <w:ind w:hanging="640"/>
        <w:jc w:val="both"/>
        <w:rPr>
          <w:rFonts w:asciiTheme="majorHAnsi" w:eastAsia="Times New Roman" w:hAnsiTheme="majorHAnsi"/>
        </w:rPr>
      </w:pPr>
    </w:p>
    <w:p w14:paraId="4735C5F8" w14:textId="77777777" w:rsidR="00631231" w:rsidRPr="006A52B3" w:rsidRDefault="00631231" w:rsidP="00631231">
      <w:pPr>
        <w:pStyle w:val="Prrafodelista"/>
        <w:numPr>
          <w:ilvl w:val="0"/>
          <w:numId w:val="1"/>
        </w:numPr>
        <w:autoSpaceDE w:val="0"/>
        <w:autoSpaceDN w:val="0"/>
        <w:jc w:val="both"/>
        <w:rPr>
          <w:rFonts w:asciiTheme="majorHAnsi" w:eastAsia="Times New Roman" w:hAnsiTheme="majorHAnsi"/>
          <w:lang w:val="en-US"/>
        </w:rPr>
      </w:pPr>
      <w:proofErr w:type="spellStart"/>
      <w:r w:rsidRPr="006A52B3">
        <w:rPr>
          <w:rFonts w:asciiTheme="majorHAnsi" w:eastAsia="Times New Roman" w:hAnsiTheme="majorHAnsi"/>
          <w:lang w:val="en-US"/>
        </w:rPr>
        <w:t>Schiffl</w:t>
      </w:r>
      <w:proofErr w:type="spellEnd"/>
      <w:r w:rsidRPr="006A52B3">
        <w:rPr>
          <w:rFonts w:asciiTheme="majorHAnsi" w:eastAsia="Times New Roman" w:hAnsiTheme="majorHAnsi"/>
          <w:lang w:val="en-US"/>
        </w:rPr>
        <w:t xml:space="preserve"> H, Lang SM. Severe acute hypophosphatemia during renal replacement therapy adversely affects outcome of critically ill patients with acute kidney injury. Int </w:t>
      </w:r>
      <w:proofErr w:type="spellStart"/>
      <w:r w:rsidRPr="006A52B3">
        <w:rPr>
          <w:rFonts w:asciiTheme="majorHAnsi" w:eastAsia="Times New Roman" w:hAnsiTheme="majorHAnsi"/>
          <w:lang w:val="en-US"/>
        </w:rPr>
        <w:t>Urol</w:t>
      </w:r>
      <w:proofErr w:type="spellEnd"/>
      <w:r w:rsidRPr="006A52B3">
        <w:rPr>
          <w:rFonts w:asciiTheme="majorHAnsi" w:eastAsia="Times New Roman" w:hAnsiTheme="majorHAnsi"/>
          <w:lang w:val="en-US"/>
        </w:rPr>
        <w:t xml:space="preserve"> Nephrol. 2013;45(1). </w:t>
      </w:r>
    </w:p>
    <w:p w14:paraId="74F883EC" w14:textId="77777777" w:rsidR="00631231" w:rsidRPr="00EE2100" w:rsidRDefault="00631231" w:rsidP="00631231">
      <w:pPr>
        <w:autoSpaceDE w:val="0"/>
        <w:autoSpaceDN w:val="0"/>
        <w:ind w:hanging="640"/>
        <w:rPr>
          <w:rFonts w:asciiTheme="majorHAnsi" w:eastAsia="Times New Roman" w:hAnsiTheme="majorHAnsi"/>
        </w:rPr>
      </w:pPr>
    </w:p>
    <w:p w14:paraId="7CE9E3DA" w14:textId="77777777" w:rsidR="00631231" w:rsidRPr="006A52B3" w:rsidRDefault="00631231" w:rsidP="00631231">
      <w:pPr>
        <w:pStyle w:val="Prrafodelista"/>
        <w:numPr>
          <w:ilvl w:val="0"/>
          <w:numId w:val="1"/>
        </w:numPr>
        <w:autoSpaceDE w:val="0"/>
        <w:autoSpaceDN w:val="0"/>
        <w:rPr>
          <w:rFonts w:asciiTheme="majorHAnsi" w:eastAsia="Times New Roman" w:hAnsiTheme="majorHAnsi"/>
          <w:lang w:val="en-US"/>
        </w:rPr>
      </w:pPr>
      <w:proofErr w:type="spellStart"/>
      <w:r w:rsidRPr="006A52B3">
        <w:rPr>
          <w:rFonts w:asciiTheme="majorHAnsi" w:eastAsia="Times New Roman" w:hAnsiTheme="majorHAnsi"/>
          <w:lang w:val="en-US"/>
        </w:rPr>
        <w:t>Borasino</w:t>
      </w:r>
      <w:proofErr w:type="spellEnd"/>
      <w:r w:rsidRPr="006A52B3">
        <w:rPr>
          <w:rFonts w:asciiTheme="majorHAnsi" w:eastAsia="Times New Roman" w:hAnsiTheme="majorHAnsi"/>
          <w:lang w:val="en-US"/>
        </w:rPr>
        <w:t xml:space="preserve"> S, Kalra Y, Elam AR, O’Meara LC, </w:t>
      </w:r>
      <w:proofErr w:type="spellStart"/>
      <w:r w:rsidRPr="006A52B3">
        <w:rPr>
          <w:rFonts w:asciiTheme="majorHAnsi" w:eastAsia="Times New Roman" w:hAnsiTheme="majorHAnsi"/>
          <w:lang w:val="en-US"/>
        </w:rPr>
        <w:t>Timpa</w:t>
      </w:r>
      <w:proofErr w:type="spellEnd"/>
      <w:r w:rsidRPr="006A52B3">
        <w:rPr>
          <w:rFonts w:asciiTheme="majorHAnsi" w:eastAsia="Times New Roman" w:hAnsiTheme="majorHAnsi"/>
          <w:lang w:val="en-US"/>
        </w:rPr>
        <w:t xml:space="preserve"> JG, Goldberg KG, et al. Impact of hemolysis on acute kidney injury and mortality in children supported with cardiac extracorporeal membrane oxygenation. Journal of Extra-Corporeal Technology. 2018;50(4). </w:t>
      </w:r>
    </w:p>
    <w:p w14:paraId="33D70A6C" w14:textId="77777777" w:rsidR="00631231" w:rsidRPr="00EE2100" w:rsidRDefault="00631231" w:rsidP="00631231">
      <w:pPr>
        <w:autoSpaceDE w:val="0"/>
        <w:autoSpaceDN w:val="0"/>
        <w:ind w:hanging="640"/>
        <w:rPr>
          <w:rFonts w:asciiTheme="majorHAnsi" w:eastAsia="Times New Roman" w:hAnsiTheme="majorHAnsi"/>
        </w:rPr>
      </w:pPr>
    </w:p>
    <w:p w14:paraId="5BB79E2F" w14:textId="77777777" w:rsidR="00631231" w:rsidRPr="006A52B3" w:rsidRDefault="00631231" w:rsidP="00631231">
      <w:pPr>
        <w:pStyle w:val="Prrafodelista"/>
        <w:numPr>
          <w:ilvl w:val="0"/>
          <w:numId w:val="1"/>
        </w:numPr>
        <w:autoSpaceDE w:val="0"/>
        <w:autoSpaceDN w:val="0"/>
        <w:rPr>
          <w:rFonts w:asciiTheme="majorHAnsi" w:eastAsia="Times New Roman" w:hAnsiTheme="majorHAnsi"/>
          <w:lang w:val="en-US"/>
        </w:rPr>
      </w:pPr>
      <w:r w:rsidRPr="006A52B3">
        <w:rPr>
          <w:rFonts w:asciiTheme="majorHAnsi" w:eastAsia="Times New Roman" w:hAnsiTheme="majorHAnsi"/>
          <w:lang w:val="en-US"/>
        </w:rPr>
        <w:t xml:space="preserve">Schmidt M, Bailey M, Kelly J, Hodgson C, Cooper DJ, </w:t>
      </w:r>
      <w:proofErr w:type="spellStart"/>
      <w:r w:rsidRPr="006A52B3">
        <w:rPr>
          <w:rFonts w:asciiTheme="majorHAnsi" w:eastAsia="Times New Roman" w:hAnsiTheme="majorHAnsi"/>
          <w:lang w:val="en-US"/>
        </w:rPr>
        <w:t>Scheinkestel</w:t>
      </w:r>
      <w:proofErr w:type="spellEnd"/>
      <w:r w:rsidRPr="006A52B3">
        <w:rPr>
          <w:rFonts w:asciiTheme="majorHAnsi" w:eastAsia="Times New Roman" w:hAnsiTheme="majorHAnsi"/>
          <w:lang w:val="en-US"/>
        </w:rPr>
        <w:t xml:space="preserve"> C, et al. Impact of fluid balance on outcome of adult patients treated with extracorporeal membrane oxygenation. Intensive Care Med. 2014;40(9). </w:t>
      </w:r>
    </w:p>
    <w:p w14:paraId="2E3C5FD2" w14:textId="77777777" w:rsidR="00631231" w:rsidRPr="00EE2100" w:rsidRDefault="00631231" w:rsidP="00631231">
      <w:pPr>
        <w:autoSpaceDE w:val="0"/>
        <w:autoSpaceDN w:val="0"/>
        <w:ind w:hanging="640"/>
        <w:rPr>
          <w:rFonts w:asciiTheme="majorHAnsi" w:eastAsia="Times New Roman" w:hAnsiTheme="majorHAnsi"/>
        </w:rPr>
      </w:pPr>
    </w:p>
    <w:p w14:paraId="5D34C099" w14:textId="77777777" w:rsidR="00631231" w:rsidRPr="006A52B3" w:rsidRDefault="00631231" w:rsidP="00631231">
      <w:pPr>
        <w:pStyle w:val="Prrafodelista"/>
        <w:numPr>
          <w:ilvl w:val="0"/>
          <w:numId w:val="1"/>
        </w:numPr>
        <w:autoSpaceDE w:val="0"/>
        <w:autoSpaceDN w:val="0"/>
        <w:rPr>
          <w:rFonts w:asciiTheme="majorHAnsi" w:eastAsia="Times New Roman" w:hAnsiTheme="majorHAnsi"/>
          <w:lang w:val="en-US"/>
        </w:rPr>
      </w:pPr>
      <w:proofErr w:type="spellStart"/>
      <w:r w:rsidRPr="006A52B3">
        <w:rPr>
          <w:rFonts w:asciiTheme="majorHAnsi" w:eastAsia="Times New Roman" w:hAnsiTheme="majorHAnsi"/>
          <w:lang w:val="en-US"/>
        </w:rPr>
        <w:t>Staudacher</w:t>
      </w:r>
      <w:proofErr w:type="spellEnd"/>
      <w:r w:rsidRPr="006A52B3">
        <w:rPr>
          <w:rFonts w:asciiTheme="majorHAnsi" w:eastAsia="Times New Roman" w:hAnsiTheme="majorHAnsi"/>
          <w:lang w:val="en-US"/>
        </w:rPr>
        <w:t xml:space="preserve"> DL, Gold W, </w:t>
      </w:r>
      <w:proofErr w:type="spellStart"/>
      <w:r w:rsidRPr="006A52B3">
        <w:rPr>
          <w:rFonts w:asciiTheme="majorHAnsi" w:eastAsia="Times New Roman" w:hAnsiTheme="majorHAnsi"/>
          <w:lang w:val="en-US"/>
        </w:rPr>
        <w:t>Biever</w:t>
      </w:r>
      <w:proofErr w:type="spellEnd"/>
      <w:r w:rsidRPr="006A52B3">
        <w:rPr>
          <w:rFonts w:asciiTheme="majorHAnsi" w:eastAsia="Times New Roman" w:hAnsiTheme="majorHAnsi"/>
          <w:lang w:val="en-US"/>
        </w:rPr>
        <w:t xml:space="preserve"> PM, Bode C, </w:t>
      </w:r>
      <w:proofErr w:type="spellStart"/>
      <w:r w:rsidRPr="006A52B3">
        <w:rPr>
          <w:rFonts w:asciiTheme="majorHAnsi" w:eastAsia="Times New Roman" w:hAnsiTheme="majorHAnsi"/>
          <w:lang w:val="en-US"/>
        </w:rPr>
        <w:t>Wengenmayer</w:t>
      </w:r>
      <w:proofErr w:type="spellEnd"/>
      <w:r w:rsidRPr="006A52B3">
        <w:rPr>
          <w:rFonts w:asciiTheme="majorHAnsi" w:eastAsia="Times New Roman" w:hAnsiTheme="majorHAnsi"/>
          <w:lang w:val="en-US"/>
        </w:rPr>
        <w:t xml:space="preserve"> T. Early fluid resuscitation and volume therapy in </w:t>
      </w:r>
      <w:proofErr w:type="spellStart"/>
      <w:r w:rsidRPr="006A52B3">
        <w:rPr>
          <w:rFonts w:asciiTheme="majorHAnsi" w:eastAsia="Times New Roman" w:hAnsiTheme="majorHAnsi"/>
          <w:lang w:val="en-US"/>
        </w:rPr>
        <w:t>venoarterial</w:t>
      </w:r>
      <w:proofErr w:type="spellEnd"/>
      <w:r w:rsidRPr="006A52B3">
        <w:rPr>
          <w:rFonts w:asciiTheme="majorHAnsi" w:eastAsia="Times New Roman" w:hAnsiTheme="majorHAnsi"/>
          <w:lang w:val="en-US"/>
        </w:rPr>
        <w:t xml:space="preserve"> extracorporeal membrane oxygenation. J Crit Care. 2017;37</w:t>
      </w:r>
    </w:p>
    <w:p w14:paraId="4BCD8818" w14:textId="77777777" w:rsidR="00631231" w:rsidRPr="00EE2100" w:rsidRDefault="00631231" w:rsidP="00631231">
      <w:pPr>
        <w:rPr>
          <w:rFonts w:asciiTheme="majorHAnsi" w:hAnsiTheme="majorHAnsi"/>
        </w:rPr>
      </w:pPr>
    </w:p>
    <w:p w14:paraId="26EAEABE" w14:textId="77777777" w:rsidR="00631231" w:rsidRPr="00EE2100" w:rsidRDefault="00631231" w:rsidP="00631231">
      <w:pPr>
        <w:rPr>
          <w:rFonts w:asciiTheme="majorHAnsi" w:hAnsiTheme="majorHAnsi"/>
        </w:rPr>
      </w:pPr>
    </w:p>
    <w:p w14:paraId="1D3C55B0" w14:textId="77777777" w:rsidR="00631231" w:rsidRPr="00EE2100" w:rsidRDefault="00631231" w:rsidP="00631231">
      <w:pPr>
        <w:rPr>
          <w:rFonts w:asciiTheme="majorHAnsi" w:hAnsiTheme="majorHAnsi"/>
        </w:rPr>
      </w:pPr>
    </w:p>
    <w:p w14:paraId="2EB01289" w14:textId="77777777" w:rsidR="00631231" w:rsidRPr="00EE2100" w:rsidRDefault="00631231" w:rsidP="00631231">
      <w:pPr>
        <w:rPr>
          <w:rFonts w:asciiTheme="majorHAnsi" w:hAnsiTheme="majorHAnsi"/>
        </w:rPr>
      </w:pPr>
    </w:p>
    <w:p w14:paraId="33C3E431" w14:textId="77777777" w:rsidR="00631231" w:rsidRPr="00EE2100" w:rsidRDefault="00631231" w:rsidP="00631231">
      <w:pPr>
        <w:rPr>
          <w:rFonts w:asciiTheme="majorHAnsi" w:hAnsiTheme="majorHAnsi"/>
        </w:rPr>
      </w:pPr>
    </w:p>
    <w:p w14:paraId="7D15FE25" w14:textId="77777777" w:rsidR="00631231" w:rsidRPr="00EE2100" w:rsidRDefault="00631231" w:rsidP="00631231">
      <w:pPr>
        <w:rPr>
          <w:rFonts w:asciiTheme="majorHAnsi" w:hAnsiTheme="majorHAnsi"/>
        </w:rPr>
      </w:pPr>
    </w:p>
    <w:p w14:paraId="4FC3C32F" w14:textId="77777777" w:rsidR="00631231" w:rsidRPr="00EE2100" w:rsidRDefault="00631231" w:rsidP="00631231">
      <w:pPr>
        <w:rPr>
          <w:rFonts w:asciiTheme="majorHAnsi" w:hAnsiTheme="majorHAnsi"/>
        </w:rPr>
      </w:pPr>
    </w:p>
    <w:p w14:paraId="2423B1BA" w14:textId="77777777" w:rsidR="00631231" w:rsidRPr="00EE2100" w:rsidRDefault="00631231" w:rsidP="00631231">
      <w:pPr>
        <w:rPr>
          <w:rFonts w:asciiTheme="majorHAnsi" w:hAnsiTheme="majorHAnsi"/>
        </w:rPr>
      </w:pPr>
    </w:p>
    <w:p w14:paraId="0865E346" w14:textId="77777777" w:rsidR="00631231" w:rsidRPr="00EE2100" w:rsidRDefault="00631231" w:rsidP="00631231">
      <w:pPr>
        <w:rPr>
          <w:rFonts w:asciiTheme="majorHAnsi" w:hAnsiTheme="majorHAnsi"/>
        </w:rPr>
      </w:pPr>
    </w:p>
    <w:p w14:paraId="47CC9878" w14:textId="77777777" w:rsidR="00631231" w:rsidRPr="00EE2100" w:rsidRDefault="00631231" w:rsidP="00631231">
      <w:pPr>
        <w:rPr>
          <w:rFonts w:asciiTheme="majorHAnsi" w:hAnsiTheme="majorHAnsi"/>
        </w:rPr>
      </w:pPr>
    </w:p>
    <w:p w14:paraId="0F021B99" w14:textId="77777777" w:rsidR="00631231" w:rsidRPr="00EE2100" w:rsidRDefault="00631231" w:rsidP="00631231">
      <w:pPr>
        <w:rPr>
          <w:rFonts w:asciiTheme="majorHAnsi" w:hAnsiTheme="majorHAnsi"/>
        </w:rPr>
      </w:pPr>
    </w:p>
    <w:p w14:paraId="5EE9748D" w14:textId="77777777" w:rsidR="00631231" w:rsidRPr="00EE2100" w:rsidRDefault="00631231" w:rsidP="00631231">
      <w:pPr>
        <w:rPr>
          <w:rFonts w:asciiTheme="majorHAnsi" w:hAnsiTheme="majorHAnsi"/>
        </w:rPr>
      </w:pPr>
    </w:p>
    <w:p w14:paraId="3D29395D" w14:textId="77777777" w:rsidR="00631231" w:rsidRPr="00EE2100" w:rsidRDefault="00631231" w:rsidP="00631231">
      <w:pPr>
        <w:rPr>
          <w:rFonts w:asciiTheme="majorHAnsi" w:hAnsiTheme="majorHAnsi"/>
        </w:rPr>
      </w:pPr>
    </w:p>
    <w:p w14:paraId="718A6D17" w14:textId="77777777" w:rsidR="00631231" w:rsidRPr="00EE2100" w:rsidRDefault="00631231" w:rsidP="00631231">
      <w:pPr>
        <w:rPr>
          <w:rFonts w:asciiTheme="majorHAnsi" w:hAnsiTheme="majorHAnsi"/>
        </w:rPr>
      </w:pPr>
    </w:p>
    <w:p w14:paraId="6687F00F" w14:textId="77777777" w:rsidR="00631231" w:rsidRPr="00EE2100" w:rsidRDefault="00631231" w:rsidP="00631231">
      <w:pPr>
        <w:rPr>
          <w:rFonts w:asciiTheme="majorHAnsi" w:hAnsiTheme="majorHAnsi"/>
        </w:rPr>
      </w:pPr>
    </w:p>
    <w:p w14:paraId="08114E16" w14:textId="77777777" w:rsidR="00631231" w:rsidRPr="00EE2100" w:rsidRDefault="00631231" w:rsidP="00631231">
      <w:pPr>
        <w:rPr>
          <w:rFonts w:asciiTheme="majorHAnsi" w:hAnsiTheme="majorHAnsi"/>
        </w:rPr>
      </w:pPr>
    </w:p>
    <w:p w14:paraId="1AED6548" w14:textId="77777777" w:rsidR="00631231" w:rsidRPr="00EE2100" w:rsidRDefault="00631231" w:rsidP="00631231">
      <w:pPr>
        <w:rPr>
          <w:rFonts w:asciiTheme="majorHAnsi" w:hAnsiTheme="majorHAnsi"/>
        </w:rPr>
      </w:pPr>
    </w:p>
    <w:p w14:paraId="205332FB" w14:textId="77777777" w:rsidR="00631231" w:rsidRPr="00EE2100" w:rsidRDefault="00631231" w:rsidP="00631231">
      <w:pPr>
        <w:rPr>
          <w:rFonts w:asciiTheme="majorHAnsi" w:hAnsiTheme="majorHAnsi"/>
        </w:rPr>
      </w:pPr>
    </w:p>
    <w:p w14:paraId="32D78706" w14:textId="77777777" w:rsidR="00631231" w:rsidRPr="00EE2100" w:rsidRDefault="00631231" w:rsidP="00631231">
      <w:pPr>
        <w:rPr>
          <w:rFonts w:asciiTheme="majorHAnsi" w:hAnsiTheme="majorHAnsi"/>
        </w:rPr>
      </w:pPr>
    </w:p>
    <w:p w14:paraId="1163C1BB" w14:textId="77777777" w:rsidR="00631231" w:rsidRPr="00EE2100" w:rsidRDefault="00631231" w:rsidP="00631231">
      <w:pPr>
        <w:rPr>
          <w:rFonts w:asciiTheme="majorHAnsi" w:hAnsiTheme="majorHAnsi"/>
        </w:rPr>
      </w:pPr>
    </w:p>
    <w:p w14:paraId="3B0BE086" w14:textId="77777777" w:rsidR="00631231" w:rsidRPr="00EE2100" w:rsidRDefault="00631231" w:rsidP="00631231">
      <w:pPr>
        <w:rPr>
          <w:rFonts w:asciiTheme="majorHAnsi" w:hAnsiTheme="majorHAnsi"/>
        </w:rPr>
      </w:pPr>
    </w:p>
    <w:p w14:paraId="236844E5" w14:textId="77777777" w:rsidR="00631231" w:rsidRDefault="00631231"/>
    <w:sectPr w:rsidR="00631231" w:rsidSect="00631231">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8B1D44"/>
    <w:multiLevelType w:val="hybridMultilevel"/>
    <w:tmpl w:val="0142B1A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70495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AC1"/>
    <w:rsid w:val="002B6298"/>
    <w:rsid w:val="004E2738"/>
    <w:rsid w:val="00631231"/>
    <w:rsid w:val="008A4980"/>
    <w:rsid w:val="00957441"/>
    <w:rsid w:val="00B61A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02EB8"/>
  <w15:chartTrackingRefBased/>
  <w15:docId w15:val="{53418478-8EC2-664E-8137-BF64B0DC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AC1"/>
    <w:pPr>
      <w:spacing w:after="160" w:line="259" w:lineRule="auto"/>
    </w:pPr>
    <w:rPr>
      <w:kern w:val="2"/>
      <w:sz w:val="22"/>
      <w:szCs w:val="22"/>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31231"/>
    <w:pPr>
      <w:spacing w:line="278" w:lineRule="auto"/>
      <w:ind w:left="720"/>
      <w:contextualSpacing/>
    </w:pPr>
    <w:rPr>
      <w:sz w:val="24"/>
      <w:szCs w:val="24"/>
      <w:lang w:val="es-CO"/>
    </w:rPr>
  </w:style>
  <w:style w:type="table" w:styleId="Tabladecuadrcula4">
    <w:name w:val="Grid Table 4"/>
    <w:basedOn w:val="Tablanormal"/>
    <w:uiPriority w:val="49"/>
    <w:rsid w:val="00631231"/>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1439</Words>
  <Characters>7917</Characters>
  <Application>Microsoft Office Word</Application>
  <DocSecurity>0</DocSecurity>
  <Lines>65</Lines>
  <Paragraphs>18</Paragraphs>
  <ScaleCrop>false</ScaleCrop>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Leonardo Robayo Amortegui</dc:creator>
  <cp:keywords/>
  <dc:description/>
  <cp:lastModifiedBy>Henry Leonardo Robayo Amortegui</cp:lastModifiedBy>
  <cp:revision>2</cp:revision>
  <dcterms:created xsi:type="dcterms:W3CDTF">2025-08-06T16:57:00Z</dcterms:created>
  <dcterms:modified xsi:type="dcterms:W3CDTF">2025-08-06T16:57:00Z</dcterms:modified>
</cp:coreProperties>
</file>