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8763" w14:textId="77777777" w:rsidR="00C6637D" w:rsidRPr="00C9082B" w:rsidRDefault="00C6637D" w:rsidP="00C6637D">
      <w:pPr>
        <w:spacing w:line="360" w:lineRule="auto"/>
        <w:jc w:val="both"/>
        <w:rPr>
          <w:rStyle w:val="rynqvb"/>
          <w:rFonts w:asciiTheme="majorBidi" w:hAnsiTheme="majorBidi" w:cstheme="majorBidi"/>
          <w:b/>
          <w:bCs/>
          <w:sz w:val="24"/>
          <w:szCs w:val="24"/>
        </w:rPr>
      </w:pPr>
      <w:r w:rsidRPr="00C9082B">
        <w:rPr>
          <w:rStyle w:val="rynqvb"/>
          <w:rFonts w:asciiTheme="majorBidi" w:hAnsiTheme="majorBidi" w:cstheme="majorBidi"/>
          <w:b/>
          <w:bCs/>
          <w:sz w:val="24"/>
          <w:szCs w:val="24"/>
        </w:rPr>
        <w:t>Appendix</w:t>
      </w:r>
    </w:p>
    <w:p w14:paraId="4D11C405" w14:textId="77777777" w:rsidR="00C6637D" w:rsidRPr="00316520" w:rsidRDefault="00C6637D" w:rsidP="00C6637D">
      <w:pPr>
        <w:spacing w:line="360" w:lineRule="auto"/>
        <w:jc w:val="both"/>
        <w:rPr>
          <w:rStyle w:val="rynqvb"/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16520">
        <w:rPr>
          <w:rStyle w:val="rynqvb"/>
          <w:rFonts w:asciiTheme="majorBidi" w:hAnsiTheme="majorBidi" w:cstheme="majorBidi"/>
          <w:b/>
          <w:bCs/>
          <w:sz w:val="24"/>
          <w:szCs w:val="24"/>
          <w:lang w:bidi="fa-IR"/>
        </w:rPr>
        <w:t>Joint model</w:t>
      </w:r>
    </w:p>
    <w:p w14:paraId="3D99D29A" w14:textId="77777777" w:rsidR="00C6637D" w:rsidRPr="00D103CB" w:rsidRDefault="00C6637D" w:rsidP="00C6637D">
      <w:pPr>
        <w:spacing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bidi="fa-IR"/>
        </w:rPr>
      </w:pPr>
      <w:r>
        <w:rPr>
          <w:rStyle w:val="rynqvb"/>
          <w:rFonts w:asciiTheme="majorBidi" w:hAnsiTheme="majorBidi" w:cstheme="majorBidi"/>
          <w:sz w:val="24"/>
          <w:szCs w:val="24"/>
          <w:lang w:bidi="fa-IR"/>
        </w:rPr>
        <w:t xml:space="preserve">The joint model of longitudinal and time-to-event data includes two sub-models, a linear mixed effect model for modeling longitudinal markers and a </w:t>
      </w:r>
      <w:r w:rsidRPr="00B13302">
        <w:rPr>
          <w:rStyle w:val="rynqvb"/>
          <w:rFonts w:asciiTheme="majorBidi" w:hAnsiTheme="majorBidi" w:cstheme="majorBidi"/>
          <w:sz w:val="24"/>
          <w:szCs w:val="24"/>
          <w:lang w:bidi="fa-IR"/>
        </w:rPr>
        <w:t xml:space="preserve">Cox proportional hazard for </w:t>
      </w:r>
      <w:r>
        <w:rPr>
          <w:rStyle w:val="rynqvb"/>
          <w:rFonts w:asciiTheme="majorBidi" w:hAnsiTheme="majorBidi" w:cstheme="majorBidi"/>
          <w:sz w:val="24"/>
          <w:szCs w:val="24"/>
          <w:lang w:bidi="fa-IR"/>
        </w:rPr>
        <w:t>survival sub-model.</w:t>
      </w:r>
    </w:p>
    <w:p w14:paraId="51312F2B" w14:textId="77777777" w:rsidR="00C6637D" w:rsidRPr="00C9082B" w:rsidRDefault="00C6637D" w:rsidP="00C6637D">
      <w:pPr>
        <w:spacing w:line="360" w:lineRule="auto"/>
        <w:jc w:val="both"/>
        <w:rPr>
          <w:rStyle w:val="rynqvb"/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C9082B">
        <w:rPr>
          <w:rStyle w:val="rynqvb"/>
          <w:rFonts w:asciiTheme="majorBidi" w:hAnsiTheme="majorBidi" w:cstheme="majorBidi"/>
          <w:i/>
          <w:iCs/>
          <w:sz w:val="24"/>
          <w:szCs w:val="24"/>
          <w:lang w:bidi="fa-IR"/>
        </w:rPr>
        <w:t>Linear mixed effect model to model longitudinal markers</w:t>
      </w:r>
    </w:p>
    <w:p w14:paraId="66EB5A90" w14:textId="77777777" w:rsidR="00C6637D" w:rsidRPr="00C9082B" w:rsidRDefault="00C6637D" w:rsidP="00C6637D">
      <w:pPr>
        <w:spacing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bidi="fa-IR"/>
        </w:rPr>
      </w:pPr>
      <w:bookmarkStart w:id="0" w:name="_Hlk186382722"/>
      <w:r w:rsidRPr="00C9082B">
        <w:rPr>
          <w:rStyle w:val="rynqvb"/>
          <w:rFonts w:asciiTheme="majorBidi" w:hAnsiTheme="majorBidi" w:cstheme="majorBidi"/>
          <w:sz w:val="24"/>
          <w:szCs w:val="24"/>
          <w:lang w:bidi="fa-IR"/>
        </w:rPr>
        <w:t>The linear mixed-effects model is one of the most common models in longitudinal data analysis. A distinctive feature of linear mixed-effects models is that the average response is modeled as a combination of population-level characteristics (fixed effects) that are assumed to be shared by all individuals and subject-specific effects (random effects) that are unique to each individual. A linear mixed model is defined as follows:</w:t>
      </w:r>
    </w:p>
    <w:bookmarkStart w:id="1" w:name="_Hlk202544380"/>
    <w:p w14:paraId="6DFE2D43" w14:textId="7EA194A8" w:rsidR="00C6637D" w:rsidRPr="00264578" w:rsidRDefault="00DA433C" w:rsidP="00C6637D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ij</m:t>
                  </m:r>
                </m:sub>
              </m:sSub>
            </m:e>
          </m:d>
          <w:bookmarkEnd w:id="0"/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ϵ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</m:t>
              </m:r>
            </m:e>
          </m:d>
          <w:bookmarkEnd w:id="1"/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=</m:t>
          </m:r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β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k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Z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b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k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ϵ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</m:t>
              </m:r>
            </m:e>
          </m:d>
        </m:oMath>
      </m:oMathPara>
    </w:p>
    <w:p w14:paraId="4B1B5335" w14:textId="41567714" w:rsidR="00C6637D" w:rsidRDefault="00C6637D" w:rsidP="00C6637D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ik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fa-IR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fa-IR"/>
                  </w:rPr>
                  <m:t>ij</m:t>
                </m:r>
              </m:sub>
            </m:sSub>
          </m:e>
        </m:d>
      </m:oMath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s the longitudinal measurement of the </w:t>
      </w:r>
      <w:r w:rsidRPr="00C9082B">
        <w:rPr>
          <w:rStyle w:val="rynqvb"/>
          <w:rFonts w:asciiTheme="majorBidi" w:hAnsiTheme="majorBidi" w:cstheme="majorBidi"/>
          <w:sz w:val="24"/>
          <w:szCs w:val="24"/>
        </w:rPr>
        <w:t xml:space="preserve">k-th </w:t>
      </w:r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longitudinal marker for the subject </w:t>
      </w:r>
      <m:oMath>
        <m:r>
          <w:rPr>
            <w:rStyle w:val="rynqvb"/>
            <w:rFonts w:ascii="Cambria Math" w:hAnsi="Cambria Math" w:cstheme="majorBidi"/>
            <w:sz w:val="24"/>
            <w:szCs w:val="24"/>
            <w:lang w:val="en"/>
          </w:rPr>
          <m:t>i</m:t>
        </m:r>
      </m:oMath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at measurement time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t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fa-IR"/>
          </w:rPr>
          <m:t>(i=1,…,I;j=1,…,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n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</m:t>
            </m:r>
          </m:sub>
        </m:sSub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),</w:t>
      </w:r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ik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'</m:t>
            </m:r>
          </m:sup>
        </m:sSubSup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</w:t>
      </w:r>
      <m:oMath>
        <m:sSubSup>
          <m:sSub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Z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ik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'</m:t>
            </m:r>
          </m:sup>
        </m:sSubSup>
      </m:oMath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are the covariates vectors corresponding to the fixed effect vector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β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k</m:t>
            </m:r>
          </m:sub>
        </m:sSub>
      </m:oMath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and random effect vector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k</m:t>
            </m:r>
          </m:sub>
        </m:sSub>
      </m:oMath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,respectively. The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ik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t</m:t>
            </m:r>
          </m:e>
        </m:d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is the estimate of the true unobserved value of k-th longitudinal marker for the i-th subject</w:t>
      </w:r>
      <w:r w:rsidRPr="00C9082B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. The random effect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fa-IR"/>
          </w:rPr>
          <m:t>~N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0,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fa-IR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fa-IR"/>
                  </w:rPr>
                  <m:t>k</m:t>
                </m:r>
              </m:sub>
            </m:sSub>
          </m:e>
        </m:d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, where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R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k</m:t>
            </m:r>
          </m:sub>
        </m:sSub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is the random effects covariance matrix, and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ϵ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ik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fa-IR"/>
          </w:rPr>
          <m:t>~N(0,</m:t>
        </m:r>
        <m:sSubSup>
          <m:sSub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σ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k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2</m:t>
            </m:r>
          </m:sup>
        </m:sSubSup>
        <m:r>
          <w:rPr>
            <w:rFonts w:ascii="Cambria Math" w:eastAsiaTheme="minorEastAsia" w:hAnsi="Cambria Math" w:cstheme="majorBidi"/>
            <w:sz w:val="24"/>
            <w:szCs w:val="24"/>
            <w:lang w:bidi="fa-IR"/>
          </w:rPr>
          <m:t>)</m:t>
        </m:r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is the vector of error term. </w:t>
      </w:r>
    </w:p>
    <w:p w14:paraId="2D230785" w14:textId="2406E7E6" w:rsidR="00264578" w:rsidRDefault="00264578" w:rsidP="00C6637D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 mixed-effect model with cubic spline terms equals:</w:t>
      </w:r>
    </w:p>
    <w:p w14:paraId="033B5C0B" w14:textId="4863497C" w:rsidR="00264578" w:rsidRPr="00C9082B" w:rsidRDefault="00DA433C" w:rsidP="0026457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ij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ϵ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i0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i1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B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n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t,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i2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B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n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t,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fa-IR"/>
                    </w:rPr>
                    <m:t>i3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B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n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(t,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λ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)</m:t>
          </m:r>
        </m:oMath>
      </m:oMathPara>
    </w:p>
    <w:p w14:paraId="6588550B" w14:textId="0AC9A22F" w:rsidR="00264578" w:rsidRDefault="00264578" w:rsidP="00CD6186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bookmarkStart w:id="2" w:name="_Hlk190442770"/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Where {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t,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fa-IR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fa-IR"/>
                  </w:rPr>
                  <m:t>k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fa-IR"/>
          </w:rPr>
          <m:t>;k=1,2,3}</m:t>
        </m:r>
      </m:oMath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CD6186" w:rsidRPr="00CD6186">
        <w:rPr>
          <w:rFonts w:asciiTheme="majorBidi" w:eastAsiaTheme="minorEastAsia" w:hAnsiTheme="majorBidi" w:cstheme="majorBidi"/>
          <w:sz w:val="24"/>
          <w:szCs w:val="24"/>
          <w:lang w:bidi="fa-IR"/>
        </w:rPr>
        <w:t>represents the B-spline basis matrix for a cubic spline of time, with internal knots placed at the 33.3rd and 66.7th percentiles of the follow-up times</w:t>
      </w:r>
      <w:r w:rsidR="0067626E"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14:paraId="745F8A03" w14:textId="103E83FD" w:rsidR="001524EA" w:rsidRDefault="001524EA" w:rsidP="00CD6186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</w:p>
    <w:p w14:paraId="495A2DCB" w14:textId="77777777" w:rsidR="001524EA" w:rsidRPr="00264578" w:rsidRDefault="001524EA" w:rsidP="00CD6186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</w:p>
    <w:p w14:paraId="7253F96F" w14:textId="3B1D13AB" w:rsidR="00C6637D" w:rsidRPr="00C9082B" w:rsidRDefault="00C6637D" w:rsidP="00C6637D">
      <w:pPr>
        <w:spacing w:line="360" w:lineRule="auto"/>
        <w:jc w:val="both"/>
        <w:rPr>
          <w:rFonts w:asciiTheme="majorBidi" w:eastAsiaTheme="minorEastAsia" w:hAnsiTheme="majorBidi" w:cstheme="majorBidi"/>
          <w:i/>
          <w:iCs/>
          <w:sz w:val="24"/>
          <w:szCs w:val="24"/>
          <w:lang w:bidi="fa-IR"/>
        </w:rPr>
      </w:pPr>
      <w:r w:rsidRPr="00C9082B">
        <w:rPr>
          <w:rFonts w:asciiTheme="majorBidi" w:eastAsiaTheme="minorEastAsia" w:hAnsiTheme="majorBidi" w:cstheme="majorBidi"/>
          <w:i/>
          <w:iCs/>
          <w:sz w:val="24"/>
          <w:szCs w:val="24"/>
          <w:lang w:bidi="fa-IR"/>
        </w:rPr>
        <w:lastRenderedPageBreak/>
        <w:t xml:space="preserve">Cox proportional hazard for </w:t>
      </w:r>
      <w:bookmarkEnd w:id="2"/>
      <w:r w:rsidRPr="00C9082B">
        <w:rPr>
          <w:rFonts w:asciiTheme="majorBidi" w:eastAsiaTheme="minorEastAsia" w:hAnsiTheme="majorBidi" w:cstheme="majorBidi"/>
          <w:i/>
          <w:iCs/>
          <w:sz w:val="24"/>
          <w:szCs w:val="24"/>
          <w:lang w:bidi="fa-IR"/>
        </w:rPr>
        <w:t>survival sub-model</w:t>
      </w:r>
    </w:p>
    <w:p w14:paraId="1A9507B8" w14:textId="77777777" w:rsidR="00C6637D" w:rsidRPr="00C9082B" w:rsidRDefault="00C6637D" w:rsidP="00C6637D">
      <w:pPr>
        <w:spacing w:line="360" w:lineRule="auto"/>
        <w:jc w:val="both"/>
        <w:rPr>
          <w:rStyle w:val="rynqvb"/>
          <w:rFonts w:asciiTheme="majorBidi" w:eastAsiaTheme="minorEastAsia" w:hAnsiTheme="majorBidi" w:cstheme="majorBidi"/>
          <w:sz w:val="24"/>
          <w:szCs w:val="24"/>
          <w:rtl/>
          <w:lang w:bidi="fa-IR"/>
        </w:rPr>
      </w:pPr>
      <w:r w:rsidRPr="00C9082B">
        <w:rPr>
          <w:rStyle w:val="rynqvb"/>
          <w:rFonts w:asciiTheme="majorBidi" w:eastAsiaTheme="minorEastAsia" w:hAnsiTheme="majorBidi" w:cstheme="majorBidi"/>
          <w:sz w:val="24"/>
          <w:szCs w:val="24"/>
          <w:lang w:bidi="fa-IR"/>
        </w:rPr>
        <w:t>For the survival sub-model, we used a Cox proportional hazards model. The survival sub-model is defined as follows:</w:t>
      </w:r>
    </w:p>
    <w:bookmarkStart w:id="3" w:name="_Toc41969307"/>
    <w:bookmarkStart w:id="4" w:name="_Toc41971169"/>
    <w:p w14:paraId="6255E300" w14:textId="77777777" w:rsidR="00C6637D" w:rsidRPr="00C9082B" w:rsidRDefault="00DA433C" w:rsidP="00C6637D">
      <w:pPr>
        <w:keepNext/>
        <w:keepLines/>
        <w:bidi/>
        <w:spacing w:before="200" w:after="0" w:line="276" w:lineRule="auto"/>
        <w:ind w:right="57"/>
        <w:outlineLvl w:val="2"/>
        <w:rPr>
          <w:rFonts w:asciiTheme="majorBidi" w:eastAsiaTheme="minorEastAsia" w:hAnsiTheme="majorBidi" w:cstheme="majorBidi"/>
          <w:i/>
          <w:sz w:val="24"/>
          <w:szCs w:val="24"/>
          <w:rtl/>
          <w:lang w:bidi="fa-I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h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h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(t)exp⁡</m:t>
          </m:r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(</m:t>
          </m:r>
          <w:bookmarkStart w:id="5" w:name="_Hlk182499601"/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γ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T</m:t>
              </m:r>
            </m:sup>
          </m:sSup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α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k</m:t>
              </m:r>
            </m:sub>
          </m:sSub>
          <w:bookmarkStart w:id="6" w:name="_Hlk186385091"/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fa-IR"/>
                </w:rPr>
                <m:t>ik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(t)</m:t>
          </m:r>
          <w:bookmarkEnd w:id="5"/>
          <w:bookmarkEnd w:id="6"/>
          <m:r>
            <w:rPr>
              <w:rFonts w:ascii="Cambria Math" w:eastAsiaTheme="minorEastAsia" w:hAnsi="Cambria Math" w:cstheme="majorBidi"/>
              <w:sz w:val="24"/>
              <w:szCs w:val="24"/>
              <w:lang w:bidi="fa-IR"/>
            </w:rPr>
            <m:t>)</m:t>
          </m:r>
        </m:oMath>
      </m:oMathPara>
      <w:bookmarkEnd w:id="3"/>
      <w:bookmarkEnd w:id="4"/>
    </w:p>
    <w:p w14:paraId="13F269F1" w14:textId="77777777" w:rsidR="00C6637D" w:rsidRPr="00C9082B" w:rsidRDefault="00C6637D" w:rsidP="00C6637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55D70E74" w14:textId="4E52F708" w:rsidR="00C6637D" w:rsidRDefault="00C6637D" w:rsidP="00C6637D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C9082B">
        <w:rPr>
          <w:rFonts w:asciiTheme="majorBidi" w:hAnsiTheme="majorBidi" w:cstheme="majorBidi"/>
          <w:sz w:val="24"/>
          <w:szCs w:val="24"/>
          <w:lang w:val="en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</m:t>
            </m:r>
          </m:sub>
        </m:sSub>
      </m:oMath>
      <w:r w:rsidRPr="00C9082B">
        <w:rPr>
          <w:rFonts w:asciiTheme="majorBidi" w:hAnsiTheme="majorBidi" w:cstheme="majorBidi"/>
          <w:sz w:val="24"/>
          <w:szCs w:val="24"/>
          <w:lang w:val="en"/>
        </w:rPr>
        <w:t xml:space="preserve"> is the vector of baseline covariates,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γ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T</m:t>
            </m:r>
          </m:sup>
        </m:sSup>
      </m:oMath>
      <w:r w:rsidRPr="00C9082B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is the corresponding coefficient vector of baseline covariates in the survival sub-model, and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α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k</m:t>
            </m:r>
          </m:sub>
        </m:sSub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is the association parameter corresponding to the unobserved value of the k-th longitudinal marker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fa-IR"/>
              </w:rPr>
              <m:t>ik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fa-IR"/>
          </w:rPr>
          <m:t>(t)</m:t>
        </m:r>
      </m:oMath>
      <w:r w:rsidRPr="00C9082B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. </w:t>
      </w:r>
    </w:p>
    <w:p w14:paraId="002F4162" w14:textId="7403BDAD" w:rsidR="00E446C8" w:rsidRDefault="00D30178" w:rsidP="00D30178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39C6CBBE" wp14:editId="74B7ABA3">
            <wp:extent cx="1852137" cy="847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23" cy="854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757C">
        <w:rPr>
          <w:noProof/>
        </w:rPr>
        <w:drawing>
          <wp:inline distT="0" distB="0" distL="0" distR="0" wp14:anchorId="04CA818E" wp14:editId="4D76C252">
            <wp:extent cx="2047875" cy="780379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788" cy="797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4F9">
        <w:rPr>
          <w:rFonts w:asciiTheme="majorBidi" w:eastAsiaTheme="minorEastAsia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4E908591" wp14:editId="09FC2AF2">
            <wp:extent cx="1952625" cy="838184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964" cy="85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C23D3" w14:textId="779FD4ED" w:rsidR="00B2361B" w:rsidRDefault="00D30178" w:rsidP="00635DB0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7E435280" wp14:editId="06AE5909">
            <wp:extent cx="1822945" cy="790575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355" cy="79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757C">
        <w:rPr>
          <w:noProof/>
        </w:rPr>
        <w:drawing>
          <wp:inline distT="0" distB="0" distL="0" distR="0" wp14:anchorId="3AC764FA" wp14:editId="060D88D1">
            <wp:extent cx="1990725" cy="7901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67" cy="809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4F9">
        <w:rPr>
          <w:rFonts w:asciiTheme="majorBidi" w:eastAsiaTheme="minorEastAsia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49B8739F" wp14:editId="6B7284F5">
            <wp:extent cx="2122797" cy="8096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91" cy="814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DAF762" w14:textId="1C4A1984" w:rsidR="000F44F9" w:rsidRDefault="00D30178" w:rsidP="000F44F9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25E7672B" wp14:editId="107ACF96">
            <wp:extent cx="1844481" cy="81915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20" cy="829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757C">
        <w:rPr>
          <w:noProof/>
        </w:rPr>
        <w:drawing>
          <wp:inline distT="0" distB="0" distL="0" distR="0" wp14:anchorId="75C87071" wp14:editId="17A58B46">
            <wp:extent cx="1914525" cy="80114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745" cy="811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4F9">
        <w:rPr>
          <w:rFonts w:asciiTheme="majorBidi" w:eastAsiaTheme="minorEastAsia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61C1AB7A" wp14:editId="7362F244">
            <wp:extent cx="2152650" cy="83968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36" cy="846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0F494" w14:textId="270C9497" w:rsidR="000F44F9" w:rsidRDefault="001F12CB" w:rsidP="00635DB0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B3338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Figure S1.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9C17EA" w:rsidRPr="009C17EA">
        <w:rPr>
          <w:rFonts w:asciiTheme="majorBidi" w:eastAsiaTheme="minorEastAsia" w:hAnsiTheme="majorBidi" w:cstheme="majorBidi"/>
          <w:sz w:val="24"/>
          <w:szCs w:val="24"/>
          <w:lang w:bidi="fa-IR"/>
        </w:rPr>
        <w:t>Subject-specific longitudinal profiles</w:t>
      </w:r>
      <w:r w:rsidR="009C17E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of log-creatinine, log-BUN, and hematocrit</w:t>
      </w:r>
      <w:r w:rsidR="009C17EA" w:rsidRPr="009C17E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for </w:t>
      </w:r>
      <w:r w:rsidR="009C17EA">
        <w:rPr>
          <w:rFonts w:asciiTheme="majorBidi" w:eastAsiaTheme="minorEastAsia" w:hAnsiTheme="majorBidi" w:cstheme="majorBidi"/>
          <w:sz w:val="24"/>
          <w:szCs w:val="24"/>
          <w:lang w:bidi="fa-IR"/>
        </w:rPr>
        <w:t>three</w:t>
      </w:r>
      <w:r w:rsidR="009C17EA" w:rsidRPr="009C17E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patients from the</w:t>
      </w:r>
      <w:r w:rsidR="009C17E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kidney transplant data.</w:t>
      </w:r>
    </w:p>
    <w:p w14:paraId="7B9AA5A7" w14:textId="77777777" w:rsidR="005962C9" w:rsidRDefault="005962C9" w:rsidP="00D77385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</w:p>
    <w:p w14:paraId="6D5EB784" w14:textId="77777777" w:rsidR="005962C9" w:rsidRDefault="005962C9" w:rsidP="00D77385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</w:p>
    <w:p w14:paraId="27413D02" w14:textId="77777777" w:rsidR="005962C9" w:rsidRDefault="005962C9" w:rsidP="00D77385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</w:p>
    <w:p w14:paraId="5D4E9335" w14:textId="77777777" w:rsidR="005962C9" w:rsidRDefault="005962C9" w:rsidP="00D77385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</w:p>
    <w:p w14:paraId="7A57701F" w14:textId="77777777" w:rsidR="005962C9" w:rsidRDefault="005962C9" w:rsidP="00D77385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</w:p>
    <w:p w14:paraId="561EA13F" w14:textId="2A723491" w:rsidR="00AA7D63" w:rsidRDefault="008B1827" w:rsidP="00D77385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364E8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lastRenderedPageBreak/>
        <w:t>Table S1.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D77385" w:rsidRPr="00D77385">
        <w:rPr>
          <w:rFonts w:asciiTheme="majorBidi" w:eastAsiaTheme="minorEastAsia" w:hAnsiTheme="majorBidi" w:cstheme="majorBidi"/>
          <w:sz w:val="24"/>
          <w:szCs w:val="24"/>
          <w:lang w:bidi="fa-IR"/>
        </w:rPr>
        <w:t>Cross-Validated Hazard Ratios for Log-Serum Creatinine, Log-BUN, and Hematocrit from a Multivariate Joint Model Adjusted for Baseline Covariates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73"/>
        <w:gridCol w:w="2334"/>
        <w:gridCol w:w="1214"/>
        <w:gridCol w:w="1227"/>
        <w:gridCol w:w="1302"/>
      </w:tblGrid>
      <w:tr w:rsidR="001E7511" w:rsidRPr="001E7511" w14:paraId="02770032" w14:textId="5562D737" w:rsidTr="001E7511">
        <w:tc>
          <w:tcPr>
            <w:tcW w:w="1750" w:type="pct"/>
            <w:hideMark/>
          </w:tcPr>
          <w:p w14:paraId="6CE06352" w14:textId="77777777" w:rsidR="001E7511" w:rsidRPr="001E7511" w:rsidRDefault="001E7511" w:rsidP="001E751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7511">
              <w:rPr>
                <w:rFonts w:ascii="Times New Roman" w:eastAsia="Times New Roman" w:hAnsi="Times New Roman" w:cs="Times New Roman"/>
                <w:b/>
                <w:bCs/>
              </w:rPr>
              <w:t>Biomarker</w:t>
            </w:r>
          </w:p>
        </w:tc>
        <w:tc>
          <w:tcPr>
            <w:tcW w:w="1248" w:type="pct"/>
            <w:hideMark/>
          </w:tcPr>
          <w:p w14:paraId="774F3513" w14:textId="77777777" w:rsidR="001E7511" w:rsidRPr="001E7511" w:rsidRDefault="001E7511" w:rsidP="001E751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7511">
              <w:rPr>
                <w:rFonts w:ascii="Times New Roman" w:eastAsia="Times New Roman" w:hAnsi="Times New Roman" w:cs="Times New Roman"/>
                <w:b/>
                <w:bCs/>
              </w:rPr>
              <w:t>Mean HR</w:t>
            </w:r>
          </w:p>
        </w:tc>
        <w:tc>
          <w:tcPr>
            <w:tcW w:w="649" w:type="pct"/>
            <w:hideMark/>
          </w:tcPr>
          <w:p w14:paraId="34B41682" w14:textId="77777777" w:rsidR="001E7511" w:rsidRPr="001E7511" w:rsidRDefault="001E7511" w:rsidP="001E751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7511">
              <w:rPr>
                <w:rFonts w:ascii="Times New Roman" w:eastAsia="Times New Roman" w:hAnsi="Times New Roman" w:cs="Times New Roman"/>
                <w:b/>
                <w:bCs/>
              </w:rPr>
              <w:t>SD</w:t>
            </w:r>
          </w:p>
        </w:tc>
        <w:tc>
          <w:tcPr>
            <w:tcW w:w="656" w:type="pct"/>
            <w:hideMark/>
          </w:tcPr>
          <w:p w14:paraId="7BD055C2" w14:textId="645E720D" w:rsidR="001E7511" w:rsidRPr="001E7511" w:rsidRDefault="001E7511" w:rsidP="001E751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7511">
              <w:rPr>
                <w:rFonts w:ascii="Times New Roman" w:eastAsia="Times New Roman" w:hAnsi="Times New Roman" w:cs="Times New Roman"/>
                <w:b/>
                <w:bCs/>
              </w:rPr>
              <w:t>Min</w:t>
            </w:r>
          </w:p>
        </w:tc>
        <w:tc>
          <w:tcPr>
            <w:tcW w:w="696" w:type="pct"/>
          </w:tcPr>
          <w:p w14:paraId="4BE72F39" w14:textId="1CF98189" w:rsidR="001E7511" w:rsidRPr="001E7511" w:rsidRDefault="001E7511" w:rsidP="001E751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7511">
              <w:rPr>
                <w:rFonts w:ascii="Times New Roman" w:eastAsia="Times New Roman" w:hAnsi="Times New Roman" w:cs="Times New Roman"/>
                <w:b/>
                <w:bCs/>
              </w:rPr>
              <w:t>Max</w:t>
            </w:r>
          </w:p>
        </w:tc>
      </w:tr>
      <w:tr w:rsidR="001E7511" w:rsidRPr="001E7511" w14:paraId="551BA5A3" w14:textId="7F0B7A2A" w:rsidTr="001E7511">
        <w:tc>
          <w:tcPr>
            <w:tcW w:w="1750" w:type="pct"/>
          </w:tcPr>
          <w:p w14:paraId="2A4F3670" w14:textId="69279631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D72B3F">
              <w:rPr>
                <w:rFonts w:asciiTheme="majorBidi" w:hAnsiTheme="majorBidi" w:cstheme="majorBidi"/>
                <w:sz w:val="20"/>
                <w:szCs w:val="20"/>
              </w:rPr>
              <w:t>Log-creatinine(mg/dL) *10</w:t>
            </w:r>
          </w:p>
        </w:tc>
        <w:tc>
          <w:tcPr>
            <w:tcW w:w="1248" w:type="pct"/>
            <w:hideMark/>
          </w:tcPr>
          <w:p w14:paraId="3BE829FA" w14:textId="44FBFB5A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1E7511">
              <w:rPr>
                <w:rFonts w:ascii="Times New Roman" w:eastAsia="Times New Roman" w:hAnsi="Times New Roman" w:cs="Times New Roman"/>
              </w:rPr>
              <w:t>1.</w:t>
            </w:r>
            <w:r w:rsidR="0006769F"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649" w:type="pct"/>
            <w:hideMark/>
          </w:tcPr>
          <w:p w14:paraId="549F2AA5" w14:textId="1C581CD8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1E7511">
              <w:rPr>
                <w:rFonts w:ascii="Times New Roman" w:eastAsia="Times New Roman" w:hAnsi="Times New Roman" w:cs="Times New Roman"/>
              </w:rPr>
              <w:t>0.</w:t>
            </w:r>
            <w:r w:rsidR="0006769F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656" w:type="pct"/>
          </w:tcPr>
          <w:p w14:paraId="7933D913" w14:textId="0EC0FB0B" w:rsidR="001E7511" w:rsidRPr="001E7511" w:rsidRDefault="0006769F" w:rsidP="001E7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1.305</w:t>
            </w:r>
          </w:p>
        </w:tc>
        <w:tc>
          <w:tcPr>
            <w:tcW w:w="696" w:type="pct"/>
          </w:tcPr>
          <w:p w14:paraId="765AA300" w14:textId="118581E7" w:rsidR="001E7511" w:rsidRPr="001E7511" w:rsidRDefault="0006769F" w:rsidP="001E7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1.605</w:t>
            </w:r>
          </w:p>
        </w:tc>
      </w:tr>
      <w:tr w:rsidR="001E7511" w:rsidRPr="001E7511" w14:paraId="45501E50" w14:textId="0E2C400C" w:rsidTr="001E7511">
        <w:tc>
          <w:tcPr>
            <w:tcW w:w="1750" w:type="pct"/>
          </w:tcPr>
          <w:p w14:paraId="20AE423F" w14:textId="2EB9C273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D72B3F">
              <w:rPr>
                <w:rFonts w:asciiTheme="majorBidi" w:hAnsiTheme="majorBidi" w:cstheme="majorBidi"/>
                <w:sz w:val="20"/>
                <w:szCs w:val="20"/>
              </w:rPr>
              <w:t>Log-BUN (mg/dL) *10</w:t>
            </w:r>
          </w:p>
        </w:tc>
        <w:tc>
          <w:tcPr>
            <w:tcW w:w="1248" w:type="pct"/>
            <w:hideMark/>
          </w:tcPr>
          <w:p w14:paraId="5830312B" w14:textId="7F0960EB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1E7511">
              <w:rPr>
                <w:rFonts w:ascii="Times New Roman" w:eastAsia="Times New Roman" w:hAnsi="Times New Roman" w:cs="Times New Roman"/>
              </w:rPr>
              <w:t>1.1</w:t>
            </w:r>
            <w:r w:rsidR="0006769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49" w:type="pct"/>
            <w:hideMark/>
          </w:tcPr>
          <w:p w14:paraId="4BDB26FF" w14:textId="07EAAB04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1E7511">
              <w:rPr>
                <w:rFonts w:ascii="Times New Roman" w:eastAsia="Times New Roman" w:hAnsi="Times New Roman" w:cs="Times New Roman"/>
              </w:rPr>
              <w:t>0.0</w:t>
            </w:r>
            <w:r w:rsidR="0006769F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56" w:type="pct"/>
          </w:tcPr>
          <w:p w14:paraId="3173DF73" w14:textId="507AFDEB" w:rsidR="001E7511" w:rsidRPr="001E7511" w:rsidRDefault="0006769F" w:rsidP="001E7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1.048</w:t>
            </w:r>
          </w:p>
        </w:tc>
        <w:tc>
          <w:tcPr>
            <w:tcW w:w="696" w:type="pct"/>
          </w:tcPr>
          <w:p w14:paraId="52A1C860" w14:textId="6FEACC2B" w:rsidR="001E7511" w:rsidRPr="001E7511" w:rsidRDefault="0006769F" w:rsidP="001E7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1.266</w:t>
            </w:r>
          </w:p>
        </w:tc>
      </w:tr>
      <w:tr w:rsidR="001E7511" w:rsidRPr="001E7511" w14:paraId="3256A43E" w14:textId="2390F7AC" w:rsidTr="001E7511">
        <w:tc>
          <w:tcPr>
            <w:tcW w:w="1750" w:type="pct"/>
          </w:tcPr>
          <w:p w14:paraId="2DA7AD3E" w14:textId="2765862D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D72B3F">
              <w:rPr>
                <w:rFonts w:asciiTheme="majorBidi" w:hAnsiTheme="majorBidi" w:cstheme="majorBidi"/>
                <w:sz w:val="20"/>
                <w:szCs w:val="20"/>
              </w:rPr>
              <w:t>Hematocrit (%)</w:t>
            </w:r>
          </w:p>
        </w:tc>
        <w:tc>
          <w:tcPr>
            <w:tcW w:w="1248" w:type="pct"/>
            <w:hideMark/>
          </w:tcPr>
          <w:p w14:paraId="14ADF69F" w14:textId="1DF824F6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1E7511">
              <w:rPr>
                <w:rFonts w:ascii="Times New Roman" w:eastAsia="Times New Roman" w:hAnsi="Times New Roman" w:cs="Times New Roman"/>
              </w:rPr>
              <w:t>0.9</w:t>
            </w:r>
            <w:r w:rsidR="0006769F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649" w:type="pct"/>
            <w:hideMark/>
          </w:tcPr>
          <w:p w14:paraId="70DAF618" w14:textId="53AEAA16" w:rsidR="001E7511" w:rsidRPr="001E7511" w:rsidRDefault="001E7511" w:rsidP="001E7511">
            <w:pPr>
              <w:rPr>
                <w:rFonts w:ascii="Times New Roman" w:eastAsia="Times New Roman" w:hAnsi="Times New Roman" w:cs="Times New Roman"/>
              </w:rPr>
            </w:pPr>
            <w:r w:rsidRPr="001E7511">
              <w:rPr>
                <w:rFonts w:ascii="Times New Roman" w:eastAsia="Times New Roman" w:hAnsi="Times New Roman" w:cs="Times New Roman"/>
              </w:rPr>
              <w:t>0.03</w:t>
            </w:r>
            <w:r w:rsidR="0006769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6" w:type="pct"/>
          </w:tcPr>
          <w:p w14:paraId="1B1FE9BC" w14:textId="2D0C7B1D" w:rsidR="001E7511" w:rsidRPr="001E7511" w:rsidRDefault="0006769F" w:rsidP="001E7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0.851</w:t>
            </w:r>
          </w:p>
        </w:tc>
        <w:tc>
          <w:tcPr>
            <w:tcW w:w="696" w:type="pct"/>
          </w:tcPr>
          <w:p w14:paraId="0B7A5170" w14:textId="2F538327" w:rsidR="001E7511" w:rsidRPr="001E7511" w:rsidRDefault="0006769F" w:rsidP="001E75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0.952</w:t>
            </w:r>
          </w:p>
        </w:tc>
      </w:tr>
    </w:tbl>
    <w:p w14:paraId="41A74040" w14:textId="65080334" w:rsidR="004A1D6D" w:rsidRPr="006364E8" w:rsidRDefault="00F018DA" w:rsidP="004A1D6D">
      <w:pPr>
        <w:spacing w:line="360" w:lineRule="auto"/>
        <w:jc w:val="both"/>
        <w:rPr>
          <w:rFonts w:asciiTheme="majorBidi" w:eastAsiaTheme="minorEastAsia" w:hAnsiTheme="majorBidi" w:cstheme="majorBidi"/>
          <w:sz w:val="20"/>
          <w:szCs w:val="20"/>
          <w:lang w:bidi="fa-IR"/>
        </w:rPr>
      </w:pPr>
      <w:bookmarkStart w:id="7" w:name="_Hlk187957709"/>
      <w:r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Model 3 was used for cross-validation; Model 3 was a m</w:t>
      </w:r>
      <w:r w:rsidR="004A1D6D"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 xml:space="preserve">ultivariate </w:t>
      </w:r>
      <w:bookmarkStart w:id="8" w:name="_Hlk186974727"/>
      <w:r w:rsidR="004A1D6D"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joint model with three longitudinal biomarkers and baseline covariates</w:t>
      </w:r>
      <w:bookmarkEnd w:id="7"/>
      <w:r w:rsidR="004A1D6D"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 xml:space="preserve">* in </w:t>
      </w:r>
      <w:r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 xml:space="preserve">the </w:t>
      </w:r>
      <w:r w:rsidR="004A1D6D"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survival sub-model</w:t>
      </w:r>
      <w:bookmarkEnd w:id="8"/>
      <w:r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.</w:t>
      </w:r>
    </w:p>
    <w:p w14:paraId="7AE99D53" w14:textId="2F6BCF11" w:rsidR="004A1D6D" w:rsidRPr="006364E8" w:rsidRDefault="004A1D6D" w:rsidP="00DA433C">
      <w:pPr>
        <w:spacing w:line="360" w:lineRule="auto"/>
        <w:jc w:val="both"/>
        <w:rPr>
          <w:rFonts w:asciiTheme="majorBidi" w:eastAsiaTheme="minorEastAsia" w:hAnsiTheme="majorBidi" w:cstheme="majorBidi"/>
          <w:sz w:val="20"/>
          <w:szCs w:val="20"/>
          <w:lang w:bidi="fa-IR"/>
        </w:rPr>
      </w:pPr>
      <w:r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* Baseline covariates include: Recipient age, Recipient gender, Serum creatinine at transplant time (mg/dl), HTN, Donor type</w:t>
      </w:r>
      <w:r w:rsidR="00DA433C">
        <w:rPr>
          <w:rFonts w:asciiTheme="majorBidi" w:eastAsiaTheme="minorEastAsia" w:hAnsiTheme="majorBidi" w:cstheme="majorBidi"/>
          <w:sz w:val="20"/>
          <w:szCs w:val="20"/>
          <w:lang w:bidi="fa-IR"/>
        </w:rPr>
        <w:t xml:space="preserve">, </w:t>
      </w:r>
      <w:r w:rsidR="00DA433C" w:rsidRPr="00DA433C">
        <w:rPr>
          <w:rFonts w:asciiTheme="majorBidi" w:eastAsiaTheme="minorEastAsia" w:hAnsiTheme="majorBidi" w:cstheme="majorBidi"/>
          <w:sz w:val="20"/>
          <w:szCs w:val="20"/>
          <w:lang w:bidi="fa-IR"/>
        </w:rPr>
        <w:t>time of dialysis</w:t>
      </w:r>
      <w:r w:rsidR="00DA433C">
        <w:rPr>
          <w:rFonts w:asciiTheme="majorBidi" w:eastAsiaTheme="minorEastAsia" w:hAnsiTheme="majorBidi" w:cstheme="majorBidi"/>
          <w:sz w:val="20"/>
          <w:szCs w:val="20"/>
          <w:lang w:bidi="fa-IR"/>
        </w:rPr>
        <w:t xml:space="preserve"> (month)</w:t>
      </w:r>
      <w:r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, and Type of immunosuppressive drugs</w:t>
      </w:r>
      <w:r w:rsidR="00F018DA"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.</w:t>
      </w:r>
    </w:p>
    <w:p w14:paraId="2E2EFF41" w14:textId="46EC8651" w:rsidR="001E7511" w:rsidRPr="006364E8" w:rsidRDefault="009F1CEC" w:rsidP="009B04D9">
      <w:pPr>
        <w:spacing w:line="360" w:lineRule="auto"/>
        <w:jc w:val="both"/>
        <w:rPr>
          <w:rFonts w:asciiTheme="majorBidi" w:eastAsiaTheme="minorEastAsia" w:hAnsiTheme="majorBidi" w:cstheme="majorBidi"/>
          <w:sz w:val="20"/>
          <w:szCs w:val="20"/>
          <w:lang w:bidi="fa-IR"/>
        </w:rPr>
      </w:pPr>
      <w:r w:rsidRPr="006364E8">
        <w:rPr>
          <w:rFonts w:asciiTheme="majorBidi" w:eastAsiaTheme="minorEastAsia" w:hAnsiTheme="majorBidi" w:cstheme="majorBidi"/>
          <w:sz w:val="20"/>
          <w:szCs w:val="20"/>
          <w:lang w:bidi="fa-IR"/>
        </w:rPr>
        <w:t>Abbreviations: BUN: Blood Urea Nitrogen; HR: Hazard Ratio; SD: Standard Deviation; Min: Minimum; Max: Maximum.</w:t>
      </w:r>
    </w:p>
    <w:p w14:paraId="36B7D387" w14:textId="101640A8" w:rsidR="00EF55A7" w:rsidRDefault="00EF55A7" w:rsidP="00EF55A7"/>
    <w:p w14:paraId="4BCE5F16" w14:textId="243E74D9" w:rsidR="00A604A2" w:rsidRDefault="00A604A2"/>
    <w:p w14:paraId="40156D59" w14:textId="67CFA864" w:rsidR="0098757C" w:rsidRDefault="0098757C"/>
    <w:sectPr w:rsidR="00987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37"/>
    <w:rsid w:val="0006769F"/>
    <w:rsid w:val="00094649"/>
    <w:rsid w:val="000F44F9"/>
    <w:rsid w:val="001524EA"/>
    <w:rsid w:val="001E7511"/>
    <w:rsid w:val="001F12CB"/>
    <w:rsid w:val="00221737"/>
    <w:rsid w:val="00264578"/>
    <w:rsid w:val="004A1D6D"/>
    <w:rsid w:val="005320E3"/>
    <w:rsid w:val="005962C9"/>
    <w:rsid w:val="00635DB0"/>
    <w:rsid w:val="006364E8"/>
    <w:rsid w:val="0067626E"/>
    <w:rsid w:val="008B1827"/>
    <w:rsid w:val="0098757C"/>
    <w:rsid w:val="009B04D9"/>
    <w:rsid w:val="009C17EA"/>
    <w:rsid w:val="009F1CEC"/>
    <w:rsid w:val="00A604A2"/>
    <w:rsid w:val="00AA7D63"/>
    <w:rsid w:val="00B2361B"/>
    <w:rsid w:val="00B33385"/>
    <w:rsid w:val="00B441B6"/>
    <w:rsid w:val="00BF280E"/>
    <w:rsid w:val="00C6637D"/>
    <w:rsid w:val="00CB36EF"/>
    <w:rsid w:val="00CD6186"/>
    <w:rsid w:val="00D30178"/>
    <w:rsid w:val="00D77385"/>
    <w:rsid w:val="00DA433C"/>
    <w:rsid w:val="00E446C8"/>
    <w:rsid w:val="00EF55A7"/>
    <w:rsid w:val="00F0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333CC"/>
  <w15:chartTrackingRefBased/>
  <w15:docId w15:val="{47496692-AAB3-4DE7-96BC-F4CEFD98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3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C6637D"/>
  </w:style>
  <w:style w:type="table" w:styleId="TableGridLight">
    <w:name w:val="Grid Table Light"/>
    <w:basedOn w:val="TableNormal"/>
    <w:uiPriority w:val="40"/>
    <w:rsid w:val="00C663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264578"/>
    <w:rPr>
      <w:color w:val="808080"/>
    </w:rPr>
  </w:style>
  <w:style w:type="table" w:styleId="PlainTable4">
    <w:name w:val="Plain Table 4"/>
    <w:basedOn w:val="TableNormal"/>
    <w:uiPriority w:val="44"/>
    <w:rsid w:val="001E75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1E7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462</Words>
  <Characters>2809</Characters>
  <Application>Microsoft Office Word</Application>
  <DocSecurity>0</DocSecurity>
  <Lines>85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</dc:creator>
  <cp:keywords/>
  <dc:description/>
  <cp:lastModifiedBy>Nil</cp:lastModifiedBy>
  <cp:revision>25</cp:revision>
  <dcterms:created xsi:type="dcterms:W3CDTF">2025-04-12T17:51:00Z</dcterms:created>
  <dcterms:modified xsi:type="dcterms:W3CDTF">2025-08-12T09:39:00Z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e5c32a35560dfea40f7114477b900c971922972bacbe8ceb6d61cd7aa9d0ced0</vt:lpwstr>
  </property>
</Properties>
</file>