
<file path=[Content_Types].xml><?xml version="1.0" encoding="utf-8"?>
<Types xmlns="http://schemas.openxmlformats.org/package/2006/content-types">
  <Default Extension="xml" ContentType="application/xml"/>
  <Default Extension="png" ContentType="image/pn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51F8DB">
      <w:pPr>
        <w:widowControl/>
        <w:spacing w:line="480" w:lineRule="auto"/>
        <w:jc w:val="center"/>
        <w:outlineLvl w:val="0"/>
        <w:rPr>
          <w:rFonts w:ascii="Times New Roman" w:hAnsi="Times New Roman" w:eastAsia="等线" w:cs="Times New Roman"/>
          <w:b/>
          <w:bCs/>
          <w:snapToGrid w:val="0"/>
          <w:color w:val="000000"/>
          <w:kern w:val="0"/>
          <w:sz w:val="36"/>
          <w:szCs w:val="48"/>
        </w:rPr>
      </w:pPr>
      <w:r>
        <w:rPr>
          <w:rFonts w:ascii="Times New Roman" w:hAnsi="Times New Roman" w:cs="Times New Roman"/>
          <w:b/>
          <w:bCs/>
          <w:sz w:val="36"/>
          <w:szCs w:val="36"/>
        </w:rPr>
        <w:t>Table of content</w:t>
      </w:r>
      <w:r>
        <w:rPr>
          <w:rFonts w:hint="eastAsia" w:ascii="Times New Roman" w:hAnsi="Times New Roman" w:cs="Times New Roman"/>
          <w:b/>
          <w:bCs/>
          <w:sz w:val="36"/>
          <w:szCs w:val="36"/>
        </w:rPr>
        <w:t>s</w:t>
      </w:r>
    </w:p>
    <w:p w14:paraId="5CC4B6CF">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rPr>
        <w:t>2</w:t>
      </w:r>
      <w:r>
        <w:rPr>
          <w:rFonts w:ascii="Times New Roman" w:hAnsi="Times New Roman" w:cs="Times New Roman"/>
          <w:b/>
          <w:bCs/>
          <w:sz w:val="24"/>
        </w:rPr>
        <w:t>. Supplementa</w:t>
      </w:r>
      <w:r>
        <w:rPr>
          <w:rFonts w:hint="eastAsia" w:ascii="Times New Roman" w:hAnsi="Times New Roman" w:cs="Times New Roman"/>
          <w:b/>
          <w:bCs/>
          <w:sz w:val="24"/>
        </w:rPr>
        <w:t>l Methods</w:t>
      </w:r>
      <w:r>
        <w:rPr>
          <w:rFonts w:ascii="Times New Roman" w:hAnsi="Times New Roman" w:cs="Times New Roman"/>
          <w:b/>
          <w:bCs/>
          <w:sz w:val="24"/>
        </w:rPr>
        <w:t>.</w:t>
      </w:r>
    </w:p>
    <w:p w14:paraId="01A60775">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rPr>
        <w:t>3</w:t>
      </w:r>
      <w:r>
        <w:rPr>
          <w:rFonts w:ascii="Times New Roman" w:hAnsi="Times New Roman" w:cs="Times New Roman"/>
          <w:b/>
          <w:bCs/>
          <w:sz w:val="24"/>
        </w:rPr>
        <w:t xml:space="preserve">. Figure </w:t>
      </w:r>
      <w:r>
        <w:rPr>
          <w:rFonts w:hint="eastAsia" w:ascii="Times New Roman" w:hAnsi="Times New Roman" w:cs="Times New Roman"/>
          <w:b/>
          <w:bCs/>
          <w:sz w:val="24"/>
          <w:lang w:val="en-US" w:eastAsia="zh-CN"/>
        </w:rPr>
        <w:t>S</w:t>
      </w:r>
      <w:r>
        <w:rPr>
          <w:rFonts w:ascii="Times New Roman" w:hAnsi="Times New Roman" w:cs="Times New Roman"/>
          <w:b/>
          <w:bCs/>
          <w:sz w:val="24"/>
        </w:rPr>
        <w:t>1.</w:t>
      </w:r>
    </w:p>
    <w:p w14:paraId="5978C854">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rPr>
        <w:t>4</w:t>
      </w:r>
      <w:r>
        <w:rPr>
          <w:rFonts w:ascii="Times New Roman" w:hAnsi="Times New Roman" w:cs="Times New Roman"/>
          <w:b/>
          <w:bCs/>
          <w:sz w:val="24"/>
        </w:rPr>
        <w:t xml:space="preserve">. Figure </w:t>
      </w:r>
      <w:r>
        <w:rPr>
          <w:rFonts w:hint="eastAsia" w:ascii="Times New Roman" w:hAnsi="Times New Roman" w:cs="Times New Roman"/>
          <w:b/>
          <w:bCs/>
          <w:sz w:val="24"/>
          <w:lang w:val="en-US" w:eastAsia="zh-CN"/>
        </w:rPr>
        <w:t>S</w:t>
      </w:r>
      <w:r>
        <w:rPr>
          <w:rFonts w:hint="eastAsia" w:ascii="Times New Roman" w:hAnsi="Times New Roman" w:cs="Times New Roman"/>
          <w:b/>
          <w:bCs/>
          <w:sz w:val="24"/>
        </w:rPr>
        <w:t>2</w:t>
      </w:r>
      <w:r>
        <w:rPr>
          <w:rFonts w:ascii="Times New Roman" w:hAnsi="Times New Roman" w:cs="Times New Roman"/>
          <w:b/>
          <w:bCs/>
          <w:sz w:val="24"/>
        </w:rPr>
        <w:t>.</w:t>
      </w:r>
    </w:p>
    <w:p w14:paraId="721FDE54">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default" w:ascii="Times New Roman" w:hAnsi="Times New Roman" w:cs="Times New Roman"/>
          <w:b/>
          <w:bCs/>
          <w:sz w:val="24"/>
        </w:rPr>
        <w:t>5</w:t>
      </w:r>
      <w:r>
        <w:rPr>
          <w:rFonts w:ascii="Times New Roman" w:hAnsi="Times New Roman" w:cs="Times New Roman"/>
          <w:b/>
          <w:bCs/>
          <w:sz w:val="24"/>
        </w:rPr>
        <w:t xml:space="preserve">. Figure </w:t>
      </w:r>
      <w:r>
        <w:rPr>
          <w:rFonts w:hint="eastAsia" w:ascii="Times New Roman" w:hAnsi="Times New Roman" w:cs="Times New Roman"/>
          <w:b/>
          <w:bCs/>
          <w:sz w:val="24"/>
          <w:lang w:val="en-US" w:eastAsia="zh-CN"/>
        </w:rPr>
        <w:t>S</w:t>
      </w:r>
      <w:r>
        <w:rPr>
          <w:rFonts w:hint="default" w:ascii="Times New Roman" w:hAnsi="Times New Roman" w:cs="Times New Roman"/>
          <w:b/>
          <w:bCs/>
          <w:sz w:val="24"/>
        </w:rPr>
        <w:t>3</w:t>
      </w:r>
      <w:r>
        <w:rPr>
          <w:rFonts w:ascii="Times New Roman" w:hAnsi="Times New Roman" w:cs="Times New Roman"/>
          <w:b/>
          <w:bCs/>
          <w:sz w:val="24"/>
        </w:rPr>
        <w:t>.</w:t>
      </w:r>
    </w:p>
    <w:p w14:paraId="09AA1A88">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default" w:ascii="Times New Roman" w:hAnsi="Times New Roman" w:cs="Times New Roman"/>
          <w:b/>
          <w:bCs/>
          <w:sz w:val="24"/>
        </w:rPr>
        <w:t>6</w:t>
      </w:r>
      <w:r>
        <w:rPr>
          <w:rFonts w:ascii="Times New Roman" w:hAnsi="Times New Roman" w:cs="Times New Roman"/>
          <w:b/>
          <w:bCs/>
          <w:sz w:val="24"/>
        </w:rPr>
        <w:t xml:space="preserve">. </w:t>
      </w:r>
      <w:r>
        <w:rPr>
          <w:rFonts w:hint="eastAsia" w:ascii="Times New Roman" w:hAnsi="Times New Roman" w:cs="Times New Roman"/>
          <w:b/>
          <w:bCs/>
          <w:sz w:val="24"/>
        </w:rPr>
        <w:t xml:space="preserve">Table </w:t>
      </w:r>
      <w:r>
        <w:rPr>
          <w:rFonts w:hint="eastAsia" w:ascii="Times New Roman" w:hAnsi="Times New Roman" w:cs="Times New Roman"/>
          <w:b/>
          <w:bCs/>
          <w:sz w:val="24"/>
          <w:lang w:val="en-US" w:eastAsia="zh-CN"/>
        </w:rPr>
        <w:t>S</w:t>
      </w:r>
      <w:r>
        <w:rPr>
          <w:rFonts w:hint="eastAsia" w:ascii="Times New Roman" w:hAnsi="Times New Roman" w:cs="Times New Roman"/>
          <w:b/>
          <w:bCs/>
          <w:sz w:val="24"/>
        </w:rPr>
        <w:t>1</w:t>
      </w:r>
      <w:r>
        <w:rPr>
          <w:rFonts w:ascii="Times New Roman" w:hAnsi="Times New Roman" w:cs="Times New Roman"/>
          <w:b/>
          <w:bCs/>
          <w:sz w:val="24"/>
        </w:rPr>
        <w:t>.</w:t>
      </w:r>
    </w:p>
    <w:p w14:paraId="2867408D">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lang w:val="en-US" w:eastAsia="zh-CN"/>
        </w:rPr>
        <w:t>7</w:t>
      </w:r>
      <w:r>
        <w:rPr>
          <w:rFonts w:ascii="Times New Roman" w:hAnsi="Times New Roman" w:cs="Times New Roman"/>
          <w:b/>
          <w:bCs/>
          <w:sz w:val="24"/>
        </w:rPr>
        <w:t xml:space="preserve">. </w:t>
      </w:r>
      <w:r>
        <w:rPr>
          <w:rFonts w:hint="eastAsia" w:ascii="Times New Roman" w:hAnsi="Times New Roman" w:cs="Times New Roman"/>
          <w:b/>
          <w:bCs/>
          <w:sz w:val="24"/>
        </w:rPr>
        <w:t xml:space="preserve">Table </w:t>
      </w:r>
      <w:r>
        <w:rPr>
          <w:rFonts w:hint="eastAsia" w:ascii="Times New Roman" w:hAnsi="Times New Roman" w:cs="Times New Roman"/>
          <w:b/>
          <w:bCs/>
          <w:sz w:val="24"/>
          <w:lang w:val="en-US" w:eastAsia="zh-CN"/>
        </w:rPr>
        <w:t>S2</w:t>
      </w:r>
      <w:r>
        <w:rPr>
          <w:rFonts w:ascii="Times New Roman" w:hAnsi="Times New Roman" w:cs="Times New Roman"/>
          <w:b/>
          <w:bCs/>
          <w:sz w:val="24"/>
        </w:rPr>
        <w:t>.</w:t>
      </w:r>
    </w:p>
    <w:p w14:paraId="78133320">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lang w:val="en-US" w:eastAsia="zh-CN"/>
        </w:rPr>
        <w:t>8</w:t>
      </w:r>
      <w:r>
        <w:rPr>
          <w:rFonts w:ascii="Times New Roman" w:hAnsi="Times New Roman" w:cs="Times New Roman"/>
          <w:b/>
          <w:bCs/>
          <w:sz w:val="24"/>
        </w:rPr>
        <w:t xml:space="preserve">. </w:t>
      </w:r>
      <w:r>
        <w:rPr>
          <w:rFonts w:hint="eastAsia" w:ascii="Times New Roman" w:hAnsi="Times New Roman" w:cs="Times New Roman"/>
          <w:b/>
          <w:bCs/>
          <w:sz w:val="24"/>
        </w:rPr>
        <w:t xml:space="preserve">Table </w:t>
      </w:r>
      <w:r>
        <w:rPr>
          <w:rFonts w:hint="eastAsia" w:ascii="Times New Roman" w:hAnsi="Times New Roman" w:cs="Times New Roman"/>
          <w:b/>
          <w:bCs/>
          <w:sz w:val="24"/>
          <w:lang w:val="en-US" w:eastAsia="zh-CN"/>
        </w:rPr>
        <w:t>S3</w:t>
      </w:r>
      <w:r>
        <w:rPr>
          <w:rFonts w:ascii="Times New Roman" w:hAnsi="Times New Roman" w:cs="Times New Roman"/>
          <w:b/>
          <w:bCs/>
          <w:sz w:val="24"/>
        </w:rPr>
        <w:t>.</w:t>
      </w:r>
    </w:p>
    <w:p w14:paraId="758153AA">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lang w:val="en-US" w:eastAsia="zh-CN"/>
        </w:rPr>
        <w:t>9</w:t>
      </w:r>
      <w:r>
        <w:rPr>
          <w:rFonts w:ascii="Times New Roman" w:hAnsi="Times New Roman" w:cs="Times New Roman"/>
          <w:b/>
          <w:bCs/>
          <w:sz w:val="24"/>
        </w:rPr>
        <w:t xml:space="preserve">. </w:t>
      </w:r>
      <w:r>
        <w:rPr>
          <w:rFonts w:hint="eastAsia" w:ascii="Times New Roman" w:hAnsi="Times New Roman" w:cs="Times New Roman"/>
          <w:b/>
          <w:bCs/>
          <w:sz w:val="24"/>
        </w:rPr>
        <w:t xml:space="preserve">Table </w:t>
      </w:r>
      <w:r>
        <w:rPr>
          <w:rFonts w:hint="eastAsia" w:ascii="Times New Roman" w:hAnsi="Times New Roman" w:cs="Times New Roman"/>
          <w:b/>
          <w:bCs/>
          <w:sz w:val="24"/>
          <w:lang w:val="en-US" w:eastAsia="zh-CN"/>
        </w:rPr>
        <w:t>S4</w:t>
      </w:r>
      <w:r>
        <w:rPr>
          <w:rFonts w:ascii="Times New Roman" w:hAnsi="Times New Roman" w:cs="Times New Roman"/>
          <w:b/>
          <w:bCs/>
          <w:sz w:val="24"/>
        </w:rPr>
        <w:t>.</w:t>
      </w:r>
    </w:p>
    <w:p w14:paraId="31C92C67">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lang w:val="en-US" w:eastAsia="zh-CN"/>
        </w:rPr>
        <w:t>10</w:t>
      </w:r>
      <w:r>
        <w:rPr>
          <w:rFonts w:ascii="Times New Roman" w:hAnsi="Times New Roman" w:cs="Times New Roman"/>
          <w:b/>
          <w:bCs/>
          <w:sz w:val="24"/>
        </w:rPr>
        <w:t xml:space="preserve">. </w:t>
      </w:r>
      <w:r>
        <w:rPr>
          <w:rFonts w:hint="eastAsia" w:ascii="Times New Roman" w:hAnsi="Times New Roman" w:cs="Times New Roman"/>
          <w:b/>
          <w:bCs/>
          <w:sz w:val="24"/>
        </w:rPr>
        <w:t xml:space="preserve">Table </w:t>
      </w:r>
      <w:r>
        <w:rPr>
          <w:rFonts w:hint="eastAsia" w:ascii="Times New Roman" w:hAnsi="Times New Roman" w:cs="Times New Roman"/>
          <w:b/>
          <w:bCs/>
          <w:sz w:val="24"/>
          <w:lang w:val="en-US" w:eastAsia="zh-CN"/>
        </w:rPr>
        <w:t>S5</w:t>
      </w:r>
      <w:r>
        <w:rPr>
          <w:rFonts w:ascii="Times New Roman" w:hAnsi="Times New Roman" w:cs="Times New Roman"/>
          <w:b/>
          <w:bCs/>
          <w:sz w:val="24"/>
        </w:rPr>
        <w:t>.</w:t>
      </w:r>
    </w:p>
    <w:p w14:paraId="259C3B67">
      <w:pPr>
        <w:spacing w:line="480" w:lineRule="auto"/>
        <w:rPr>
          <w:rFonts w:ascii="Times New Roman" w:hAnsi="Times New Roman" w:cs="Times New Roman"/>
          <w:b/>
          <w:bCs/>
          <w:sz w:val="24"/>
        </w:rPr>
      </w:pPr>
      <w:r>
        <w:rPr>
          <w:rFonts w:ascii="Times New Roman" w:hAnsi="Times New Roman" w:cs="Times New Roman"/>
          <w:b/>
          <w:bCs/>
          <w:sz w:val="24"/>
        </w:rPr>
        <w:t xml:space="preserve">Page </w:t>
      </w:r>
      <w:r>
        <w:rPr>
          <w:rFonts w:hint="eastAsia" w:ascii="Times New Roman" w:hAnsi="Times New Roman" w:cs="Times New Roman"/>
          <w:b/>
          <w:bCs/>
          <w:sz w:val="24"/>
          <w:lang w:val="en-US" w:eastAsia="zh-CN"/>
        </w:rPr>
        <w:t>11</w:t>
      </w:r>
      <w:r>
        <w:rPr>
          <w:rFonts w:ascii="Times New Roman" w:hAnsi="Times New Roman" w:cs="Times New Roman"/>
          <w:b/>
          <w:bCs/>
          <w:sz w:val="24"/>
        </w:rPr>
        <w:t xml:space="preserve">. </w:t>
      </w:r>
      <w:r>
        <w:rPr>
          <w:rFonts w:hint="eastAsia" w:ascii="Times New Roman" w:hAnsi="Times New Roman" w:cs="Times New Roman"/>
          <w:b/>
          <w:bCs/>
          <w:sz w:val="24"/>
        </w:rPr>
        <w:t xml:space="preserve">Table </w:t>
      </w:r>
      <w:r>
        <w:rPr>
          <w:rFonts w:hint="eastAsia" w:ascii="Times New Roman" w:hAnsi="Times New Roman" w:cs="Times New Roman"/>
          <w:b/>
          <w:bCs/>
          <w:sz w:val="24"/>
          <w:lang w:val="en-US" w:eastAsia="zh-CN"/>
        </w:rPr>
        <w:t>S6</w:t>
      </w:r>
      <w:r>
        <w:rPr>
          <w:rFonts w:ascii="Times New Roman" w:hAnsi="Times New Roman" w:cs="Times New Roman"/>
          <w:b/>
          <w:bCs/>
          <w:sz w:val="24"/>
        </w:rPr>
        <w:t>.</w:t>
      </w:r>
      <w:bookmarkStart w:id="0" w:name="_GoBack"/>
      <w:bookmarkEnd w:id="0"/>
    </w:p>
    <w:p w14:paraId="5DC89471">
      <w:pPr>
        <w:spacing w:line="480" w:lineRule="auto"/>
        <w:rPr>
          <w:rFonts w:ascii="Times New Roman" w:hAnsi="Times New Roman" w:cs="Times New Roman"/>
          <w:b/>
          <w:bCs/>
          <w:sz w:val="24"/>
        </w:rPr>
        <w:sectPr>
          <w:footerReference r:id="rId3" w:type="default"/>
          <w:pgSz w:w="11906" w:h="16838"/>
          <w:pgMar w:top="1440" w:right="1800" w:bottom="1440" w:left="1800" w:header="851" w:footer="992" w:gutter="0"/>
          <w:cols w:space="425" w:num="1"/>
          <w:docGrid w:type="lines" w:linePitch="312" w:charSpace="0"/>
        </w:sectPr>
      </w:pPr>
      <w:r>
        <w:rPr>
          <w:rFonts w:ascii="Times New Roman" w:hAnsi="Times New Roman" w:cs="Times New Roman"/>
          <w:b/>
          <w:bCs/>
          <w:sz w:val="24"/>
        </w:rPr>
        <w:t xml:space="preserve">Page </w:t>
      </w:r>
      <w:r>
        <w:rPr>
          <w:rFonts w:hint="eastAsia" w:ascii="Times New Roman" w:hAnsi="Times New Roman" w:cs="Times New Roman"/>
          <w:b/>
          <w:bCs/>
          <w:sz w:val="24"/>
          <w:lang w:val="en-US" w:eastAsia="zh-CN"/>
        </w:rPr>
        <w:t>12</w:t>
      </w:r>
      <w:r>
        <w:rPr>
          <w:rFonts w:ascii="Times New Roman" w:hAnsi="Times New Roman" w:cs="Times New Roman"/>
          <w:b/>
          <w:bCs/>
          <w:sz w:val="24"/>
        </w:rPr>
        <w:t>. Supplementa</w:t>
      </w:r>
      <w:r>
        <w:rPr>
          <w:rFonts w:hint="eastAsia" w:ascii="Times New Roman" w:hAnsi="Times New Roman" w:cs="Times New Roman"/>
          <w:b/>
          <w:bCs/>
          <w:sz w:val="24"/>
        </w:rPr>
        <w:t xml:space="preserve">l </w:t>
      </w:r>
      <w:r>
        <w:rPr>
          <w:rFonts w:ascii="Times New Roman" w:hAnsi="Times New Roman" w:cs="Times New Roman"/>
          <w:b/>
          <w:bCs/>
          <w:sz w:val="24"/>
        </w:rPr>
        <w:t>References</w:t>
      </w:r>
      <w:r>
        <w:rPr>
          <w:rFonts w:hint="eastAsia" w:ascii="Times New Roman" w:hAnsi="Times New Roman" w:cs="Times New Roman"/>
          <w:b/>
          <w:bCs/>
          <w:sz w:val="24"/>
        </w:rPr>
        <w:t>.</w:t>
      </w:r>
    </w:p>
    <w:p w14:paraId="72F3A65D">
      <w:pPr>
        <w:widowControl/>
        <w:spacing w:line="360" w:lineRule="exact"/>
        <w:outlineLvl w:val="0"/>
        <w:rPr>
          <w:rFonts w:ascii="Times New Roman" w:hAnsi="Times New Roman" w:eastAsia="等线" w:cs="Times New Roman"/>
          <w:b/>
          <w:bCs/>
          <w:snapToGrid w:val="0"/>
          <w:color w:val="000000"/>
          <w:kern w:val="0"/>
          <w:sz w:val="24"/>
          <w:szCs w:val="36"/>
        </w:rPr>
      </w:pPr>
      <w:r>
        <w:rPr>
          <w:rFonts w:ascii="Times New Roman" w:hAnsi="Times New Roman" w:cs="Times New Roman"/>
          <w:b/>
          <w:bCs/>
          <w:sz w:val="24"/>
        </w:rPr>
        <w:t>Supplementa</w:t>
      </w:r>
      <w:r>
        <w:rPr>
          <w:rFonts w:hint="eastAsia" w:ascii="Times New Roman" w:hAnsi="Times New Roman" w:cs="Times New Roman"/>
          <w:b/>
          <w:bCs/>
          <w:sz w:val="24"/>
        </w:rPr>
        <w:t>l Methods</w:t>
      </w:r>
    </w:p>
    <w:p w14:paraId="08422C88">
      <w:pPr>
        <w:numPr>
          <w:ilvl w:val="0"/>
          <w:numId w:val="1"/>
        </w:numPr>
        <w:rPr>
          <w:rFonts w:ascii="Times New Roman" w:hAnsi="Times New Roman" w:cs="Times New Roman"/>
          <w:b/>
          <w:bCs/>
          <w:sz w:val="24"/>
        </w:rPr>
      </w:pPr>
      <w:r>
        <w:rPr>
          <w:rFonts w:ascii="Times New Roman" w:hAnsi="Times New Roman" w:cs="Times New Roman"/>
          <w:b/>
          <w:bCs/>
          <w:sz w:val="24"/>
        </w:rPr>
        <w:t>Biopsy Morphometry</w:t>
      </w:r>
    </w:p>
    <w:p w14:paraId="6DB322DD">
      <w:pPr>
        <w:widowControl/>
        <w:rPr>
          <w:rFonts w:ascii="Times New Roman" w:hAnsi="Times New Roman" w:cs="Times New Roman"/>
          <w:sz w:val="24"/>
        </w:rPr>
      </w:pPr>
      <w:r>
        <w:rPr>
          <w:rFonts w:ascii="Times New Roman" w:hAnsi="Times New Roman" w:cs="Times New Roman"/>
          <w:sz w:val="24"/>
        </w:rPr>
        <w:t>The following measurements were obtained from the sectioned renal biopsy scanned images (PAS-stained sections) and used for stereological analyses:</w:t>
      </w:r>
    </w:p>
    <w:p w14:paraId="0C4D60BD">
      <w:pPr>
        <w:rPr>
          <w:rFonts w:ascii="Times New Roman" w:hAnsi="Times New Roman" w:cs="Times New Roman"/>
          <w:sz w:val="24"/>
        </w:rPr>
      </w:pPr>
      <w:r>
        <w:rPr>
          <w:rFonts w:ascii="Times New Roman" w:hAnsi="Times New Roman" w:cs="Times New Roman"/>
          <w:sz w:val="24"/>
        </w:rPr>
        <w:t>1) The area of cortex.</w:t>
      </w:r>
    </w:p>
    <w:p w14:paraId="0F84EE3B">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2) The number and total area of complete non-sclerotic glomerular (NSG) tufts.</w:t>
      </w:r>
    </w:p>
    <w:p w14:paraId="79B4106B">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3) The number and total area of partial NSG tufts. These are tufts on the section edge that have been bisected by the biopsy needle.</w:t>
      </w:r>
    </w:p>
    <w:p w14:paraId="0BE6C18D">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4) The number of missing complete NSG tufts. Missing complete NSG was counted when a complete intact Bowman’s capsule was present on the section, but without a tuft inside.</w:t>
      </w:r>
    </w:p>
    <w:p w14:paraId="2E9BE842">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 xml:space="preserve">5) The number and total area of missing partial NSG tufts. Missing partial NSG was counted </w:t>
      </w:r>
    </w:p>
    <w:p w14:paraId="2E2A01FF">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when a bisected Bowman’s capsule was present at the edge of a biopsy section, but without a bisected tuft inside.</w:t>
      </w:r>
    </w:p>
    <w:p w14:paraId="1C9B5B32">
      <w:pPr>
        <w:widowControl/>
        <w:rPr>
          <w:rFonts w:ascii="Times New Roman" w:hAnsi="Times New Roman" w:eastAsia="宋体" w:cs="Times New Roman"/>
          <w:color w:val="000000"/>
          <w:kern w:val="0"/>
          <w:sz w:val="24"/>
          <w:lang w:bidi="ar"/>
        </w:rPr>
      </w:pPr>
    </w:p>
    <w:p w14:paraId="0F06528D">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Calculations</w:t>
      </w:r>
    </w:p>
    <w:p w14:paraId="0099A658">
      <w:pPr>
        <w:widowControl/>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total number of NSG was obtained by summing the numbers of all complete and partial NSG with or without a tuft. Partial NSG were counted as 0.675 NSG:</w:t>
      </w:r>
    </w:p>
    <w:p w14:paraId="218F3D83">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The total number of NSG =</w:t>
      </w:r>
      <w:r>
        <w:rPr>
          <w:rFonts w:ascii="Times New Roman" w:hAnsi="Times New Roman" w:eastAsia="宋体" w:cs="Times New Roman"/>
          <w:b/>
          <w:bCs/>
          <w:color w:val="000000"/>
          <w:kern w:val="0"/>
          <w:sz w:val="24"/>
          <w:lang w:bidi="ar"/>
        </w:rPr>
        <w:t xml:space="preserve"> </w:t>
      </w:r>
      <w:r>
        <w:rPr>
          <w:rFonts w:ascii="Times New Roman" w:hAnsi="Times New Roman" w:eastAsia="宋体" w:cs="Times New Roman"/>
          <w:color w:val="000000"/>
          <w:kern w:val="0"/>
          <w:sz w:val="24"/>
          <w:lang w:bidi="ar"/>
        </w:rPr>
        <w:t>Number of complete NSG with tuft + Number of complete NSG missing tuft + 0.675 × Number of partial NSG with tuft + 0.675 × Number of partial NSG missing tuft</w:t>
      </w:r>
    </w:p>
    <w:p w14:paraId="0F377F45">
      <w:pPr>
        <w:widowControl/>
        <w:rPr>
          <w:rFonts w:ascii="Times New Roman" w:hAnsi="Times New Roman" w:eastAsia="宋体" w:cs="Times New Roman"/>
          <w:color w:val="000000"/>
          <w:kern w:val="0"/>
          <w:sz w:val="24"/>
          <w:lang w:bidi="ar"/>
        </w:rPr>
      </w:pPr>
    </w:p>
    <w:p w14:paraId="5F1A2D47">
      <w:pPr>
        <w:widowControl/>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NSG volumetric density was calculated using the Weibel-Gomez stereological models</w:t>
      </w:r>
      <w:r>
        <w:rPr>
          <w:rFonts w:ascii="Times New Roman" w:hAnsi="Times New Roman" w:eastAsia="宋体" w:cs="Times New Roman"/>
          <w:color w:val="000000"/>
          <w:kern w:val="0"/>
          <w:sz w:val="24"/>
          <w:lang w:bidi="ar"/>
        </w:rPr>
        <w:fldChar w:fldCharType="begin" w:fldLock="1"/>
      </w:r>
      <w:r>
        <w:rPr>
          <w:rFonts w:ascii="Times New Roman" w:hAnsi="Times New Roman" w:eastAsia="宋体" w:cs="Times New Roman"/>
          <w:color w:val="000000"/>
          <w:kern w:val="0"/>
          <w:sz w:val="24"/>
          <w:lang w:bidi="ar"/>
        </w:rPr>
        <w:instrText xml:space="preserve">ADDIN CSL_CITATION {"citationItems":[{"id":"ITEM-1","itemData":{"DOI":"10.1152/jappl.1962.17.2.343","ISSN":"00218987","PMID":"14005589","author":[{"dropping-particle":"","family":"Weibel","given":"E. R.","non-dropping-particle":"","parse-names":false,"suffix":""},{"dropping-particle":"","family":"Gomez","given":"D. M.","non-dropping-particle":"","parse-names":false,"suffix":""}],"container-title":"Journal of applied physiology","id":"ITEM-1","issued":{"date-parts":[["1962","3"]]},"language":"eng","page":"343-348","publisher-place":"United States","title":"A principle for counting tissue structures on random sections","type":"article-journal","volume":"17"},"uris":["http://www.mendeley.com/documents/?uuid=b7740457-f3f5-409a-9add-e4361c7389ce"]}],"mendeley":{"formattedCitation":"&lt;sup&gt;1&lt;/sup&gt;","plainTextFormattedCitation":"1","previouslyFormattedCitation":"&lt;sup&gt;1&lt;/sup&gt;"},"properties":{"noteIndex":0},"schema":"https://github.com/citation-style-language/schema/raw/master/csl-citation.json"}</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1</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 To account for the missing glomeruli, the total area of NSG in the denominator was corrected by adding the mean observed NSG tuft area for each missing NSG tuft to the total area</w:t>
      </w:r>
      <w:r>
        <w:rPr>
          <w:rFonts w:ascii="Times New Roman" w:hAnsi="Times New Roman" w:eastAsia="宋体" w:cs="Times New Roman"/>
          <w:color w:val="000000"/>
          <w:kern w:val="0"/>
          <w:sz w:val="24"/>
          <w:lang w:bidi="ar"/>
        </w:rPr>
        <w:fldChar w:fldCharType="begin" w:fldLock="1"/>
      </w:r>
      <w:r>
        <w:rPr>
          <w:rFonts w:ascii="Times New Roman" w:hAnsi="Times New Roman" w:eastAsia="宋体" w:cs="Times New Roman"/>
          <w:color w:val="000000"/>
          <w:kern w:val="0"/>
          <w:sz w:val="24"/>
          <w:lang w:bidi="ar"/>
        </w:rPr>
        <w:instrText xml:space="preserve">ADDIN CSL_CITATION {"citationItems":[{"id":"ITEM-1","itemData":{"DOI":"10.1056/nejmoa1614329","ISSN":"0028-4793","PMID":"28614683","abstract":"© 2017 Massachusetts Medical Society. BACKGROUND The glomerular filtration rate (GFR) assesses the function of all nephrons, and the single-nephron GFR assesses the function of individual nephrons. How the singlenephron GFR relates to demographic and clinical characteristics and kidney-biopsy findings in humans is unknown. METHODS We identified 1388 living kidney donors at the Mayo Clinic and the Cleveland Clinic who underwent a computed tomographic (CT) scan of the kidney with the use of contrast material and an iothalamate-based measurement of the GFR during donor evaluation and who underwent a kidney biopsy at donation. The mean single-nephron GFR was calculated as the GFR divided by the number of nephrons (calculated as the cortical volume of both kidneys as assessed on CT times the biopsy-determined glomerular density). Demographic and clinical characteristics and biopsy findings were correlated with the single-nephron GFR. RESULTS A total of 58% of the donors were women, and the mean (}SD) age of the donors was 44}12 years. The mean GFR was 115}24 ml per minute, the mean number of nephrons was 860,000}370,000</w:instrText>
      </w:r>
      <w:r>
        <w:rPr>
          <w:rFonts w:hint="eastAsia" w:ascii="Times New Roman" w:hAnsi="Times New Roman" w:eastAsia="宋体" w:cs="Times New Roman"/>
          <w:color w:val="000000"/>
          <w:kern w:val="0"/>
          <w:sz w:val="24"/>
          <w:lang w:bidi="ar"/>
        </w:rPr>
        <w:instrText xml:space="preserve"> per kidney, and the mean single-nephron GFR was 80}40 nl per minute. The single-nephron GFR did not vary significantly according to age (among donors &lt;70 years of age), sex, or height (among donors ≤190 cm tall). A higher single-nephron GFR was independe</w:instrText>
      </w:r>
      <w:r>
        <w:rPr>
          <w:rFonts w:ascii="Times New Roman" w:hAnsi="Times New Roman" w:eastAsia="宋体" w:cs="Times New Roman"/>
          <w:color w:val="000000"/>
          <w:kern w:val="0"/>
          <w:sz w:val="24"/>
          <w:lang w:bidi="ar"/>
        </w:rPr>
        <w:instrText xml:space="preserve">ntly associated with larger nephrons on biopsy and more glomerulosclerosis and arteriosclerosis than would be expected for age. A higher single-nephron GFR was associated with a height of more than 190 cm, obesity, and a family history of end-stage renal </w:instrText>
      </w:r>
      <w:r>
        <w:rPr>
          <w:rFonts w:hint="eastAsia" w:ascii="Times New Roman" w:hAnsi="Times New Roman" w:eastAsia="宋体" w:cs="Times New Roman"/>
          <w:color w:val="000000"/>
          <w:kern w:val="0"/>
          <w:sz w:val="24"/>
          <w:lang w:bidi="ar"/>
        </w:rPr>
        <w:instrText xml:space="preserve">disease. CONCLUSIONS Among healthy adult kidney donors, the single-nephron GFR was fairly constant with regard to age, sex, and height (if ≤190 cm). A higher single-nephron GFR was associated with certain risk factors for chronic kidney disease and certai</w:instrText>
      </w:r>
      <w:r>
        <w:rPr>
          <w:rFonts w:ascii="Times New Roman" w:hAnsi="Times New Roman" w:eastAsia="宋体" w:cs="Times New Roman"/>
          <w:color w:val="000000"/>
          <w:kern w:val="0"/>
          <w:sz w:val="24"/>
          <w:lang w:bidi="ar"/>
        </w:rPr>
        <w:instrText xml:space="preserve">n kidneybiopsy findings. (Funded by the National Institute of Diabetes and Digestive and Kidney Diseases).","author":[{"dropping-particle":"","family":"Denic","given":"Aleksandar","non-dropping-particle":"","parse-names":false,"suffix":""},{"dropping-particle":"","family":"Mathew","given":"Jerry","non-dropping-particle":"","parse-names":false,"suffix":""},{"dropping-particle":"","family":"Lerman","given":"Lilach O.","non-dropping-particle":"","parse-names":false,"suffix":""},{"dropping-particle":"","family":"Lieske","given":"John C.","non-dropping-particle":"","parse-names":false,"suffix":""},{"dropping-particle":"","family":"Larson","given":"Joseph J.","non-dropping-particle":"","parse-names":false,"suffix":""},{"dropping-particle":"","family":"Alexander","given":"Mariam P.","non-dropping-particle":"","parse-names":false,"suffix":""},{"dropping-particle":"","family":"Poggio","given":"Emilio","non-dropping-particle":"","parse-names":false,"suffix":""},{"dropping-particle":"","family":"Glassock","given":"Richard J.","non-dropping-particle":"","parse-names":false,"suffix":""},{"dropping-particle":"","family":"Rule","given":"Andrew D.","non-dropping-particle":"","parse-names":false,"suffix":""}],"container-title":"New England Journal of Medicine","id":"ITEM-1","issue":"24","issued":{"date-parts":[["2017"]]},"page":"2349-2357","title":"Single-nephron glomerular filtration rate in healthy adults","type":"article-journal","volume":"376"},"uris":["http://www.mendeley.com/documents/?uuid=70392e9e-3345-4db0-bfd8-fc2e4e6c0ec9"]}],"mendeley":{"formattedCitation":"&lt;sup&gt;2&lt;/sup&gt;","plainTextFormattedCitation":"2","previouslyFormattedCitation":"&lt;sup&gt;2&lt;/sup&gt;"},"properties":{"noteIndex":0},"schema":"https://github.com/citation-style-language/schema/raw/master/csl-citation.json"}</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2</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w:t>
      </w:r>
    </w:p>
    <w:p w14:paraId="0A47EFA0">
      <w:pPr>
        <w:widowControl/>
        <w:rPr>
          <w:rFonts w:ascii="Times New Roman" w:hAnsi="Times New Roman" w:eastAsia="宋体" w:cs="Times New Roman"/>
          <w:color w:val="000000"/>
          <w:kern w:val="0"/>
          <w:sz w:val="24"/>
          <w:lang w:bidi="ar"/>
        </w:rPr>
      </w:pPr>
    </w:p>
    <w:p w14:paraId="04C07B6F">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Non-sclerotic glomerular volumetric density</w:t>
      </w:r>
    </w:p>
    <w:p w14:paraId="674C0E8A">
      <w:pPr>
        <w:widowControl/>
        <w:rPr>
          <w:rFonts w:ascii="Times New Roman" w:hAnsi="Times New Roman" w:cs="Times New Roman"/>
          <w:color w:val="000000"/>
          <w:kern w:val="0"/>
          <w:sz w:val="24"/>
          <w:lang w:bidi="ar"/>
        </w:rPr>
      </w:pPr>
      <w:r>
        <w:rPr>
          <w:rFonts w:ascii="Times New Roman" w:hAnsi="Times New Roman" w:cs="Times New Roman"/>
          <w:color w:val="000000"/>
          <w:kern w:val="0"/>
          <w:sz w:val="24"/>
          <w:lang w:bidi="ar"/>
        </w:rPr>
        <w:t xml:space="preserve">= </w:t>
      </w:r>
      <m:oMath>
        <m:f>
          <m:fPr>
            <m:ctrlPr>
              <w:rPr>
                <w:rFonts w:ascii="Cambria Math" w:hAnsi="Cambria Math" w:cs="Times New Roman"/>
                <w:i/>
                <w:color w:val="000000"/>
                <w:kern w:val="0"/>
                <w:sz w:val="24"/>
                <w:lang w:bidi="ar"/>
              </w:rPr>
            </m:ctrlPr>
          </m:fPr>
          <m:num>
            <m:r>
              <m:rPr/>
              <w:rPr>
                <w:rFonts w:ascii="Cambria Math" w:hAnsi="Cambria Math" w:cs="Times New Roman"/>
                <w:color w:val="000000"/>
                <w:kern w:val="0"/>
                <w:sz w:val="24"/>
                <w:lang w:bidi="ar"/>
              </w:rPr>
              <m:t>1</m:t>
            </m:r>
            <m:ctrlPr>
              <w:rPr>
                <w:rFonts w:ascii="Cambria Math" w:hAnsi="Cambria Math" w:cs="Times New Roman"/>
                <w:i/>
                <w:color w:val="000000"/>
                <w:kern w:val="0"/>
                <w:sz w:val="24"/>
                <w:lang w:bidi="ar"/>
              </w:rPr>
            </m:ctrlPr>
          </m:num>
          <m:den>
            <m:r>
              <m:rPr/>
              <w:rPr>
                <w:rFonts w:ascii="Cambria Math" w:hAnsi="Cambria Math" w:cs="Times New Roman"/>
                <w:color w:val="000000"/>
                <w:kern w:val="0"/>
                <w:sz w:val="24"/>
                <w:lang w:bidi="ar"/>
              </w:rPr>
              <m:t>1.382</m:t>
            </m:r>
            <m:ctrlPr>
              <w:rPr>
                <w:rFonts w:ascii="Cambria Math" w:hAnsi="Cambria Math" w:cs="Times New Roman"/>
                <w:i/>
                <w:color w:val="000000"/>
                <w:kern w:val="0"/>
                <w:sz w:val="24"/>
                <w:lang w:bidi="ar"/>
              </w:rPr>
            </m:ctrlPr>
          </m:den>
        </m:f>
      </m:oMath>
      <w:r>
        <w:rPr>
          <w:rFonts w:ascii="Times New Roman" w:hAnsi="Times New Roman" w:cs="Times New Roman"/>
          <w:color w:val="000000"/>
          <w:kern w:val="0"/>
          <w:sz w:val="24"/>
          <w:lang w:bidi="ar"/>
        </w:rPr>
        <w:t xml:space="preserve"> </w:t>
      </w:r>
      <w:r>
        <w:rPr>
          <w:rFonts w:ascii="Times New Roman" w:hAnsi="Times New Roman" w:eastAsia="宋体" w:cs="Times New Roman"/>
          <w:color w:val="000000"/>
          <w:kern w:val="0"/>
          <w:sz w:val="24"/>
          <w:lang w:bidi="ar"/>
        </w:rPr>
        <w:t xml:space="preserve">× </w:t>
      </w:r>
      <m:oMath>
        <m:rad>
          <m:radPr>
            <m:ctrlPr>
              <w:rPr>
                <w:rFonts w:ascii="Cambria Math" w:hAnsi="Cambria Math" w:cs="Times New Roman"/>
                <w:i/>
                <w:color w:val="000000"/>
                <w:kern w:val="0"/>
                <w:sz w:val="24"/>
                <w:lang w:bidi="ar"/>
              </w:rPr>
            </m:ctrlPr>
          </m:radPr>
          <m:deg>
            <m:r>
              <m:rPr/>
              <w:rPr>
                <w:rFonts w:ascii="Cambria Math" w:hAnsi="Cambria Math" w:cs="Times New Roman"/>
                <w:color w:val="000000"/>
                <w:kern w:val="0"/>
                <w:sz w:val="24"/>
                <w:lang w:bidi="ar"/>
              </w:rPr>
              <m:t>2</m:t>
            </m:r>
            <m:ctrlPr>
              <w:rPr>
                <w:rFonts w:ascii="Cambria Math" w:hAnsi="Cambria Math" w:cs="Times New Roman"/>
                <w:i/>
                <w:color w:val="000000"/>
                <w:kern w:val="0"/>
                <w:sz w:val="24"/>
                <w:lang w:bidi="ar"/>
              </w:rPr>
            </m:ctrlPr>
          </m:deg>
          <m:e>
            <m:f>
              <m:fPr>
                <m:ctrlPr>
                  <w:rPr>
                    <w:rFonts w:ascii="Cambria Math" w:hAnsi="Cambria Math" w:cs="Times New Roman"/>
                    <w:i/>
                    <w:color w:val="000000"/>
                    <w:kern w:val="0"/>
                    <w:sz w:val="24"/>
                    <w:lang w:bidi="ar"/>
                  </w:rPr>
                </m:ctrlPr>
              </m:fPr>
              <m:num>
                <m:sSup>
                  <m:sSupPr>
                    <m:ctrlPr>
                      <w:rPr>
                        <w:rFonts w:ascii="Cambria Math" w:hAnsi="Cambria Math" w:cs="Times New Roman"/>
                        <w:i/>
                        <w:color w:val="000000"/>
                        <w:kern w:val="0"/>
                        <w:sz w:val="24"/>
                        <w:lang w:bidi="ar"/>
                      </w:rPr>
                    </m:ctrlPr>
                  </m:sSupPr>
                  <m:e>
                    <m:r>
                      <m:rPr/>
                      <w:rPr>
                        <w:rFonts w:ascii="Cambria Math" w:hAnsi="Cambria Math" w:cs="Times New Roman"/>
                        <w:color w:val="000000"/>
                        <w:kern w:val="0"/>
                        <w:sz w:val="24"/>
                        <w:lang w:bidi="ar"/>
                      </w:rPr>
                      <m:t>(</m:t>
                    </m:r>
                    <m:f>
                      <m:fPr>
                        <m:ctrlPr>
                          <w:rPr>
                            <w:rFonts w:ascii="Cambria Math" w:hAnsi="Cambria Math" w:cs="Times New Roman"/>
                            <w:i/>
                            <w:color w:val="000000"/>
                            <w:kern w:val="0"/>
                            <w:sz w:val="24"/>
                            <w:lang w:bidi="ar"/>
                          </w:rPr>
                        </m:ctrlPr>
                      </m:fPr>
                      <m:num>
                        <m:r>
                          <m:rPr>
                            <m:sty m:val="p"/>
                          </m:rPr>
                          <w:rPr>
                            <w:rFonts w:ascii="Cambria Math" w:hAnsi="Cambria Math" w:cs="Times New Roman"/>
                            <w:color w:val="000000"/>
                            <w:kern w:val="0"/>
                            <w:sz w:val="24"/>
                            <w:lang w:bidi="ar"/>
                          </w:rPr>
                          <m:t>Total number of NSG</m:t>
                        </m:r>
                        <m:ctrlPr>
                          <w:rPr>
                            <w:rFonts w:ascii="Cambria Math" w:hAnsi="Cambria Math" w:cs="Times New Roman"/>
                            <w:i/>
                            <w:color w:val="000000"/>
                            <w:kern w:val="0"/>
                            <w:sz w:val="24"/>
                            <w:lang w:bidi="ar"/>
                          </w:rPr>
                        </m:ctrlPr>
                      </m:num>
                      <m:den>
                        <m:r>
                          <m:rPr>
                            <m:sty m:val="p"/>
                          </m:rPr>
                          <w:rPr>
                            <w:rFonts w:ascii="Cambria Math" w:hAnsi="Cambria Math" w:cs="Times New Roman"/>
                            <w:color w:val="000000"/>
                            <w:kern w:val="0"/>
                            <w:sz w:val="24"/>
                            <w:lang w:bidi="ar"/>
                          </w:rPr>
                          <m:t>Area of cortex</m:t>
                        </m:r>
                        <m:ctrlPr>
                          <w:rPr>
                            <w:rFonts w:ascii="Cambria Math" w:hAnsi="Cambria Math" w:cs="Times New Roman"/>
                            <w:i/>
                            <w:color w:val="000000"/>
                            <w:kern w:val="0"/>
                            <w:sz w:val="24"/>
                            <w:lang w:bidi="ar"/>
                          </w:rPr>
                        </m:ctrlPr>
                      </m:den>
                    </m:f>
                    <m:r>
                      <m:rPr/>
                      <w:rPr>
                        <w:rFonts w:ascii="Cambria Math" w:hAnsi="Cambria Math" w:cs="Times New Roman"/>
                        <w:color w:val="000000"/>
                        <w:kern w:val="0"/>
                        <w:sz w:val="24"/>
                        <w:lang w:bidi="ar"/>
                      </w:rPr>
                      <m:t>)</m:t>
                    </m:r>
                    <m:ctrlPr>
                      <w:rPr>
                        <w:rFonts w:ascii="Cambria Math" w:hAnsi="Cambria Math" w:cs="Times New Roman"/>
                        <w:i/>
                        <w:color w:val="000000"/>
                        <w:kern w:val="0"/>
                        <w:sz w:val="24"/>
                        <w:lang w:bidi="ar"/>
                      </w:rPr>
                    </m:ctrlPr>
                  </m:e>
                  <m:sup>
                    <m:r>
                      <m:rPr/>
                      <w:rPr>
                        <w:rFonts w:ascii="Cambria Math" w:hAnsi="Cambria Math" w:cs="Times New Roman"/>
                        <w:color w:val="000000"/>
                        <w:kern w:val="0"/>
                        <w:sz w:val="24"/>
                        <w:lang w:bidi="ar"/>
                      </w:rPr>
                      <m:t>3</m:t>
                    </m:r>
                    <m:ctrlPr>
                      <w:rPr>
                        <w:rFonts w:ascii="Cambria Math" w:hAnsi="Cambria Math" w:cs="Times New Roman"/>
                        <w:i/>
                        <w:color w:val="000000"/>
                        <w:kern w:val="0"/>
                        <w:sz w:val="24"/>
                        <w:lang w:bidi="ar"/>
                      </w:rPr>
                    </m:ctrlPr>
                  </m:sup>
                </m:sSup>
                <m:ctrlPr>
                  <w:rPr>
                    <w:rFonts w:ascii="Cambria Math" w:hAnsi="Cambria Math" w:cs="Times New Roman"/>
                    <w:i/>
                    <w:color w:val="000000"/>
                    <w:kern w:val="0"/>
                    <w:sz w:val="24"/>
                    <w:lang w:bidi="ar"/>
                  </w:rPr>
                </m:ctrlPr>
              </m:num>
              <m:den>
                <m:f>
                  <m:fPr>
                    <m:ctrlPr>
                      <w:rPr>
                        <w:rFonts w:ascii="Cambria Math" w:hAnsi="Cambria Math" w:cs="Times New Roman"/>
                        <w:i/>
                        <w:color w:val="000000"/>
                        <w:kern w:val="0"/>
                        <w:sz w:val="24"/>
                        <w:lang w:bidi="ar"/>
                      </w:rPr>
                    </m:ctrlPr>
                  </m:fPr>
                  <m:num>
                    <m:r>
                      <m:rPr>
                        <m:sty m:val="p"/>
                      </m:rPr>
                      <w:rPr>
                        <w:rFonts w:ascii="Cambria Math" w:hAnsi="Cambria Math" w:cs="Times New Roman"/>
                        <w:color w:val="000000"/>
                        <w:kern w:val="0"/>
                        <w:sz w:val="24"/>
                        <w:lang w:bidi="ar"/>
                      </w:rPr>
                      <m:t xml:space="preserve">Total area of observed NSG + Number of missing NSG </m:t>
                    </m:r>
                    <m:r>
                      <m:rPr>
                        <m:sty m:val="p"/>
                      </m:rPr>
                      <w:rPr>
                        <w:rFonts w:ascii="Cambria Math" w:hAnsi="Cambria Math" w:eastAsia="宋体" w:cs="Times New Roman"/>
                        <w:color w:val="000000"/>
                        <w:kern w:val="0"/>
                        <w:sz w:val="24"/>
                        <w:lang w:bidi="ar"/>
                      </w:rPr>
                      <m:t>×  Mean observed NSG area</m:t>
                    </m:r>
                    <m:r>
                      <m:rPr>
                        <m:sty m:val="p"/>
                      </m:rPr>
                      <w:rPr>
                        <w:rFonts w:ascii="Cambria Math" w:hAnsi="Cambria Math" w:cs="Times New Roman"/>
                        <w:color w:val="000000"/>
                        <w:kern w:val="0"/>
                        <w:sz w:val="24"/>
                        <w:lang w:bidi="ar"/>
                      </w:rPr>
                      <m:t xml:space="preserve"> </m:t>
                    </m:r>
                    <m:ctrlPr>
                      <w:rPr>
                        <w:rFonts w:ascii="Cambria Math" w:hAnsi="Cambria Math" w:cs="Times New Roman"/>
                        <w:i/>
                        <w:color w:val="000000"/>
                        <w:kern w:val="0"/>
                        <w:sz w:val="24"/>
                        <w:lang w:bidi="ar"/>
                      </w:rPr>
                    </m:ctrlPr>
                  </m:num>
                  <m:den>
                    <m:r>
                      <m:rPr>
                        <m:sty m:val="p"/>
                      </m:rPr>
                      <w:rPr>
                        <w:rFonts w:ascii="Cambria Math" w:hAnsi="Cambria Math" w:cs="Times New Roman"/>
                        <w:color w:val="000000"/>
                        <w:kern w:val="0"/>
                        <w:sz w:val="24"/>
                        <w:lang w:bidi="ar"/>
                      </w:rPr>
                      <m:t>Area of cortex</m:t>
                    </m:r>
                    <m:ctrlPr>
                      <w:rPr>
                        <w:rFonts w:ascii="Cambria Math" w:hAnsi="Cambria Math" w:cs="Times New Roman"/>
                        <w:i/>
                        <w:color w:val="000000"/>
                        <w:kern w:val="0"/>
                        <w:sz w:val="24"/>
                        <w:lang w:bidi="ar"/>
                      </w:rPr>
                    </m:ctrlPr>
                  </m:den>
                </m:f>
                <m:ctrlPr>
                  <w:rPr>
                    <w:rFonts w:ascii="Cambria Math" w:hAnsi="Cambria Math" w:cs="Times New Roman"/>
                    <w:i/>
                    <w:color w:val="000000"/>
                    <w:kern w:val="0"/>
                    <w:sz w:val="24"/>
                    <w:lang w:bidi="ar"/>
                  </w:rPr>
                </m:ctrlPr>
              </m:den>
            </m:f>
            <m:ctrlPr>
              <w:rPr>
                <w:rFonts w:ascii="Cambria Math" w:hAnsi="Cambria Math" w:cs="Times New Roman"/>
                <w:i/>
                <w:color w:val="000000"/>
                <w:kern w:val="0"/>
                <w:sz w:val="24"/>
                <w:lang w:bidi="ar"/>
              </w:rPr>
            </m:ctrlPr>
          </m:e>
        </m:rad>
      </m:oMath>
    </w:p>
    <w:p w14:paraId="6BD6AD54">
      <w:pPr>
        <w:widowControl/>
        <w:rPr>
          <w:rFonts w:ascii="Times New Roman" w:hAnsi="Times New Roman" w:eastAsia="宋体" w:cs="Times New Roman"/>
          <w:color w:val="000000"/>
          <w:kern w:val="0"/>
          <w:sz w:val="24"/>
          <w:lang w:bidi="ar"/>
        </w:rPr>
      </w:pPr>
    </w:p>
    <w:p w14:paraId="25C4709E">
      <w:pPr>
        <w:widowControl/>
        <w:numPr>
          <w:ilvl w:val="0"/>
          <w:numId w:val="2"/>
        </w:numPr>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Correction factor for the loss of tissue perfusion (correction factor = 1.366) and volumetric shrinkage (correction factor = 1.365). NSG density were corrected by adding 1.77, for presence of capsule in needle biopsies</w:t>
      </w:r>
      <w:r>
        <w:rPr>
          <w:rFonts w:ascii="Times New Roman" w:hAnsi="Times New Roman" w:eastAsia="宋体" w:cs="Times New Roman"/>
          <w:color w:val="000000"/>
          <w:kern w:val="0"/>
          <w:sz w:val="24"/>
          <w:lang w:bidi="ar"/>
        </w:rPr>
        <w:fldChar w:fldCharType="begin" w:fldLock="1"/>
      </w:r>
      <w:r>
        <w:rPr>
          <w:rFonts w:ascii="Times New Roman" w:hAnsi="Times New Roman" w:eastAsia="宋体" w:cs="Times New Roman"/>
          <w:color w:val="000000"/>
          <w:kern w:val="0"/>
          <w:sz w:val="24"/>
          <w:lang w:bidi="ar"/>
        </w:rPr>
        <w:instrText xml:space="preserve">ADDIN CSL_CITATION {"citationItems":[{"id":"ITEM-1","itemData":{"DOI":"10.1681/ASN.0000000000000124","ISBN":"0000000000000","ISSN":"15333450","PMID":"36958059","abstract":"Significance StatementNephron number currently can be estimated only from glomerular density on a kidney biopsy combined with cortical volume from kidney imaging. Because of measurement biases, refinement of this approach and validation across different patient populations have been needed. The prognostic importance of nephron number also has been unclear. The authors present an improved method of estimating nephron number that corrects for several biases, resulting in a 27% higher nephron number estimate for donor kidneys compared with a prior method. After accounting for comorbidities, the new nephron number estimate does not differ between kidney donors and kidney patients with tumor and shows consistent associations with clinical characteristics across these two populations. The findings also indicate that low nephron number predicts CKD independent of biopsy and clinical characteristics in both populations.BackgroundNephron number can be estimated from glomerular density and cortical volume. However, because of measurement biases, this approach needs refinement, comparison between disparate populations, and evaluation as a predictor of CKD outcomes.MethodsWe studied 3020 living kidney donors and 1354 patients who underwent radical nephrectomy for tumor. We determined cortex volume of the retained kidney from presurgical imaging and glomerular density by morphometric analysis of needle core biopsy of the donated kidney and wedge sections of the removed kidney. Glomerular density was corrected for missing glomerular tufts, absence of the kidney capsule, and then tissue shrinkage on the basis of analysis of 30 autopsy kidneys. We used logistic regression (in donors) and Cox proportional hazard models (in patients with tumor) to assess the risk of CKD outcomes associated with nephron number.ResultsDonors had 1.17 million nephrons per kidney; patients with tumor had 0.99 million nephrons per kidney. A lower nephron number was associated with older age, female sex, shorter height, hypertension, family history of ESKD, lower GFR, and proteinuria. After adjusting for these characteristics, nephron number did not differ between donors and patients with tumor. Low nephron number (defined by &lt;5th or &lt;10th percentile by age and sex in a healthy subset) in both populations predicted future risk of CKD outcomes independent of biopsy and clinical characteristics.ConclusionsCompared with an older method for estimating nephron number, a new method that addresses se…","author":[{"dropping-particle":"","family":"Denic","given":"Aleksandar","non-dropping-particle":"","parse-names":false,"suffix":""},{"dropping-particle":"","family":"Mullan","given":"Aidan F.","non-dropping-particle":"","parse-names":false,"suffix":""},{"dropping-particle":"","family":"Alexander","given":"Mariam P.","non-dropping-particle":"","parse-names":false,"suffix":""},{"dropping-particle":"","family":"Wilson","given":"Luke D.","non-dropping-particle":"","parse-names":false,"suffix":""},{"dropping-particle":"","family":"Augustine","given":"Joshua","non-dropping-particle":"","parse-names":false,"suffix":""},{"dropping-particle":"","family":"Luehrs","given":"Anthony C.","non-dropping-particle":"","parse-names":false,"suffix":""},{"dropping-particle":"","family":"Stegall","given":"Mark D.","non-dropping-particle":"","parse-names":false,"suffix":""},{"dropping-particle":"","family":"Kline","given":"Timothy L.","non-dropping-particle":"","parse-names":false,"suffix":""},{"dropping-particle":"","family":"Sharma","given":"Vidit","non-dropping-particle":"","parse-names":false,"suffix":""},{"dropping-particle":"","family":"Thompson","given":"R. Houston","non-dropping-particle":"","parse-names":false,"suffix":""},{"dropping-particle":"","family":"Rule","given":"Andrew D.","non-dropping-particle":"","parse-names":false,"suffix":""}],"container-title":"Journal of the American Society of Nephrology","id":"ITEM-1","issue":"7","issued":{"date-parts":[["2023"]]},"page":"1264-1278","title":"An improved method for estimating nephron number and the association of resulting nephron number estimates with chronic kidney disease outcomes","type":"article-journal","volume":"34"},"uris":["http://www.mendeley.com/documents/?uuid=8ac4edf6-cd83-4318-b6fb-f4d2003426e0"]}],"mendeley":{"formattedCitation":"&lt;sup&gt;3&lt;/sup&gt;","plainTextFormattedCitation":"3","previouslyFormattedCitation":"&lt;sup&gt;3&lt;/sup&gt;"},"properties":{"noteIndex":0},"schema":"https://github.com/citation-style-language/schema/raw/master/csl-citation.json"}</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3</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w:t>
      </w:r>
    </w:p>
    <w:p w14:paraId="7C213609">
      <w:pPr>
        <w:widowControl/>
        <w:rPr>
          <w:rFonts w:ascii="Times New Roman" w:hAnsi="Times New Roman" w:eastAsia="宋体" w:cs="Times New Roman"/>
          <w:color w:val="000000"/>
          <w:kern w:val="0"/>
          <w:sz w:val="24"/>
          <w:lang w:bidi="ar"/>
        </w:rPr>
      </w:pPr>
    </w:p>
    <w:p w14:paraId="2122F2E7">
      <w:pPr>
        <w:widowControl/>
        <w:numPr>
          <w:ilvl w:val="0"/>
          <w:numId w:val="1"/>
        </w:numPr>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Computed tomography of kidneys</w:t>
      </w:r>
    </w:p>
    <w:p w14:paraId="54CD56AB">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We estimate cortical volume from total kidney volume, using the Sasaki’s formula</w:t>
      </w:r>
      <w:r>
        <w:rPr>
          <w:rFonts w:ascii="Times New Roman" w:hAnsi="Times New Roman" w:eastAsia="宋体" w:cs="Times New Roman"/>
          <w:color w:val="000000"/>
          <w:kern w:val="0"/>
          <w:sz w:val="24"/>
          <w:lang w:bidi="ar"/>
        </w:rPr>
        <w:fldChar w:fldCharType="begin" w:fldLock="1"/>
      </w:r>
      <w:r>
        <w:rPr>
          <w:rFonts w:ascii="Times New Roman" w:hAnsi="Times New Roman" w:eastAsia="宋体" w:cs="Times New Roman"/>
          <w:color w:val="000000"/>
          <w:kern w:val="0"/>
          <w:sz w:val="24"/>
          <w:lang w:bidi="ar"/>
        </w:rPr>
        <w:instrText xml:space="preserve">ADDIN CSL_CITATION {"citationItems":[{"id":"ITEM-1","itemData":{"DOI":"10.1038/s41598-019-50529-x","ISBN":"4159801950529","ISSN":"20452322","PMID":"31591408","abstract":"Methods for estimating nephron number in a clinical setting may be useful for predicting renal outcomes. This study aimed to establish such a method using unenhanced computed tomography (CT) and biopsy-based stereology. Patients or living kidney donors simultaneously subjected to enhanced and unenhanced CT examinations were randomly assigned to development and validation groups. The enhanced CT-measured arterial phase and the venous phase images of kidneys were regarded as the true values for cortical volume and parenchymal volume, respectively. Linear multiple regression analysis was used to create models for estimating cortical volume using explanatory variables including unenhanced CT-measured parenchymal volume. Nephron number was determined as the product of cortical volume and the glomerular density in biopsies of donors. Five equations for estimating cortical volume were created and verified. In donors, estimated nephron number by unenhanced CT was consistent with that by enhanced CT, with minimal errors in all models (636–655 ± 210–219 vs. 648 ± 224 × 103/kidney). Clinical characteristics combined with parenchymal volume did not improve the equation over parenchymal volume alone. These results support the feasibility of estimating nephron number by a combination of unenhanced CT and biopsy-based stereology, with a possible application for renal disease patients who are often not suitable for contrast media.","author":[{"dropping-particle":"","family":"Sasaki","given":"Takaya","non-dropping-particle":"","parse-names":false,"suffix":""},{"dropping-particle":"","family":"Tsuboi","given":"Nobuo","non-dropping-particle":"","parse-names":false,"suffix":""},{"dropping-particle":"","family":"Okabayashi","given":"Yusuke","non-dropping-particle":"","parse-names":false,"suffix":""},{"dropping-particle":"","family":"Haruhara","given":"Kotaro","non-dropping-particle":"","parse-names":false,"suffix":""},{"dropping-particle":"","family":"Kanzaki","given":"Go","non-dropping-particle":"","parse-names":false,"suffix":""},{"dropping-particle":"","family":"Koike","given":"Kentaro","non-dropping-particle":"","parse-names":false,"suffix":""},{"dropping-particle":"","family":"Kobayashi","given":"Akimitsu","non-dropping-particle":"","parse-names":false,"suffix":""},{"dropping-particle":"","family":"Yamamoto","given":"Izumi","non-dropping-particle":"","parse-names":false,"suffix":""},{"dropping-particle":"","family":"Takahashi","given":"Sho","non-dropping-particle":"","parse-names":false,"suffix":""},{"dropping-particle":"","family":"Ninomiya","given":"Toshiharu","non-dropping-particle":"","parse-names":false,"suffix":""},{"dropping-particle":"","family":"Shimizu","given":"Akira","non-dropping-particle":"","parse-names":false,"suffix":""},{"dropping-particle":"","family":"Rule","given":"Andrew D.","non-dropping-particle":"","parse-names":false,"suffix":""},{"dropping-particle":"","family":"Bertram","given":"John F.","non-dropping-particle":"","parse-names":false,"suffix":""},{"dropping-particle":"","family":"Yokoo","given":"Takashi","non-dropping-particle":"","parse-names":false,"suffix":""}],"container-title":"Scientific Reports","id":"ITEM-1","issue":"1","issued":{"date-parts":[["2019"]]},"page":"1-10","title":"Estimation of nephron number in living humans by combining unenhanced computed tomography with biopsy-based stereology","type":"article-journal","volume":"9"},"uris":["http://www.mendeley.com/documents/?uuid=a876fc4f-c409-41f6-9170-9dfc7ac4cd80"]}],"mendeley":{"formattedCitation":"&lt;sup&gt;4&lt;/sup&gt;","plainTextFormattedCitation":"4","previouslyFormattedCitation":"&lt;sup&gt;4&lt;/sup&gt;"},"properties":{"noteIndex":0},"schema":"https://github.com/citation-style-language/schema/raw/master/csl-citation.json"}</w:instrText>
      </w:r>
      <w:r>
        <w:rPr>
          <w:rFonts w:ascii="Times New Roman" w:hAnsi="Times New Roman" w:eastAsia="宋体" w:cs="Times New Roman"/>
          <w:color w:val="000000"/>
          <w:kern w:val="0"/>
          <w:sz w:val="24"/>
          <w:lang w:bidi="ar"/>
        </w:rPr>
        <w:fldChar w:fldCharType="separate"/>
      </w:r>
      <w:r>
        <w:rPr>
          <w:rFonts w:ascii="Times New Roman" w:hAnsi="Times New Roman" w:eastAsia="宋体" w:cs="Times New Roman"/>
          <w:color w:val="000000"/>
          <w:kern w:val="0"/>
          <w:sz w:val="24"/>
          <w:vertAlign w:val="superscript"/>
          <w:lang w:bidi="ar"/>
        </w:rPr>
        <w:t>4</w:t>
      </w:r>
      <w:r>
        <w:rPr>
          <w:rFonts w:ascii="Times New Roman" w:hAnsi="Times New Roman" w:eastAsia="宋体" w:cs="Times New Roman"/>
          <w:color w:val="000000"/>
          <w:kern w:val="0"/>
          <w:sz w:val="24"/>
          <w:lang w:bidi="ar"/>
        </w:rPr>
        <w:fldChar w:fldCharType="end"/>
      </w:r>
      <w:r>
        <w:rPr>
          <w:rFonts w:ascii="Times New Roman" w:hAnsi="Times New Roman" w:eastAsia="宋体" w:cs="Times New Roman"/>
          <w:color w:val="000000"/>
          <w:kern w:val="0"/>
          <w:sz w:val="24"/>
          <w:lang w:bidi="ar"/>
        </w:rPr>
        <w:t>.</w:t>
      </w:r>
    </w:p>
    <w:p w14:paraId="6482B449">
      <w:pPr>
        <w:widowControl/>
        <w:rPr>
          <w:rFonts w:ascii="Times New Roman" w:hAnsi="Times New Roman" w:eastAsia="宋体" w:cs="Times New Roman"/>
          <w:color w:val="000000"/>
          <w:kern w:val="0"/>
          <w:sz w:val="24"/>
          <w:lang w:bidi="ar"/>
        </w:rPr>
      </w:pPr>
      <w:r>
        <w:rPr>
          <w:rFonts w:ascii="Times New Roman" w:hAnsi="Times New Roman" w:eastAsia="宋体" w:cs="Times New Roman"/>
          <w:color w:val="000000"/>
          <w:kern w:val="0"/>
          <w:sz w:val="24"/>
          <w:lang w:bidi="ar"/>
        </w:rPr>
        <w:t>Estimated cortical volume (</w:t>
      </w:r>
      <m:oMath>
        <m:sSup>
          <m:sSupPr>
            <m:ctrlPr>
              <w:rPr>
                <w:rFonts w:ascii="Cambria Math" w:hAnsi="Cambria Math" w:cs="Times New Roman"/>
                <w:iCs/>
                <w:color w:val="000000"/>
                <w:kern w:val="0"/>
                <w:sz w:val="24"/>
                <w:lang w:bidi="ar"/>
              </w:rPr>
            </m:ctrlPr>
          </m:sSupPr>
          <m:e>
            <m:r>
              <m:rPr>
                <m:sty m:val="p"/>
              </m:rPr>
              <w:rPr>
                <w:rFonts w:ascii="Cambria Math" w:hAnsi="Cambria Math" w:cs="Times New Roman"/>
                <w:color w:val="000000"/>
                <w:kern w:val="0"/>
                <w:sz w:val="24"/>
                <w:lang w:bidi="ar"/>
              </w:rPr>
              <m:t>cm</m:t>
            </m:r>
            <m:ctrlPr>
              <w:rPr>
                <w:rFonts w:ascii="Cambria Math" w:hAnsi="Cambria Math" w:cs="Times New Roman"/>
                <w:iCs/>
                <w:color w:val="000000"/>
                <w:kern w:val="0"/>
                <w:sz w:val="24"/>
                <w:lang w:bidi="ar"/>
              </w:rPr>
            </m:ctrlPr>
          </m:e>
          <m:sup>
            <m:r>
              <m:rPr>
                <m:sty m:val="p"/>
              </m:rPr>
              <w:rPr>
                <w:rFonts w:ascii="Cambria Math" w:hAnsi="Cambria Math" w:cs="Times New Roman"/>
                <w:color w:val="000000"/>
                <w:kern w:val="0"/>
                <w:sz w:val="24"/>
                <w:lang w:bidi="ar"/>
              </w:rPr>
              <m:t>3</m:t>
            </m:r>
            <m:ctrlPr>
              <w:rPr>
                <w:rFonts w:ascii="Cambria Math" w:hAnsi="Cambria Math" w:cs="Times New Roman"/>
                <w:iCs/>
                <w:color w:val="000000"/>
                <w:kern w:val="0"/>
                <w:sz w:val="24"/>
                <w:lang w:bidi="ar"/>
              </w:rPr>
            </m:ctrlPr>
          </m:sup>
        </m:sSup>
      </m:oMath>
      <w:r>
        <w:rPr>
          <w:rFonts w:ascii="Times New Roman" w:hAnsi="Times New Roman" w:eastAsia="宋体" w:cs="Times New Roman"/>
          <w:color w:val="000000"/>
          <w:kern w:val="0"/>
          <w:sz w:val="24"/>
          <w:lang w:bidi="ar"/>
        </w:rPr>
        <w:t>) = −1.3 (intercept) + 0.71 × kidney volume (</w:t>
      </w:r>
      <m:oMath>
        <m:sSup>
          <m:sSupPr>
            <m:ctrlPr>
              <w:rPr>
                <w:rFonts w:ascii="Cambria Math" w:hAnsi="Cambria Math" w:cs="Times New Roman"/>
                <w:iCs/>
                <w:color w:val="000000"/>
                <w:kern w:val="0"/>
                <w:sz w:val="24"/>
                <w:lang w:bidi="ar"/>
              </w:rPr>
            </m:ctrlPr>
          </m:sSupPr>
          <m:e>
            <m:r>
              <m:rPr>
                <m:sty m:val="p"/>
              </m:rPr>
              <w:rPr>
                <w:rFonts w:ascii="Cambria Math" w:hAnsi="Cambria Math" w:cs="Times New Roman"/>
                <w:color w:val="000000"/>
                <w:kern w:val="0"/>
                <w:sz w:val="24"/>
                <w:lang w:bidi="ar"/>
              </w:rPr>
              <m:t>cm</m:t>
            </m:r>
            <m:ctrlPr>
              <w:rPr>
                <w:rFonts w:ascii="Cambria Math" w:hAnsi="Cambria Math" w:cs="Times New Roman"/>
                <w:iCs/>
                <w:color w:val="000000"/>
                <w:kern w:val="0"/>
                <w:sz w:val="24"/>
                <w:lang w:bidi="ar"/>
              </w:rPr>
            </m:ctrlPr>
          </m:e>
          <m:sup>
            <m:r>
              <m:rPr>
                <m:sty m:val="p"/>
              </m:rPr>
              <w:rPr>
                <w:rFonts w:ascii="Cambria Math" w:hAnsi="Cambria Math" w:cs="Times New Roman"/>
                <w:color w:val="000000"/>
                <w:kern w:val="0"/>
                <w:sz w:val="24"/>
                <w:lang w:bidi="ar"/>
              </w:rPr>
              <m:t>3</m:t>
            </m:r>
            <m:ctrlPr>
              <w:rPr>
                <w:rFonts w:ascii="Cambria Math" w:hAnsi="Cambria Math" w:cs="Times New Roman"/>
                <w:iCs/>
                <w:color w:val="000000"/>
                <w:kern w:val="0"/>
                <w:sz w:val="24"/>
                <w:lang w:bidi="ar"/>
              </w:rPr>
            </m:ctrlPr>
          </m:sup>
        </m:sSup>
      </m:oMath>
      <w:r>
        <w:rPr>
          <w:rFonts w:ascii="Times New Roman" w:hAnsi="Times New Roman" w:eastAsia="宋体" w:cs="Times New Roman"/>
          <w:color w:val="000000"/>
          <w:kern w:val="0"/>
          <w:sz w:val="24"/>
          <w:lang w:bidi="ar"/>
        </w:rPr>
        <w:t>)</w:t>
      </w:r>
    </w:p>
    <w:p w14:paraId="054B5061">
      <w:pPr>
        <w:widowControl/>
        <w:rPr>
          <w:rFonts w:ascii="Times New Roman" w:hAnsi="Times New Roman" w:eastAsia="宋体" w:cs="Times New Roman"/>
          <w:color w:val="000000"/>
          <w:kern w:val="0"/>
          <w:sz w:val="24"/>
          <w:lang w:bidi="ar"/>
        </w:rPr>
      </w:pPr>
    </w:p>
    <w:p w14:paraId="35575661">
      <w:pPr>
        <w:widowControl/>
        <w:numPr>
          <w:ilvl w:val="0"/>
          <w:numId w:val="1"/>
        </w:numPr>
        <w:rPr>
          <w:rFonts w:ascii="Times New Roman" w:hAnsi="Times New Roman" w:eastAsia="宋体" w:cs="Times New Roman"/>
          <w:b/>
          <w:bCs/>
          <w:color w:val="000000"/>
          <w:kern w:val="0"/>
          <w:sz w:val="24"/>
          <w:lang w:bidi="ar"/>
        </w:rPr>
      </w:pPr>
      <w:r>
        <w:rPr>
          <w:rFonts w:ascii="Times New Roman" w:hAnsi="Times New Roman" w:eastAsia="宋体" w:cs="Times New Roman"/>
          <w:b/>
          <w:bCs/>
          <w:color w:val="000000"/>
          <w:kern w:val="0"/>
          <w:sz w:val="24"/>
          <w:lang w:bidi="ar"/>
        </w:rPr>
        <w:t>Nephron number</w:t>
      </w:r>
    </w:p>
    <w:p w14:paraId="7299A977">
      <w:pPr>
        <w:widowControl/>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color w:val="000000"/>
          <w:kern w:val="0"/>
          <w:sz w:val="24"/>
          <w:lang w:bidi="ar"/>
        </w:rPr>
        <w:t xml:space="preserve">Nephron number </w:t>
      </w:r>
      <w:r>
        <w:rPr>
          <w:rFonts w:ascii="Times New Roman" w:hAnsi="Times New Roman" w:eastAsia="宋体" w:cs="Times New Roman"/>
          <w:b/>
          <w:bCs/>
          <w:color w:val="000000"/>
          <w:kern w:val="0"/>
          <w:sz w:val="24"/>
          <w:lang w:bidi="ar"/>
        </w:rPr>
        <w:t xml:space="preserve">= </w:t>
      </w:r>
      <m:oMath>
        <m:f>
          <m:fPr>
            <m:ctrlPr>
              <w:rPr>
                <w:rFonts w:ascii="Cambria Math" w:hAnsi="Cambria Math" w:cs="Times New Roman"/>
                <w:bCs/>
                <w:iCs/>
                <w:color w:val="000000"/>
                <w:kern w:val="0"/>
                <w:sz w:val="24"/>
                <w:lang w:bidi="ar"/>
              </w:rPr>
            </m:ctrlPr>
          </m:fPr>
          <m:num>
            <m:r>
              <m:rPr>
                <m:sty m:val="p"/>
              </m:rPr>
              <w:rPr>
                <w:rFonts w:ascii="Cambria Math" w:hAnsi="Cambria Math" w:cs="Times New Roman"/>
                <w:color w:val="000000"/>
                <w:kern w:val="0"/>
                <w:sz w:val="24"/>
                <w:lang w:bidi="ar"/>
              </w:rPr>
              <m:t xml:space="preserve">Total estimated cortex volume </m:t>
            </m:r>
            <m:r>
              <m:rPr>
                <m:sty m:val="p"/>
              </m:rPr>
              <w:rPr>
                <w:rFonts w:ascii="Cambria Math" w:hAnsi="Cambria Math" w:eastAsia="宋体" w:cs="Times New Roman"/>
                <w:color w:val="000000"/>
                <w:kern w:val="0"/>
                <w:sz w:val="24"/>
                <w:lang w:bidi="ar"/>
              </w:rPr>
              <m:t>× Standardized volumetric NSG density</m:t>
            </m:r>
            <m:r>
              <m:rPr>
                <m:sty m:val="p"/>
              </m:rPr>
              <w:rPr>
                <w:rFonts w:ascii="Cambria Math" w:hAnsi="Cambria Math" w:cs="Times New Roman"/>
                <w:color w:val="000000"/>
                <w:kern w:val="0"/>
                <w:sz w:val="24"/>
                <w:lang w:bidi="ar"/>
              </w:rPr>
              <m:t xml:space="preserve">  </m:t>
            </m:r>
            <m:ctrlPr>
              <w:rPr>
                <w:rFonts w:ascii="Cambria Math" w:hAnsi="Cambria Math" w:cs="Times New Roman"/>
                <w:bCs/>
                <w:iCs/>
                <w:color w:val="000000"/>
                <w:kern w:val="0"/>
                <w:sz w:val="24"/>
                <w:lang w:bidi="ar"/>
              </w:rPr>
            </m:ctrlPr>
          </m:num>
          <m:den>
            <m:r>
              <m:rPr>
                <m:sty m:val="p"/>
              </m:rPr>
              <w:rPr>
                <w:rFonts w:ascii="Cambria Math" w:hAnsi="Cambria Math" w:cs="Times New Roman"/>
                <w:color w:val="000000"/>
                <w:kern w:val="0"/>
                <w:sz w:val="24"/>
                <w:lang w:bidi="ar"/>
              </w:rPr>
              <m:t xml:space="preserve">2 </m:t>
            </m:r>
            <m:r>
              <m:rPr>
                <m:sty m:val="p"/>
              </m:rPr>
              <w:rPr>
                <w:rFonts w:ascii="Cambria Math" w:hAnsi="Cambria Math" w:eastAsia="宋体" w:cs="Times New Roman"/>
                <w:color w:val="000000"/>
                <w:kern w:val="0"/>
                <w:sz w:val="24"/>
                <w:lang w:bidi="ar"/>
              </w:rPr>
              <m:t>× 1.365 × 1.366</m:t>
            </m:r>
            <m:ctrlPr>
              <w:rPr>
                <w:rFonts w:ascii="Cambria Math" w:hAnsi="Cambria Math" w:cs="Times New Roman"/>
                <w:bCs/>
                <w:iCs/>
                <w:color w:val="000000"/>
                <w:kern w:val="0"/>
                <w:sz w:val="24"/>
                <w:lang w:bidi="ar"/>
              </w:rPr>
            </m:ctrlPr>
          </m:den>
        </m:f>
      </m:oMath>
    </w:p>
    <w:p w14:paraId="0C073F75">
      <w:pPr>
        <w:widowControl/>
        <w:spacing w:line="360" w:lineRule="exact"/>
        <w:outlineLvl w:val="0"/>
        <w:rPr>
          <w:rFonts w:ascii="Times New Roman" w:hAnsi="Times New Roman" w:cs="Times New Roman"/>
          <w:b/>
          <w:iCs/>
          <w:color w:val="000000"/>
          <w:kern w:val="0"/>
          <w:sz w:val="24"/>
          <w:lang w:bidi="ar"/>
        </w:rPr>
      </w:pPr>
      <w:r>
        <w:rPr>
          <w:rFonts w:ascii="Times New Roman" w:hAnsi="Times New Roman" w:cs="Times New Roman"/>
          <w:b/>
          <w:bCs/>
          <w:sz w:val="24"/>
        </w:rPr>
        <w:t>Supplementa</w:t>
      </w:r>
      <w:r>
        <w:rPr>
          <w:rFonts w:hint="eastAsia" w:ascii="Times New Roman" w:hAnsi="Times New Roman" w:cs="Times New Roman"/>
          <w:b/>
          <w:bCs/>
          <w:sz w:val="24"/>
        </w:rPr>
        <w:t xml:space="preserve">l </w:t>
      </w:r>
      <w:r>
        <w:rPr>
          <w:rFonts w:ascii="Times New Roman" w:hAnsi="Times New Roman" w:cs="Times New Roman"/>
          <w:b/>
          <w:iCs/>
          <w:color w:val="000000"/>
          <w:kern w:val="0"/>
          <w:sz w:val="24"/>
          <w:lang w:bidi="ar"/>
        </w:rPr>
        <w:t>Figure</w:t>
      </w:r>
      <w:r>
        <w:rPr>
          <w:rFonts w:hint="eastAsia" w:ascii="Times New Roman" w:hAnsi="Times New Roman" w:cs="Times New Roman"/>
          <w:b/>
          <w:iCs/>
          <w:color w:val="000000"/>
          <w:kern w:val="0"/>
          <w:sz w:val="24"/>
          <w:lang w:bidi="ar"/>
        </w:rPr>
        <w:t>s</w:t>
      </w:r>
    </w:p>
    <w:p w14:paraId="0D1A1D7C">
      <w:pPr>
        <w:widowControl/>
        <w:spacing w:line="360" w:lineRule="exact"/>
        <w:rPr>
          <w:rFonts w:ascii="Times New Roman" w:hAnsi="Times New Roman" w:cs="Times New Roman"/>
          <w:b/>
          <w:iCs/>
          <w:color w:val="000000"/>
          <w:kern w:val="0"/>
          <w:sz w:val="24"/>
          <w:lang w:bidi="ar"/>
        </w:rPr>
      </w:pPr>
    </w:p>
    <w:p w14:paraId="3DE9D771">
      <w:pPr>
        <w:jc w:val="center"/>
        <w:rPr>
          <w:rFonts w:ascii="Times New Roman" w:hAnsi="Times New Roman" w:cs="Times New Roman"/>
          <w:b/>
          <w:bCs/>
          <w:sz w:val="24"/>
        </w:rPr>
      </w:pPr>
      <w:r>
        <w:rPr>
          <w:sz w:val="24"/>
        </w:rPr>
        <w:drawing>
          <wp:inline distT="0" distB="0" distL="114300" distR="114300">
            <wp:extent cx="4114165" cy="2736215"/>
            <wp:effectExtent l="0" t="0" r="635" b="698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4114165" cy="2736215"/>
                    </a:xfrm>
                    <a:prstGeom prst="rect">
                      <a:avLst/>
                    </a:prstGeom>
                    <a:noFill/>
                    <a:ln>
                      <a:noFill/>
                    </a:ln>
                  </pic:spPr>
                </pic:pic>
              </a:graphicData>
            </a:graphic>
          </wp:inline>
        </w:drawing>
      </w:r>
    </w:p>
    <w:p w14:paraId="4EFAE922">
      <w:pPr>
        <w:rPr>
          <w:rFonts w:ascii="Times New Roman" w:hAnsi="Times New Roman" w:cs="Times New Roman"/>
          <w:sz w:val="24"/>
        </w:rPr>
      </w:pPr>
      <w:r>
        <w:rPr>
          <w:rFonts w:ascii="Times New Roman" w:hAnsi="Times New Roman" w:cs="Times New Roman"/>
          <w:b/>
          <w:bCs/>
          <w:sz w:val="24"/>
        </w:rPr>
        <w:t xml:space="preserve">Figure </w:t>
      </w:r>
      <w:r>
        <w:rPr>
          <w:rFonts w:hint="eastAsia" w:ascii="Times New Roman" w:hAnsi="Times New Roman" w:cs="Times New Roman"/>
          <w:b/>
          <w:bCs/>
          <w:sz w:val="24"/>
          <w:lang w:val="en-US" w:eastAsia="zh-CN"/>
        </w:rPr>
        <w:t>S</w:t>
      </w:r>
      <w:r>
        <w:rPr>
          <w:rFonts w:hint="eastAsia" w:ascii="Times New Roman" w:hAnsi="Times New Roman" w:cs="Times New Roman"/>
          <w:b/>
          <w:bCs/>
          <w:sz w:val="24"/>
        </w:rPr>
        <w:t>1</w:t>
      </w:r>
      <w:r>
        <w:rPr>
          <w:rFonts w:ascii="Times New Roman" w:hAnsi="Times New Roman" w:cs="Times New Roman"/>
          <w:b/>
          <w:bCs/>
          <w:sz w:val="24"/>
        </w:rPr>
        <w:t xml:space="preserve">. Bland-Altman method was used to assess the agreement between eGFR and </w:t>
      </w:r>
      <w:r>
        <w:rPr>
          <w:rFonts w:hint="eastAsia" w:ascii="Times New Roman" w:hAnsi="Times New Roman" w:cs="Times New Roman"/>
          <w:b/>
          <w:bCs/>
          <w:sz w:val="24"/>
        </w:rPr>
        <w:t>single-nephron e</w:t>
      </w:r>
      <w:r>
        <w:rPr>
          <w:rFonts w:ascii="Times New Roman" w:hAnsi="Times New Roman" w:cs="Times New Roman"/>
          <w:b/>
          <w:bCs/>
          <w:sz w:val="24"/>
        </w:rPr>
        <w:t>GFR.</w:t>
      </w:r>
    </w:p>
    <w:p w14:paraId="0ACEAA73">
      <w:pPr>
        <w:widowControl/>
        <w:rPr>
          <w:rFonts w:ascii="Times New Roman" w:hAnsi="Times New Roman" w:cs="Times New Roman"/>
          <w:bCs/>
          <w:iCs/>
          <w:color w:val="000000"/>
          <w:kern w:val="0"/>
          <w:sz w:val="24"/>
          <w:lang w:bidi="ar"/>
        </w:rPr>
        <w:sectPr>
          <w:pgSz w:w="11906" w:h="16838"/>
          <w:pgMar w:top="1440" w:right="1800" w:bottom="1440" w:left="1800" w:header="851" w:footer="992" w:gutter="0"/>
          <w:cols w:space="425" w:num="1"/>
          <w:docGrid w:type="lines" w:linePitch="312" w:charSpace="0"/>
        </w:sectPr>
      </w:pPr>
    </w:p>
    <w:p w14:paraId="5F41A868">
      <w:pPr>
        <w:jc w:val="center"/>
        <w:rPr>
          <w:rFonts w:hint="eastAsia" w:eastAsiaTheme="minorEastAsia"/>
          <w:lang w:eastAsia="zh-CN"/>
        </w:rPr>
      </w:pPr>
      <w:r>
        <w:rPr>
          <w:rFonts w:hint="eastAsia" w:eastAsiaTheme="minorEastAsia"/>
          <w:lang w:eastAsia="zh-CN"/>
        </w:rPr>
        <w:drawing>
          <wp:inline distT="0" distB="0" distL="114300" distR="114300">
            <wp:extent cx="3205480" cy="2620645"/>
            <wp:effectExtent l="0" t="0" r="0" b="0"/>
            <wp:docPr id="4" name="图片 4" descr="演示文稿27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演示文稿27_01"/>
                    <pic:cNvPicPr>
                      <a:picLocks noChangeAspect="1"/>
                    </pic:cNvPicPr>
                  </pic:nvPicPr>
                  <pic:blipFill>
                    <a:blip r:embed="rId6"/>
                    <a:srcRect l="2239" t="9989" r="2803" b="12378"/>
                    <a:stretch>
                      <a:fillRect/>
                    </a:stretch>
                  </pic:blipFill>
                  <pic:spPr>
                    <a:xfrm>
                      <a:off x="0" y="0"/>
                      <a:ext cx="3205480" cy="2620645"/>
                    </a:xfrm>
                    <a:prstGeom prst="rect">
                      <a:avLst/>
                    </a:prstGeom>
                  </pic:spPr>
                </pic:pic>
              </a:graphicData>
            </a:graphic>
          </wp:inline>
        </w:drawing>
      </w:r>
    </w:p>
    <w:p w14:paraId="286E823E">
      <w:pPr>
        <w:jc w:val="left"/>
        <w:rPr>
          <w:rFonts w:hint="eastAsia" w:eastAsiaTheme="minorEastAsia"/>
          <w:lang w:eastAsia="zh-CN"/>
        </w:rPr>
      </w:pPr>
    </w:p>
    <w:p w14:paraId="7E090E12">
      <w:pPr>
        <w:rPr>
          <w:rFonts w:ascii="Times New Roman" w:hAnsi="Times New Roman" w:cs="Times New Roman"/>
          <w:sz w:val="24"/>
        </w:rPr>
      </w:pPr>
      <w:r>
        <w:rPr>
          <w:rFonts w:ascii="Times New Roman" w:hAnsi="Times New Roman" w:cs="Times New Roman"/>
          <w:b/>
          <w:bCs/>
          <w:sz w:val="24"/>
        </w:rPr>
        <w:t xml:space="preserve">Figure </w:t>
      </w:r>
      <w:r>
        <w:rPr>
          <w:rFonts w:hint="eastAsia" w:ascii="Times New Roman" w:hAnsi="Times New Roman" w:cs="Times New Roman"/>
          <w:b/>
          <w:bCs/>
          <w:sz w:val="24"/>
          <w:lang w:val="en-US" w:eastAsia="zh-CN"/>
        </w:rPr>
        <w:t>S2</w:t>
      </w:r>
      <w:r>
        <w:rPr>
          <w:rFonts w:ascii="Times New Roman" w:hAnsi="Times New Roman" w:cs="Times New Roman"/>
          <w:b/>
          <w:bCs/>
          <w:sz w:val="24"/>
        </w:rPr>
        <w:t xml:space="preserve">. </w:t>
      </w:r>
      <w:r>
        <w:rPr>
          <w:rFonts w:hint="eastAsia" w:ascii="Times New Roman" w:hAnsi="Times New Roman" w:cs="Times New Roman"/>
          <w:b/>
          <w:bCs/>
          <w:sz w:val="24"/>
        </w:rPr>
        <w:t xml:space="preserve">RASI </w:t>
      </w:r>
      <w:r>
        <w:rPr>
          <w:rFonts w:hint="eastAsia" w:ascii="Times New Roman" w:hAnsi="Times New Roman" w:cs="Times New Roman"/>
          <w:b/>
          <w:bCs/>
          <w:sz w:val="24"/>
          <w:lang w:val="en-US" w:eastAsia="zh-CN"/>
        </w:rPr>
        <w:t>t</w:t>
      </w:r>
      <w:r>
        <w:rPr>
          <w:rFonts w:hint="eastAsia" w:ascii="Times New Roman" w:hAnsi="Times New Roman" w:cs="Times New Roman"/>
          <w:b/>
          <w:bCs/>
          <w:sz w:val="24"/>
        </w:rPr>
        <w:t xml:space="preserve">reatment </w:t>
      </w:r>
      <w:r>
        <w:rPr>
          <w:rFonts w:hint="eastAsia" w:ascii="Times New Roman" w:hAnsi="Times New Roman" w:cs="Times New Roman"/>
          <w:b/>
          <w:bCs/>
          <w:sz w:val="24"/>
          <w:lang w:val="en-US" w:eastAsia="zh-CN"/>
        </w:rPr>
        <w:t>m</w:t>
      </w:r>
      <w:r>
        <w:rPr>
          <w:rFonts w:hint="eastAsia" w:ascii="Times New Roman" w:hAnsi="Times New Roman" w:cs="Times New Roman"/>
          <w:b/>
          <w:bCs/>
          <w:sz w:val="24"/>
        </w:rPr>
        <w:t xml:space="preserve">odifies the </w:t>
      </w:r>
      <w:r>
        <w:rPr>
          <w:rFonts w:hint="eastAsia" w:ascii="Times New Roman" w:hAnsi="Times New Roman" w:cs="Times New Roman"/>
          <w:b/>
          <w:bCs/>
          <w:sz w:val="24"/>
          <w:lang w:val="en-US" w:eastAsia="zh-CN"/>
        </w:rPr>
        <w:t>r</w:t>
      </w:r>
      <w:r>
        <w:rPr>
          <w:rFonts w:hint="eastAsia" w:ascii="Times New Roman" w:hAnsi="Times New Roman" w:cs="Times New Roman"/>
          <w:b/>
          <w:bCs/>
          <w:sz w:val="24"/>
        </w:rPr>
        <w:t xml:space="preserve">elationship between CKD </w:t>
      </w:r>
      <w:r>
        <w:rPr>
          <w:rFonts w:hint="eastAsia" w:ascii="Times New Roman" w:hAnsi="Times New Roman" w:cs="Times New Roman"/>
          <w:b/>
          <w:bCs/>
          <w:sz w:val="24"/>
          <w:lang w:val="en-US" w:eastAsia="zh-CN"/>
        </w:rPr>
        <w:t>s</w:t>
      </w:r>
      <w:r>
        <w:rPr>
          <w:rFonts w:hint="eastAsia" w:ascii="Times New Roman" w:hAnsi="Times New Roman" w:cs="Times New Roman"/>
          <w:b/>
          <w:bCs/>
          <w:sz w:val="24"/>
        </w:rPr>
        <w:t xml:space="preserve">tage and </w:t>
      </w:r>
      <w:r>
        <w:rPr>
          <w:rFonts w:hint="eastAsia" w:ascii="Times New Roman" w:hAnsi="Times New Roman" w:cs="Times New Roman"/>
          <w:b/>
          <w:bCs/>
          <w:sz w:val="24"/>
          <w:lang w:val="en-US" w:eastAsia="zh-CN"/>
        </w:rPr>
        <w:t>s</w:t>
      </w:r>
      <w:r>
        <w:rPr>
          <w:rFonts w:hint="eastAsia" w:ascii="Times New Roman" w:hAnsi="Times New Roman" w:cs="Times New Roman"/>
          <w:b/>
          <w:bCs/>
          <w:sz w:val="24"/>
        </w:rPr>
        <w:t>ingle-</w:t>
      </w:r>
      <w:r>
        <w:rPr>
          <w:rFonts w:hint="eastAsia" w:ascii="Times New Roman" w:hAnsi="Times New Roman" w:cs="Times New Roman"/>
          <w:b/>
          <w:bCs/>
          <w:sz w:val="24"/>
          <w:lang w:val="en-US" w:eastAsia="zh-CN"/>
        </w:rPr>
        <w:t>n</w:t>
      </w:r>
      <w:r>
        <w:rPr>
          <w:rFonts w:hint="eastAsia" w:ascii="Times New Roman" w:hAnsi="Times New Roman" w:cs="Times New Roman"/>
          <w:b/>
          <w:bCs/>
          <w:sz w:val="24"/>
        </w:rPr>
        <w:t>ephron eGFR</w:t>
      </w:r>
      <w:r>
        <w:rPr>
          <w:rFonts w:ascii="Times New Roman" w:hAnsi="Times New Roman" w:cs="Times New Roman"/>
          <w:b/>
          <w:bCs/>
          <w:sz w:val="24"/>
        </w:rPr>
        <w:t>.</w:t>
      </w:r>
    </w:p>
    <w:p w14:paraId="35E22E11">
      <w:pPr>
        <w:jc w:val="left"/>
        <w:rPr>
          <w:rFonts w:hint="eastAsia" w:eastAsiaTheme="minorEastAsia"/>
          <w:lang w:eastAsia="zh-CN"/>
        </w:rPr>
        <w:sectPr>
          <w:pgSz w:w="11906" w:h="16838"/>
          <w:pgMar w:top="1440" w:right="1800" w:bottom="1440" w:left="1800" w:header="851" w:footer="992" w:gutter="0"/>
          <w:cols w:space="425" w:num="1"/>
          <w:docGrid w:type="lines" w:linePitch="312" w:charSpace="0"/>
        </w:sectPr>
      </w:pPr>
    </w:p>
    <w:p w14:paraId="356DC33D">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r>
        <w:drawing>
          <wp:inline distT="0" distB="0" distL="114300" distR="114300">
            <wp:extent cx="5266690" cy="2282190"/>
            <wp:effectExtent l="0" t="0" r="6350" b="3810"/>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266690" cy="2282190"/>
                    </a:xfrm>
                    <a:prstGeom prst="rect">
                      <a:avLst/>
                    </a:prstGeom>
                    <a:noFill/>
                    <a:ln>
                      <a:noFill/>
                    </a:ln>
                  </pic:spPr>
                </pic:pic>
              </a:graphicData>
            </a:graphic>
          </wp:inline>
        </w:drawing>
      </w:r>
      <w:r>
        <w:rPr>
          <w:rFonts w:hint="eastAsia" w:ascii="Times New Roman" w:hAnsi="Times New Roman" w:cs="Times New Roman"/>
          <w:b/>
          <w:bCs/>
          <w:sz w:val="24"/>
        </w:rPr>
        <w:t xml:space="preserve">Figure </w:t>
      </w:r>
      <w:r>
        <w:rPr>
          <w:rFonts w:hint="eastAsia" w:ascii="Times New Roman" w:hAnsi="Times New Roman" w:cs="Times New Roman"/>
          <w:b/>
          <w:bCs/>
          <w:sz w:val="24"/>
          <w:lang w:val="en-US" w:eastAsia="zh-CN"/>
        </w:rPr>
        <w:t>S3</w:t>
      </w:r>
      <w:r>
        <w:rPr>
          <w:rFonts w:hint="eastAsia" w:ascii="Times New Roman" w:hAnsi="Times New Roman" w:cs="Times New Roman"/>
          <w:b/>
          <w:bCs/>
          <w:sz w:val="24"/>
        </w:rPr>
        <w:t xml:space="preserve">. The interface of the online tool developed herein, demonstrating the percentile risk calculated by the prediction model based on single-nephron eGFR over 24 and 36 months. </w:t>
      </w:r>
      <w:r>
        <w:rPr>
          <w:rFonts w:hint="eastAsia" w:ascii="Times New Roman" w:hAnsi="Times New Roman" w:cs="Times New Roman"/>
          <w:sz w:val="24"/>
        </w:rPr>
        <w:t>Tool</w:t>
      </w:r>
      <w:r>
        <w:rPr>
          <w:rFonts w:ascii="Times New Roman" w:hAnsi="Times New Roman" w:cs="Times New Roman"/>
          <w:sz w:val="24"/>
        </w:rPr>
        <w:t>’</w:t>
      </w:r>
      <w:r>
        <w:rPr>
          <w:rFonts w:hint="eastAsia" w:ascii="Times New Roman" w:hAnsi="Times New Roman" w:cs="Times New Roman"/>
          <w:sz w:val="24"/>
        </w:rPr>
        <w:t>s website: https://yangchenkay.shinyapps.io/IgAN/.</w:t>
      </w:r>
    </w:p>
    <w:p w14:paraId="4EE7BD3F">
      <w:pPr>
        <w:outlineLvl w:val="0"/>
        <w:rPr>
          <w:rFonts w:ascii="Times New Roman" w:hAnsi="Times New Roman" w:cs="Times New Roman"/>
          <w:b/>
          <w:bCs/>
          <w:sz w:val="24"/>
        </w:rPr>
      </w:pPr>
      <w:r>
        <w:rPr>
          <w:rFonts w:ascii="Times New Roman" w:hAnsi="Times New Roman" w:cs="Times New Roman"/>
          <w:b/>
          <w:bCs/>
          <w:sz w:val="24"/>
        </w:rPr>
        <w:t>Supplementa</w:t>
      </w:r>
      <w:r>
        <w:rPr>
          <w:rFonts w:hint="eastAsia" w:ascii="Times New Roman" w:hAnsi="Times New Roman" w:cs="Times New Roman"/>
          <w:b/>
          <w:bCs/>
          <w:sz w:val="24"/>
        </w:rPr>
        <w:t>l Table</w:t>
      </w:r>
    </w:p>
    <w:tbl>
      <w:tblPr>
        <w:tblStyle w:val="11"/>
        <w:tblpPr w:leftFromText="180" w:rightFromText="180" w:vertAnchor="page" w:horzAnchor="page" w:tblpX="1322" w:tblpY="1890"/>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2551"/>
        <w:gridCol w:w="340"/>
        <w:gridCol w:w="2551"/>
      </w:tblGrid>
      <w:tr w14:paraId="7763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57" w:type="dxa"/>
            <w:gridSpan w:val="4"/>
            <w:tcBorders>
              <w:top w:val="single" w:color="auto" w:sz="4" w:space="0"/>
              <w:left w:val="single" w:color="auto" w:sz="4" w:space="0"/>
              <w:bottom w:val="single" w:color="auto" w:sz="12" w:space="0"/>
              <w:right w:val="single" w:color="auto" w:sz="4" w:space="0"/>
            </w:tcBorders>
            <w:shd w:val="clear" w:color="auto" w:fill="FFFCEF"/>
            <w:vAlign w:val="center"/>
          </w:tcPr>
          <w:p w14:paraId="2623FC96">
            <w:pPr>
              <w:jc w:val="left"/>
              <w:rPr>
                <w:rFonts w:ascii="Times New Roman" w:hAnsi="Times New Roman" w:eastAsia="Times New Roman" w:cs="Times New Roman"/>
                <w:color w:val="000000"/>
                <w:sz w:val="22"/>
                <w:szCs w:val="22"/>
              </w:rPr>
            </w:pPr>
            <w:r>
              <w:rPr>
                <w:rFonts w:ascii="Times New Roman" w:hAnsi="Times New Roman" w:eastAsia="Times New Roman" w:cs="Times New Roman"/>
                <w:b/>
                <w:bCs/>
                <w:color w:val="C00000"/>
                <w:sz w:val="22"/>
                <w:szCs w:val="22"/>
              </w:rPr>
              <w:t xml:space="preserve">Table </w:t>
            </w:r>
            <w:r>
              <w:rPr>
                <w:rFonts w:hint="eastAsia" w:ascii="Times New Roman" w:hAnsi="Times New Roman" w:eastAsia="宋体" w:cs="Times New Roman"/>
                <w:b/>
                <w:bCs/>
                <w:color w:val="C00000"/>
                <w:sz w:val="22"/>
                <w:szCs w:val="22"/>
                <w:lang w:val="en-US" w:eastAsia="zh-CN"/>
              </w:rPr>
              <w:t>S1</w:t>
            </w:r>
            <w:r>
              <w:rPr>
                <w:rFonts w:ascii="Times New Roman" w:hAnsi="Times New Roman" w:eastAsia="Times New Roman" w:cs="Times New Roman"/>
                <w:b/>
                <w:bCs/>
                <w:color w:val="C00000"/>
                <w:sz w:val="22"/>
                <w:szCs w:val="22"/>
              </w:rPr>
              <w:t>.</w:t>
            </w:r>
            <w:r>
              <w:rPr>
                <w:rFonts w:ascii="Times New Roman" w:hAnsi="Times New Roman" w:eastAsia="Times New Roman" w:cs="Times New Roman"/>
                <w:b/>
                <w:bCs/>
                <w:sz w:val="22"/>
                <w:szCs w:val="22"/>
              </w:rPr>
              <w:t xml:space="preserve"> </w:t>
            </w:r>
            <w:r>
              <w:rPr>
                <w:rFonts w:hint="eastAsia" w:ascii="Times New Roman" w:hAnsi="Times New Roman" w:eastAsia="Times New Roman" w:cs="Times New Roman"/>
                <w:b/>
                <w:bCs/>
                <w:sz w:val="22"/>
                <w:szCs w:val="22"/>
              </w:rPr>
              <w:t>Immunosuppressive Regimens in the Study Cohorts</w:t>
            </w:r>
          </w:p>
        </w:tc>
      </w:tr>
      <w:tr w14:paraId="0FEF3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single" w:color="auto" w:sz="4" w:space="0"/>
              <w:right w:val="nil"/>
            </w:tcBorders>
            <w:shd w:val="clear" w:color="auto" w:fill="FFFFFF"/>
            <w:vAlign w:val="center"/>
          </w:tcPr>
          <w:p w14:paraId="31F570A4">
            <w:pPr>
              <w:jc w:val="both"/>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Immunosuppressive Regimen</w:t>
            </w:r>
          </w:p>
        </w:tc>
        <w:tc>
          <w:tcPr>
            <w:tcW w:w="2551" w:type="dxa"/>
            <w:tcBorders>
              <w:top w:val="single" w:color="auto" w:sz="12" w:space="0"/>
              <w:left w:val="nil"/>
              <w:right w:val="nil"/>
            </w:tcBorders>
            <w:shd w:val="clear" w:color="auto" w:fill="FFFFFF"/>
            <w:vAlign w:val="center"/>
          </w:tcPr>
          <w:p w14:paraId="7F4F9F64">
            <w:pPr>
              <w:jc w:val="center"/>
              <w:rPr>
                <w:rFonts w:ascii="Times New Roman" w:hAnsi="Times New Roman" w:eastAsia="Times New Roman" w:cs="Times New Roman"/>
                <w:b/>
                <w:bCs/>
                <w:color w:val="000000"/>
                <w:sz w:val="20"/>
                <w:szCs w:val="20"/>
              </w:rPr>
            </w:pPr>
            <w:r>
              <w:rPr>
                <w:rFonts w:hint="eastAsia" w:ascii="Times New Roman" w:hAnsi="Times New Roman" w:eastAsia="Times New Roman" w:cs="Times New Roman"/>
                <w:b/>
                <w:bCs/>
                <w:color w:val="000000"/>
                <w:sz w:val="20"/>
                <w:szCs w:val="20"/>
              </w:rPr>
              <w:t>Total Cohort (n=190)</w:t>
            </w:r>
          </w:p>
        </w:tc>
        <w:tc>
          <w:tcPr>
            <w:tcW w:w="340" w:type="dxa"/>
            <w:tcBorders>
              <w:top w:val="single" w:color="auto" w:sz="12" w:space="0"/>
              <w:left w:val="nil"/>
              <w:right w:val="nil"/>
            </w:tcBorders>
            <w:shd w:val="clear" w:color="auto" w:fill="FFFFFF"/>
            <w:vAlign w:val="center"/>
          </w:tcPr>
          <w:p w14:paraId="05701112">
            <w:pPr>
              <w:jc w:val="center"/>
              <w:rPr>
                <w:rFonts w:ascii="Times New Roman" w:hAnsi="Times New Roman" w:eastAsia="Times New Roman" w:cs="Times New Roman"/>
                <w:b/>
                <w:bCs/>
                <w:color w:val="000000"/>
                <w:sz w:val="20"/>
                <w:szCs w:val="20"/>
              </w:rPr>
            </w:pPr>
          </w:p>
        </w:tc>
        <w:tc>
          <w:tcPr>
            <w:tcW w:w="2551" w:type="dxa"/>
            <w:tcBorders>
              <w:top w:val="single" w:color="auto" w:sz="12" w:space="0"/>
              <w:left w:val="nil"/>
              <w:bottom w:val="single" w:color="auto" w:sz="4" w:space="0"/>
              <w:right w:val="single" w:color="auto" w:sz="4" w:space="0"/>
            </w:tcBorders>
            <w:shd w:val="clear" w:color="auto" w:fill="FFFFFF"/>
            <w:vAlign w:val="center"/>
          </w:tcPr>
          <w:p w14:paraId="3783D91D">
            <w:pPr>
              <w:jc w:val="center"/>
              <w:rPr>
                <w:rFonts w:ascii="Times New Roman" w:hAnsi="Times New Roman" w:eastAsia="Times New Roman" w:cs="Times New Roman"/>
                <w:b/>
                <w:bCs/>
                <w:color w:val="000000"/>
                <w:sz w:val="20"/>
                <w:szCs w:val="20"/>
              </w:rPr>
            </w:pPr>
            <w:r>
              <w:rPr>
                <w:rFonts w:hint="eastAsia" w:ascii="Times New Roman" w:hAnsi="Times New Roman" w:eastAsia="Times New Roman" w:cs="Times New Roman"/>
                <w:b/>
                <w:bCs/>
                <w:color w:val="000000"/>
                <w:sz w:val="20"/>
                <w:szCs w:val="20"/>
              </w:rPr>
              <w:t>Training Cohort (n=133)</w:t>
            </w:r>
          </w:p>
        </w:tc>
      </w:tr>
      <w:tr w14:paraId="6D858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single" w:color="auto" w:sz="4" w:space="0"/>
              <w:left w:val="single" w:color="auto" w:sz="4" w:space="0"/>
              <w:bottom w:val="nil"/>
              <w:right w:val="nil"/>
            </w:tcBorders>
            <w:shd w:val="clear" w:color="auto" w:fill="FFFFFF"/>
            <w:vAlign w:val="center"/>
          </w:tcPr>
          <w:p w14:paraId="0CC71A61">
            <w:pPr>
              <w:jc w:val="left"/>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Any Immunosuppression, n (%)</w:t>
            </w:r>
          </w:p>
        </w:tc>
        <w:tc>
          <w:tcPr>
            <w:tcW w:w="2551" w:type="dxa"/>
            <w:tcBorders>
              <w:top w:val="single" w:color="auto" w:sz="4" w:space="0"/>
              <w:left w:val="nil"/>
              <w:bottom w:val="nil"/>
              <w:right w:val="nil"/>
            </w:tcBorders>
            <w:shd w:val="clear" w:color="auto" w:fill="FFFFFF"/>
            <w:vAlign w:val="center"/>
          </w:tcPr>
          <w:p w14:paraId="56AB0BA0">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103 (54.2)</w:t>
            </w:r>
          </w:p>
        </w:tc>
        <w:tc>
          <w:tcPr>
            <w:tcW w:w="340" w:type="dxa"/>
            <w:tcBorders>
              <w:top w:val="single" w:color="auto" w:sz="4" w:space="0"/>
              <w:left w:val="nil"/>
              <w:bottom w:val="nil"/>
              <w:right w:val="nil"/>
            </w:tcBorders>
            <w:shd w:val="clear" w:color="auto" w:fill="FFFFFF"/>
            <w:vAlign w:val="center"/>
          </w:tcPr>
          <w:p w14:paraId="3E7D5B37">
            <w:pPr>
              <w:widowControl/>
              <w:spacing w:before="100" w:beforeAutospacing="1" w:after="100" w:afterAutospacing="1"/>
              <w:jc w:val="center"/>
              <w:rPr>
                <w:rFonts w:ascii="Times New Roman" w:hAnsi="Times New Roman" w:eastAsia="Times New Roman" w:cs="Times New Roman"/>
                <w:color w:val="000000"/>
                <w:sz w:val="20"/>
                <w:szCs w:val="20"/>
              </w:rPr>
            </w:pPr>
          </w:p>
        </w:tc>
        <w:tc>
          <w:tcPr>
            <w:tcW w:w="2551" w:type="dxa"/>
            <w:tcBorders>
              <w:top w:val="single" w:color="auto" w:sz="4" w:space="0"/>
              <w:left w:val="nil"/>
              <w:bottom w:val="nil"/>
              <w:right w:val="single" w:color="auto" w:sz="4" w:space="0"/>
            </w:tcBorders>
            <w:shd w:val="clear" w:color="auto" w:fill="FFFFFF"/>
            <w:vAlign w:val="center"/>
          </w:tcPr>
          <w:p w14:paraId="4D037873">
            <w:pPr>
              <w:jc w:val="center"/>
              <w:rPr>
                <w:rFonts w:ascii="Times New Roman" w:hAnsi="Times New Roman" w:eastAsia="Times New Roman" w:cs="Times New Roman"/>
                <w:color w:val="000000"/>
                <w:sz w:val="20"/>
                <w:szCs w:val="20"/>
              </w:rPr>
            </w:pPr>
            <w:r>
              <w:rPr>
                <w:rFonts w:hint="eastAsia" w:ascii="Times New Roman" w:hAnsi="Times New Roman"/>
                <w:color w:val="000000"/>
                <w:kern w:val="2"/>
                <w:sz w:val="20"/>
                <w:szCs w:val="20"/>
              </w:rPr>
              <w:t>69</w:t>
            </w:r>
            <w:r>
              <w:rPr>
                <w:rFonts w:ascii="Times New Roman" w:hAnsi="Times New Roman"/>
                <w:color w:val="000000"/>
                <w:kern w:val="2"/>
                <w:sz w:val="20"/>
                <w:szCs w:val="20"/>
              </w:rPr>
              <w:t xml:space="preserve"> (</w:t>
            </w:r>
            <w:r>
              <w:rPr>
                <w:rFonts w:hint="eastAsia" w:ascii="Times New Roman" w:hAnsi="Times New Roman"/>
                <w:color w:val="000000"/>
                <w:kern w:val="2"/>
                <w:sz w:val="20"/>
                <w:szCs w:val="20"/>
              </w:rPr>
              <w:t>51.9</w:t>
            </w:r>
            <w:r>
              <w:rPr>
                <w:rFonts w:ascii="Times New Roman" w:hAnsi="Times New Roman"/>
                <w:color w:val="000000"/>
                <w:kern w:val="2"/>
                <w:sz w:val="20"/>
                <w:szCs w:val="20"/>
              </w:rPr>
              <w:t>)</w:t>
            </w:r>
          </w:p>
        </w:tc>
      </w:tr>
      <w:tr w14:paraId="5CC50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3E6A14FA">
            <w:pPr>
              <w:jc w:val="left"/>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Corticosteroids</w:t>
            </w:r>
            <w:r>
              <w:rPr>
                <w:rFonts w:hint="eastAsia" w:ascii="Times New Roman" w:hAnsi="Times New Roman" w:eastAsia="宋体" w:cs="Times New Roman"/>
                <w:color w:val="000000"/>
                <w:sz w:val="20"/>
                <w:szCs w:val="20"/>
                <w:lang w:val="en-US" w:eastAsia="zh-CN"/>
              </w:rPr>
              <w:t xml:space="preserve"> only</w:t>
            </w:r>
            <w:r>
              <w:rPr>
                <w:rFonts w:hint="eastAsia" w:ascii="Times New Roman" w:hAnsi="Times New Roman" w:eastAsia="Times New Roman" w:cs="Times New Roman"/>
                <w:color w:val="000000"/>
                <w:sz w:val="20"/>
                <w:szCs w:val="20"/>
              </w:rPr>
              <w:t>, n (%)</w:t>
            </w:r>
          </w:p>
        </w:tc>
        <w:tc>
          <w:tcPr>
            <w:tcW w:w="2551" w:type="dxa"/>
            <w:tcBorders>
              <w:top w:val="nil"/>
              <w:left w:val="nil"/>
              <w:bottom w:val="nil"/>
              <w:right w:val="nil"/>
            </w:tcBorders>
            <w:shd w:val="clear" w:color="auto" w:fill="FFFFFF"/>
            <w:vAlign w:val="center"/>
          </w:tcPr>
          <w:p w14:paraId="35559502">
            <w:pPr>
              <w:widowControl/>
              <w:jc w:val="center"/>
              <w:textAlignment w:val="bottom"/>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43 (22.6)</w:t>
            </w:r>
          </w:p>
        </w:tc>
        <w:tc>
          <w:tcPr>
            <w:tcW w:w="340" w:type="dxa"/>
            <w:tcBorders>
              <w:top w:val="nil"/>
              <w:left w:val="nil"/>
              <w:bottom w:val="nil"/>
              <w:right w:val="nil"/>
            </w:tcBorders>
            <w:shd w:val="clear" w:color="auto" w:fill="FFFFFF"/>
            <w:vAlign w:val="center"/>
          </w:tcPr>
          <w:p w14:paraId="19769A8A">
            <w:pPr>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068EEB2F">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27 (20.3)</w:t>
            </w:r>
          </w:p>
        </w:tc>
      </w:tr>
      <w:tr w14:paraId="36E5C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07FC07C1">
            <w:pPr>
              <w:jc w:val="left"/>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MMF</w:t>
            </w:r>
            <w:r>
              <w:rPr>
                <w:rFonts w:hint="eastAsia" w:ascii="Times New Roman" w:hAnsi="Times New Roman" w:eastAsia="宋体" w:cs="Times New Roman"/>
                <w:color w:val="000000"/>
                <w:sz w:val="20"/>
                <w:szCs w:val="20"/>
                <w:lang w:val="en-US" w:eastAsia="zh-CN"/>
              </w:rPr>
              <w:t xml:space="preserve"> only</w:t>
            </w:r>
            <w:r>
              <w:rPr>
                <w:rFonts w:hint="eastAsia" w:ascii="Times New Roman" w:hAnsi="Times New Roman" w:eastAsia="Times New Roman" w:cs="Times New Roman"/>
                <w:color w:val="000000"/>
                <w:sz w:val="20"/>
                <w:szCs w:val="20"/>
              </w:rPr>
              <w:t>, n (%)</w:t>
            </w:r>
          </w:p>
        </w:tc>
        <w:tc>
          <w:tcPr>
            <w:tcW w:w="2551" w:type="dxa"/>
            <w:tcBorders>
              <w:top w:val="nil"/>
              <w:left w:val="nil"/>
              <w:bottom w:val="nil"/>
              <w:right w:val="nil"/>
            </w:tcBorders>
            <w:shd w:val="clear" w:color="auto" w:fill="FFFFFF"/>
            <w:vAlign w:val="center"/>
          </w:tcPr>
          <w:p w14:paraId="56313E76">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11 (5.8)</w:t>
            </w:r>
          </w:p>
        </w:tc>
        <w:tc>
          <w:tcPr>
            <w:tcW w:w="340" w:type="dxa"/>
            <w:tcBorders>
              <w:top w:val="nil"/>
              <w:left w:val="nil"/>
              <w:bottom w:val="nil"/>
              <w:right w:val="nil"/>
            </w:tcBorders>
            <w:shd w:val="clear" w:color="auto" w:fill="FFFFFF"/>
            <w:vAlign w:val="center"/>
          </w:tcPr>
          <w:p w14:paraId="15C2553D">
            <w:pPr>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4FC22CA5">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7 (5.3)</w:t>
            </w:r>
          </w:p>
        </w:tc>
      </w:tr>
      <w:tr w14:paraId="5416F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3B70FBE6">
            <w:pPr>
              <w:jc w:val="left"/>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Leflunomide</w:t>
            </w:r>
            <w:r>
              <w:rPr>
                <w:rFonts w:hint="eastAsia" w:ascii="Times New Roman" w:hAnsi="Times New Roman" w:eastAsia="宋体" w:cs="Times New Roman"/>
                <w:color w:val="000000"/>
                <w:sz w:val="20"/>
                <w:szCs w:val="20"/>
                <w:lang w:val="en-US" w:eastAsia="zh-CN"/>
              </w:rPr>
              <w:t xml:space="preserve"> only</w:t>
            </w:r>
            <w:r>
              <w:rPr>
                <w:rFonts w:hint="eastAsia" w:ascii="Times New Roman" w:hAnsi="Times New Roman" w:eastAsia="Times New Roman" w:cs="Times New Roman"/>
                <w:color w:val="000000"/>
                <w:sz w:val="20"/>
                <w:szCs w:val="20"/>
              </w:rPr>
              <w:t>, n (%)</w:t>
            </w:r>
          </w:p>
        </w:tc>
        <w:tc>
          <w:tcPr>
            <w:tcW w:w="2551" w:type="dxa"/>
            <w:tcBorders>
              <w:top w:val="nil"/>
              <w:left w:val="nil"/>
              <w:bottom w:val="nil"/>
              <w:right w:val="nil"/>
            </w:tcBorders>
            <w:shd w:val="clear" w:color="auto" w:fill="FFFFFF"/>
            <w:vAlign w:val="center"/>
          </w:tcPr>
          <w:p w14:paraId="36912325">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18 (9.5)</w:t>
            </w:r>
          </w:p>
        </w:tc>
        <w:tc>
          <w:tcPr>
            <w:tcW w:w="340" w:type="dxa"/>
            <w:tcBorders>
              <w:top w:val="nil"/>
              <w:left w:val="nil"/>
              <w:bottom w:val="nil"/>
              <w:right w:val="nil"/>
            </w:tcBorders>
            <w:shd w:val="clear" w:color="auto" w:fill="FFFFFF"/>
            <w:vAlign w:val="center"/>
          </w:tcPr>
          <w:p w14:paraId="6E2396E6">
            <w:pPr>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56760AFE">
            <w:pPr>
              <w:widowControl/>
              <w:jc w:val="center"/>
              <w:textAlignment w:val="bottom"/>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11 (8.3)</w:t>
            </w:r>
          </w:p>
        </w:tc>
      </w:tr>
      <w:tr w14:paraId="4AF5D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3079DA82">
            <w:pPr>
              <w:jc w:val="left"/>
              <w:rPr>
                <w:rFonts w:hint="eastAsia"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Hydroxychloroquine</w:t>
            </w:r>
            <w:r>
              <w:rPr>
                <w:rFonts w:hint="eastAsia" w:ascii="Times New Roman" w:hAnsi="Times New Roman" w:eastAsia="宋体" w:cs="Times New Roman"/>
                <w:color w:val="000000"/>
                <w:sz w:val="20"/>
                <w:szCs w:val="20"/>
                <w:lang w:val="en-US" w:eastAsia="zh-CN"/>
              </w:rPr>
              <w:t xml:space="preserve"> only</w:t>
            </w:r>
            <w:r>
              <w:rPr>
                <w:rFonts w:hint="eastAsia" w:ascii="Times New Roman" w:hAnsi="Times New Roman" w:eastAsia="Times New Roman" w:cs="Times New Roman"/>
                <w:color w:val="000000"/>
                <w:sz w:val="20"/>
                <w:szCs w:val="20"/>
              </w:rPr>
              <w:t>, n (%)</w:t>
            </w:r>
          </w:p>
        </w:tc>
        <w:tc>
          <w:tcPr>
            <w:tcW w:w="2551" w:type="dxa"/>
            <w:tcBorders>
              <w:top w:val="nil"/>
              <w:left w:val="nil"/>
              <w:bottom w:val="nil"/>
              <w:right w:val="nil"/>
            </w:tcBorders>
            <w:shd w:val="clear" w:color="auto" w:fill="FFFFFF"/>
            <w:vAlign w:val="center"/>
          </w:tcPr>
          <w:p w14:paraId="33B85245">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14 (7.4)</w:t>
            </w:r>
          </w:p>
        </w:tc>
        <w:tc>
          <w:tcPr>
            <w:tcW w:w="340" w:type="dxa"/>
            <w:tcBorders>
              <w:top w:val="nil"/>
              <w:left w:val="nil"/>
              <w:bottom w:val="nil"/>
              <w:right w:val="nil"/>
            </w:tcBorders>
            <w:shd w:val="clear" w:color="auto" w:fill="FFFFFF"/>
            <w:vAlign w:val="center"/>
          </w:tcPr>
          <w:p w14:paraId="351B5D6B">
            <w:pPr>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19A5401A">
            <w:pPr>
              <w:widowControl/>
              <w:jc w:val="center"/>
              <w:textAlignment w:val="bottom"/>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10 (7.5)</w:t>
            </w:r>
          </w:p>
        </w:tc>
      </w:tr>
      <w:tr w14:paraId="2D90B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7AB6F8CB">
            <w:pPr>
              <w:jc w:val="left"/>
              <w:rPr>
                <w:rFonts w:hint="eastAsia"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Other immunosuppressive agents, n (%)</w:t>
            </w:r>
          </w:p>
        </w:tc>
        <w:tc>
          <w:tcPr>
            <w:tcW w:w="2551" w:type="dxa"/>
            <w:tcBorders>
              <w:top w:val="nil"/>
              <w:left w:val="nil"/>
              <w:bottom w:val="nil"/>
              <w:right w:val="nil"/>
            </w:tcBorders>
            <w:shd w:val="clear" w:color="auto" w:fill="FFFFFF"/>
            <w:vAlign w:val="center"/>
          </w:tcPr>
          <w:p w14:paraId="1A48BF06">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5 (2.6)</w:t>
            </w:r>
          </w:p>
        </w:tc>
        <w:tc>
          <w:tcPr>
            <w:tcW w:w="340" w:type="dxa"/>
            <w:tcBorders>
              <w:top w:val="nil"/>
              <w:left w:val="nil"/>
              <w:bottom w:val="nil"/>
              <w:right w:val="nil"/>
            </w:tcBorders>
            <w:shd w:val="clear" w:color="auto" w:fill="FFFFFF"/>
            <w:vAlign w:val="center"/>
          </w:tcPr>
          <w:p w14:paraId="0C05477E">
            <w:pPr>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58E936D6">
            <w:pPr>
              <w:widowControl/>
              <w:jc w:val="center"/>
              <w:textAlignment w:val="bottom"/>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4 (3.0)</w:t>
            </w:r>
          </w:p>
        </w:tc>
      </w:tr>
      <w:tr w14:paraId="536DD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single" w:color="auto" w:sz="4" w:space="0"/>
              <w:right w:val="nil"/>
            </w:tcBorders>
            <w:shd w:val="clear" w:color="auto" w:fill="FFFFFF"/>
            <w:vAlign w:val="center"/>
          </w:tcPr>
          <w:p w14:paraId="542737D9">
            <w:pPr>
              <w:jc w:val="left"/>
              <w:rPr>
                <w:rFonts w:hint="eastAsia"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Combination Therapy, n (%)</w:t>
            </w:r>
          </w:p>
        </w:tc>
        <w:tc>
          <w:tcPr>
            <w:tcW w:w="2551" w:type="dxa"/>
            <w:tcBorders>
              <w:top w:val="nil"/>
              <w:left w:val="nil"/>
              <w:bottom w:val="single" w:color="auto" w:sz="4" w:space="0"/>
              <w:right w:val="nil"/>
            </w:tcBorders>
            <w:shd w:val="clear" w:color="auto" w:fill="FFFFFF"/>
            <w:vAlign w:val="center"/>
          </w:tcPr>
          <w:p w14:paraId="7FB2EF70">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12 (6.3)</w:t>
            </w:r>
          </w:p>
        </w:tc>
        <w:tc>
          <w:tcPr>
            <w:tcW w:w="340" w:type="dxa"/>
            <w:tcBorders>
              <w:top w:val="nil"/>
              <w:left w:val="nil"/>
              <w:bottom w:val="single" w:color="auto" w:sz="4" w:space="0"/>
              <w:right w:val="nil"/>
            </w:tcBorders>
            <w:shd w:val="clear" w:color="auto" w:fill="FFFFFF"/>
            <w:vAlign w:val="center"/>
          </w:tcPr>
          <w:p w14:paraId="505A5397">
            <w:pPr>
              <w:jc w:val="center"/>
              <w:rPr>
                <w:rFonts w:ascii="Times New Roman" w:hAnsi="Times New Roman" w:eastAsia="Times New Roman" w:cs="Times New Roman"/>
                <w:color w:val="000000"/>
                <w:sz w:val="20"/>
                <w:szCs w:val="20"/>
              </w:rPr>
            </w:pPr>
          </w:p>
        </w:tc>
        <w:tc>
          <w:tcPr>
            <w:tcW w:w="2551" w:type="dxa"/>
            <w:tcBorders>
              <w:top w:val="nil"/>
              <w:left w:val="nil"/>
              <w:bottom w:val="single" w:color="auto" w:sz="4" w:space="0"/>
              <w:right w:val="single" w:color="auto" w:sz="4" w:space="0"/>
            </w:tcBorders>
            <w:shd w:val="clear" w:color="auto" w:fill="FFFFFF"/>
            <w:vAlign w:val="center"/>
          </w:tcPr>
          <w:p w14:paraId="2F595F18">
            <w:pPr>
              <w:widowControl/>
              <w:jc w:val="center"/>
              <w:textAlignment w:val="bottom"/>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10 (7.5)</w:t>
            </w:r>
          </w:p>
        </w:tc>
      </w:tr>
    </w:tbl>
    <w:p w14:paraId="0744FECE">
      <w:pPr>
        <w:widowControl/>
        <w:spacing w:line="360" w:lineRule="exact"/>
        <w:outlineLvl w:val="9"/>
        <w:rPr>
          <w:rFonts w:hint="eastAsia" w:ascii="Times New Roman" w:hAnsi="Times New Roman" w:eastAsia="宋体" w:cs="Times New Roman"/>
          <w:color w:val="000000"/>
          <w:sz w:val="20"/>
          <w:szCs w:val="20"/>
          <w:lang w:val="en-US" w:eastAsia="zh-CN"/>
        </w:rPr>
        <w:sectPr>
          <w:pgSz w:w="11906" w:h="16838"/>
          <w:pgMar w:top="1440" w:right="1800" w:bottom="1440" w:left="1800" w:header="851" w:footer="992" w:gutter="0"/>
          <w:cols w:space="425" w:num="1"/>
          <w:docGrid w:type="lines" w:linePitch="312" w:charSpace="0"/>
        </w:sectPr>
      </w:pPr>
      <w:r>
        <w:rPr>
          <w:rFonts w:hint="eastAsia" w:ascii="Times New Roman" w:hAnsi="Times New Roman" w:eastAsia="Times New Roman" w:cs="Times New Roman"/>
          <w:color w:val="000000"/>
          <w:sz w:val="20"/>
          <w:szCs w:val="20"/>
        </w:rPr>
        <w:t>Other immunosuppressive agents</w:t>
      </w:r>
      <w:r>
        <w:rPr>
          <w:rFonts w:hint="eastAsia" w:ascii="Times New Roman" w:hAnsi="Times New Roman" w:eastAsia="宋体" w:cs="Times New Roman"/>
          <w:color w:val="000000"/>
          <w:sz w:val="20"/>
          <w:szCs w:val="20"/>
          <w:lang w:val="en-US" w:eastAsia="zh-CN"/>
        </w:rPr>
        <w:t xml:space="preserve"> include tacrolimus (n=4) and tripterygium glycosides (n=2).</w:t>
      </w:r>
    </w:p>
    <w:tbl>
      <w:tblPr>
        <w:tblStyle w:val="11"/>
        <w:tblpPr w:leftFromText="180" w:rightFromText="180" w:vertAnchor="page" w:horzAnchor="page" w:tblpX="770" w:tblpY="1839"/>
        <w:tblW w:w="105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81"/>
        <w:gridCol w:w="2268"/>
        <w:gridCol w:w="1644"/>
        <w:gridCol w:w="340"/>
        <w:gridCol w:w="2268"/>
        <w:gridCol w:w="1644"/>
      </w:tblGrid>
      <w:tr w14:paraId="7E895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0545" w:type="dxa"/>
            <w:gridSpan w:val="6"/>
            <w:tcBorders>
              <w:top w:val="single" w:color="auto" w:sz="4" w:space="0"/>
              <w:left w:val="single" w:color="auto" w:sz="4" w:space="0"/>
              <w:bottom w:val="single" w:color="auto" w:sz="12" w:space="0"/>
              <w:right w:val="single" w:color="auto" w:sz="4" w:space="0"/>
            </w:tcBorders>
            <w:shd w:val="clear" w:color="auto" w:fill="FFFCEF"/>
            <w:vAlign w:val="center"/>
          </w:tcPr>
          <w:p w14:paraId="02E2E4E6">
            <w:pPr>
              <w:jc w:val="left"/>
              <w:rPr>
                <w:rFonts w:ascii="Times New Roman" w:hAnsi="Times New Roman" w:eastAsia="Times New Roman" w:cs="Times New Roman"/>
                <w:color w:val="000000"/>
                <w:sz w:val="22"/>
                <w:szCs w:val="22"/>
              </w:rPr>
            </w:pPr>
            <w:r>
              <w:rPr>
                <w:rFonts w:ascii="Times New Roman" w:hAnsi="Times New Roman" w:eastAsia="Times New Roman" w:cs="Times New Roman"/>
                <w:b/>
                <w:bCs/>
                <w:color w:val="C00000"/>
                <w:sz w:val="22"/>
                <w:szCs w:val="22"/>
              </w:rPr>
              <w:t xml:space="preserve">Table </w:t>
            </w:r>
            <w:r>
              <w:rPr>
                <w:rFonts w:hint="eastAsia" w:ascii="Times New Roman" w:hAnsi="Times New Roman" w:eastAsia="宋体" w:cs="Times New Roman"/>
                <w:b/>
                <w:bCs/>
                <w:color w:val="C00000"/>
                <w:sz w:val="22"/>
                <w:szCs w:val="22"/>
                <w:lang w:val="en-US" w:eastAsia="zh-CN"/>
              </w:rPr>
              <w:t>S2</w:t>
            </w:r>
            <w:r>
              <w:rPr>
                <w:rFonts w:ascii="Times New Roman" w:hAnsi="Times New Roman" w:eastAsia="Times New Roman" w:cs="Times New Roman"/>
                <w:b/>
                <w:bCs/>
                <w:color w:val="C00000"/>
                <w:sz w:val="22"/>
                <w:szCs w:val="22"/>
              </w:rPr>
              <w:t>.</w:t>
            </w:r>
            <w:r>
              <w:rPr>
                <w:rFonts w:ascii="Times New Roman" w:hAnsi="Times New Roman" w:eastAsia="Times New Roman" w:cs="Times New Roman"/>
                <w:b/>
                <w:bCs/>
                <w:sz w:val="22"/>
                <w:szCs w:val="22"/>
              </w:rPr>
              <w:t xml:space="preserve"> Sensitivity Analysis: </w:t>
            </w:r>
            <w:r>
              <w:rPr>
                <w:rFonts w:hint="eastAsia" w:ascii="Times New Roman" w:hAnsi="Times New Roman" w:cs="Times New Roman"/>
                <w:b/>
                <w:bCs/>
                <w:sz w:val="22"/>
                <w:szCs w:val="22"/>
              </w:rPr>
              <w:t>c</w:t>
            </w:r>
            <w:r>
              <w:rPr>
                <w:rFonts w:ascii="Times New Roman" w:hAnsi="Times New Roman" w:eastAsia="Times New Roman" w:cs="Times New Roman"/>
                <w:b/>
                <w:bCs/>
                <w:sz w:val="22"/>
                <w:szCs w:val="22"/>
              </w:rPr>
              <w:t xml:space="preserve">ox </w:t>
            </w:r>
            <w:r>
              <w:rPr>
                <w:rFonts w:hint="eastAsia" w:ascii="Times New Roman" w:hAnsi="Times New Roman" w:cs="Times New Roman"/>
                <w:b/>
                <w:bCs/>
                <w:sz w:val="22"/>
                <w:szCs w:val="22"/>
              </w:rPr>
              <w:t>m</w:t>
            </w:r>
            <w:r>
              <w:rPr>
                <w:rFonts w:ascii="Times New Roman" w:hAnsi="Times New Roman" w:eastAsia="Times New Roman" w:cs="Times New Roman"/>
                <w:b/>
                <w:bCs/>
                <w:sz w:val="22"/>
                <w:szCs w:val="22"/>
              </w:rPr>
              <w:t xml:space="preserve">odel </w:t>
            </w:r>
            <w:r>
              <w:rPr>
                <w:rFonts w:hint="eastAsia" w:ascii="Times New Roman" w:hAnsi="Times New Roman" w:cs="Times New Roman"/>
                <w:b/>
                <w:bCs/>
                <w:sz w:val="22"/>
                <w:szCs w:val="22"/>
              </w:rPr>
              <w:t>r</w:t>
            </w:r>
            <w:r>
              <w:rPr>
                <w:rFonts w:ascii="Times New Roman" w:hAnsi="Times New Roman" w:eastAsia="Times New Roman" w:cs="Times New Roman"/>
                <w:b/>
                <w:bCs/>
                <w:sz w:val="22"/>
                <w:szCs w:val="22"/>
              </w:rPr>
              <w:t xml:space="preserve">esults </w:t>
            </w:r>
            <w:r>
              <w:rPr>
                <w:rFonts w:hint="eastAsia" w:ascii="Times New Roman" w:hAnsi="Times New Roman" w:cs="Times New Roman"/>
                <w:b/>
                <w:bCs/>
                <w:sz w:val="22"/>
                <w:szCs w:val="22"/>
              </w:rPr>
              <w:t>a</w:t>
            </w:r>
            <w:r>
              <w:rPr>
                <w:rFonts w:ascii="Times New Roman" w:hAnsi="Times New Roman" w:eastAsia="Times New Roman" w:cs="Times New Roman"/>
                <w:b/>
                <w:bCs/>
                <w:sz w:val="22"/>
                <w:szCs w:val="22"/>
              </w:rPr>
              <w:t xml:space="preserve">fter </w:t>
            </w:r>
            <w:r>
              <w:rPr>
                <w:rFonts w:hint="eastAsia" w:ascii="Times New Roman" w:hAnsi="Times New Roman" w:cs="Times New Roman"/>
                <w:b/>
                <w:bCs/>
                <w:sz w:val="22"/>
                <w:szCs w:val="22"/>
              </w:rPr>
              <w:t>e</w:t>
            </w:r>
            <w:r>
              <w:rPr>
                <w:rFonts w:ascii="Times New Roman" w:hAnsi="Times New Roman" w:eastAsia="Times New Roman" w:cs="Times New Roman"/>
                <w:b/>
                <w:bCs/>
                <w:sz w:val="22"/>
                <w:szCs w:val="22"/>
              </w:rPr>
              <w:t>xcluding eGFR or single-nephron eGFR</w:t>
            </w:r>
          </w:p>
        </w:tc>
      </w:tr>
      <w:tr w14:paraId="4181E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381" w:type="dxa"/>
            <w:vMerge w:val="restart"/>
            <w:tcBorders>
              <w:top w:val="nil"/>
              <w:left w:val="single" w:color="auto" w:sz="4" w:space="0"/>
              <w:bottom w:val="single" w:color="auto" w:sz="4" w:space="0"/>
              <w:right w:val="nil"/>
            </w:tcBorders>
            <w:shd w:val="clear" w:color="auto" w:fill="FFFFFF"/>
            <w:vAlign w:val="center"/>
          </w:tcPr>
          <w:p w14:paraId="6E141A65">
            <w:pPr>
              <w:jc w:val="both"/>
              <w:rPr>
                <w:rFonts w:ascii="Times New Roman" w:hAnsi="Times New Roman" w:eastAsia="Times New Roman" w:cs="Times New Roman"/>
                <w:color w:val="000000"/>
                <w:sz w:val="20"/>
                <w:szCs w:val="20"/>
              </w:rPr>
            </w:pPr>
            <w:r>
              <w:rPr>
                <w:rFonts w:ascii="Times New Roman" w:hAnsi="Times New Roman" w:eastAsia="Times New Roman" w:cs="Times New Roman"/>
                <w:b/>
                <w:bCs/>
                <w:color w:val="000000"/>
                <w:sz w:val="20"/>
                <w:szCs w:val="20"/>
              </w:rPr>
              <w:t>Variable</w:t>
            </w:r>
          </w:p>
        </w:tc>
        <w:tc>
          <w:tcPr>
            <w:tcW w:w="3912" w:type="dxa"/>
            <w:gridSpan w:val="2"/>
            <w:tcBorders>
              <w:top w:val="single" w:color="auto" w:sz="12" w:space="0"/>
              <w:left w:val="nil"/>
              <w:bottom w:val="single" w:color="auto" w:sz="8" w:space="0"/>
              <w:right w:val="nil"/>
            </w:tcBorders>
            <w:shd w:val="clear" w:color="auto" w:fill="FFFFFF"/>
            <w:vAlign w:val="center"/>
          </w:tcPr>
          <w:p w14:paraId="0327CFCD">
            <w:pPr>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Model 1: excluded eGFR</w:t>
            </w:r>
          </w:p>
        </w:tc>
        <w:tc>
          <w:tcPr>
            <w:tcW w:w="340" w:type="dxa"/>
            <w:tcBorders>
              <w:top w:val="single" w:color="auto" w:sz="12" w:space="0"/>
              <w:left w:val="nil"/>
              <w:bottom w:val="nil"/>
              <w:right w:val="nil"/>
            </w:tcBorders>
            <w:shd w:val="clear" w:color="auto" w:fill="FFFFFF"/>
            <w:vAlign w:val="center"/>
          </w:tcPr>
          <w:p w14:paraId="06C08955">
            <w:pPr>
              <w:jc w:val="center"/>
              <w:rPr>
                <w:rFonts w:ascii="Times New Roman" w:hAnsi="Times New Roman" w:eastAsia="Times New Roman" w:cs="Times New Roman"/>
                <w:b/>
                <w:bCs/>
                <w:color w:val="000000"/>
                <w:sz w:val="20"/>
                <w:szCs w:val="20"/>
              </w:rPr>
            </w:pPr>
          </w:p>
        </w:tc>
        <w:tc>
          <w:tcPr>
            <w:tcW w:w="3912" w:type="dxa"/>
            <w:gridSpan w:val="2"/>
            <w:tcBorders>
              <w:top w:val="single" w:color="auto" w:sz="12" w:space="0"/>
              <w:left w:val="nil"/>
              <w:bottom w:val="single" w:color="auto" w:sz="8" w:space="0"/>
              <w:right w:val="single" w:color="auto" w:sz="4" w:space="0"/>
            </w:tcBorders>
            <w:shd w:val="clear" w:color="auto" w:fill="FFFFFF"/>
            <w:vAlign w:val="center"/>
          </w:tcPr>
          <w:p w14:paraId="26DF5D72">
            <w:pPr>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Model 2: excluded single-nephron eGFR</w:t>
            </w:r>
          </w:p>
        </w:tc>
      </w:tr>
      <w:tr w14:paraId="4A96C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rPr>
        <w:tc>
          <w:tcPr>
            <w:tcW w:w="2381" w:type="dxa"/>
            <w:vMerge w:val="continue"/>
            <w:tcBorders>
              <w:top w:val="single" w:color="auto" w:sz="4" w:space="0"/>
              <w:left w:val="single" w:color="auto" w:sz="4" w:space="0"/>
              <w:bottom w:val="single" w:color="auto" w:sz="4" w:space="0"/>
              <w:right w:val="nil"/>
            </w:tcBorders>
            <w:vAlign w:val="center"/>
          </w:tcPr>
          <w:p w14:paraId="03621BCB">
            <w:pPr>
              <w:rPr>
                <w:rFonts w:ascii="Times New Roman" w:hAnsi="Times New Roman" w:eastAsia="Times New Roman" w:cs="Times New Roman"/>
                <w:color w:val="000000"/>
                <w:sz w:val="20"/>
                <w:szCs w:val="20"/>
              </w:rPr>
            </w:pPr>
          </w:p>
        </w:tc>
        <w:tc>
          <w:tcPr>
            <w:tcW w:w="2268" w:type="dxa"/>
            <w:tcBorders>
              <w:top w:val="single" w:color="auto" w:sz="8" w:space="0"/>
              <w:left w:val="nil"/>
              <w:bottom w:val="single" w:color="auto" w:sz="4" w:space="0"/>
              <w:right w:val="nil"/>
            </w:tcBorders>
            <w:shd w:val="clear" w:color="auto" w:fill="FFFFFF"/>
            <w:vAlign w:val="center"/>
          </w:tcPr>
          <w:p w14:paraId="4C9D954E">
            <w:pPr>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HR (95%CI)</w:t>
            </w:r>
          </w:p>
        </w:tc>
        <w:tc>
          <w:tcPr>
            <w:tcW w:w="1644" w:type="dxa"/>
            <w:tcBorders>
              <w:top w:val="single" w:color="auto" w:sz="8" w:space="0"/>
              <w:left w:val="nil"/>
              <w:bottom w:val="single" w:color="auto" w:sz="4" w:space="0"/>
              <w:right w:val="nil"/>
            </w:tcBorders>
            <w:shd w:val="clear" w:color="auto" w:fill="FFFFFF"/>
            <w:vAlign w:val="center"/>
          </w:tcPr>
          <w:p w14:paraId="1EF98631">
            <w:pPr>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i/>
                <w:iCs/>
                <w:color w:val="000000"/>
                <w:sz w:val="20"/>
                <w:szCs w:val="20"/>
              </w:rPr>
              <w:t>P</w:t>
            </w:r>
            <w:r>
              <w:rPr>
                <w:rFonts w:ascii="Times New Roman" w:hAnsi="Times New Roman" w:eastAsia="Times New Roman" w:cs="Times New Roman"/>
                <w:b/>
                <w:bCs/>
                <w:color w:val="000000"/>
                <w:sz w:val="20"/>
                <w:szCs w:val="20"/>
              </w:rPr>
              <w:t xml:space="preserve"> value</w:t>
            </w:r>
          </w:p>
        </w:tc>
        <w:tc>
          <w:tcPr>
            <w:tcW w:w="340" w:type="dxa"/>
            <w:tcBorders>
              <w:top w:val="nil"/>
              <w:left w:val="nil"/>
              <w:bottom w:val="single" w:color="auto" w:sz="4" w:space="0"/>
              <w:right w:val="nil"/>
            </w:tcBorders>
            <w:shd w:val="clear" w:color="auto" w:fill="FFFFFF"/>
            <w:vAlign w:val="center"/>
          </w:tcPr>
          <w:p w14:paraId="6FBF7002">
            <w:pPr>
              <w:jc w:val="center"/>
              <w:rPr>
                <w:rFonts w:ascii="Times New Roman" w:hAnsi="Times New Roman" w:eastAsia="Times New Roman" w:cs="Times New Roman"/>
                <w:b/>
                <w:bCs/>
                <w:color w:val="000000"/>
                <w:sz w:val="20"/>
                <w:szCs w:val="20"/>
              </w:rPr>
            </w:pPr>
          </w:p>
        </w:tc>
        <w:tc>
          <w:tcPr>
            <w:tcW w:w="2268" w:type="dxa"/>
            <w:tcBorders>
              <w:top w:val="single" w:color="auto" w:sz="8" w:space="0"/>
              <w:left w:val="nil"/>
              <w:bottom w:val="single" w:color="auto" w:sz="4" w:space="0"/>
              <w:right w:val="nil"/>
            </w:tcBorders>
            <w:shd w:val="clear" w:color="auto" w:fill="FFFFFF"/>
            <w:vAlign w:val="center"/>
          </w:tcPr>
          <w:p w14:paraId="2A86D6BD">
            <w:pPr>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color w:val="000000"/>
                <w:sz w:val="20"/>
                <w:szCs w:val="20"/>
              </w:rPr>
              <w:t>HR (95%CI)</w:t>
            </w:r>
          </w:p>
        </w:tc>
        <w:tc>
          <w:tcPr>
            <w:tcW w:w="1644" w:type="dxa"/>
            <w:tcBorders>
              <w:top w:val="single" w:color="auto" w:sz="8" w:space="0"/>
              <w:left w:val="nil"/>
              <w:bottom w:val="single" w:color="auto" w:sz="4" w:space="0"/>
              <w:right w:val="single" w:color="auto" w:sz="4" w:space="0"/>
            </w:tcBorders>
            <w:shd w:val="clear" w:color="auto" w:fill="FFFFFF"/>
            <w:vAlign w:val="center"/>
          </w:tcPr>
          <w:p w14:paraId="6E8836ED">
            <w:pPr>
              <w:jc w:val="center"/>
              <w:rPr>
                <w:rFonts w:ascii="Times New Roman" w:hAnsi="Times New Roman" w:eastAsia="Times New Roman" w:cs="Times New Roman"/>
                <w:b/>
                <w:bCs/>
                <w:color w:val="000000"/>
                <w:sz w:val="20"/>
                <w:szCs w:val="20"/>
              </w:rPr>
            </w:pPr>
            <w:r>
              <w:rPr>
                <w:rFonts w:ascii="Times New Roman" w:hAnsi="Times New Roman" w:eastAsia="Times New Roman" w:cs="Times New Roman"/>
                <w:b/>
                <w:bCs/>
                <w:i/>
                <w:iCs/>
                <w:color w:val="000000"/>
                <w:sz w:val="20"/>
                <w:szCs w:val="20"/>
              </w:rPr>
              <w:t>P</w:t>
            </w:r>
            <w:r>
              <w:rPr>
                <w:rFonts w:ascii="Times New Roman" w:hAnsi="Times New Roman" w:eastAsia="Times New Roman" w:cs="Times New Roman"/>
                <w:b/>
                <w:bCs/>
                <w:color w:val="000000"/>
                <w:sz w:val="20"/>
                <w:szCs w:val="20"/>
              </w:rPr>
              <w:t xml:space="preserve"> value</w:t>
            </w:r>
          </w:p>
        </w:tc>
      </w:tr>
      <w:tr w14:paraId="764A1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81" w:type="dxa"/>
            <w:tcBorders>
              <w:top w:val="single" w:color="auto" w:sz="4" w:space="0"/>
              <w:left w:val="single" w:color="auto" w:sz="4" w:space="0"/>
              <w:bottom w:val="nil"/>
              <w:right w:val="nil"/>
            </w:tcBorders>
            <w:shd w:val="clear" w:color="auto" w:fill="FFFFFF"/>
            <w:vAlign w:val="center"/>
          </w:tcPr>
          <w:p w14:paraId="7F7D78BC">
            <w:pPr>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Smoking history</w:t>
            </w:r>
          </w:p>
        </w:tc>
        <w:tc>
          <w:tcPr>
            <w:tcW w:w="2268" w:type="dxa"/>
            <w:tcBorders>
              <w:top w:val="single" w:color="auto" w:sz="4" w:space="0"/>
              <w:left w:val="nil"/>
              <w:bottom w:val="nil"/>
              <w:right w:val="nil"/>
            </w:tcBorders>
            <w:shd w:val="clear" w:color="auto" w:fill="FFFFFF"/>
            <w:vAlign w:val="center"/>
          </w:tcPr>
          <w:p w14:paraId="370B3645">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2.84 (1.38-5.81)</w:t>
            </w:r>
          </w:p>
        </w:tc>
        <w:tc>
          <w:tcPr>
            <w:tcW w:w="1644" w:type="dxa"/>
            <w:tcBorders>
              <w:top w:val="single" w:color="auto" w:sz="4" w:space="0"/>
              <w:left w:val="nil"/>
              <w:bottom w:val="nil"/>
              <w:right w:val="nil"/>
            </w:tcBorders>
            <w:shd w:val="clear" w:color="auto" w:fill="FFFFFF"/>
            <w:vAlign w:val="center"/>
          </w:tcPr>
          <w:p w14:paraId="4A0665E3">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0.004</w:t>
            </w:r>
          </w:p>
        </w:tc>
        <w:tc>
          <w:tcPr>
            <w:tcW w:w="340" w:type="dxa"/>
            <w:tcBorders>
              <w:top w:val="single" w:color="auto" w:sz="4" w:space="0"/>
              <w:left w:val="nil"/>
              <w:bottom w:val="nil"/>
              <w:right w:val="nil"/>
            </w:tcBorders>
            <w:shd w:val="clear" w:color="auto" w:fill="FFFFFF"/>
            <w:vAlign w:val="center"/>
          </w:tcPr>
          <w:p w14:paraId="246323F1">
            <w:pPr>
              <w:widowControl/>
              <w:spacing w:before="100" w:beforeAutospacing="1" w:after="100" w:afterAutospacing="1"/>
              <w:jc w:val="center"/>
              <w:rPr>
                <w:rFonts w:ascii="Times New Roman" w:hAnsi="Times New Roman" w:eastAsia="Times New Roman" w:cs="Times New Roman"/>
                <w:color w:val="000000"/>
                <w:sz w:val="20"/>
                <w:szCs w:val="20"/>
              </w:rPr>
            </w:pPr>
          </w:p>
        </w:tc>
        <w:tc>
          <w:tcPr>
            <w:tcW w:w="2268" w:type="dxa"/>
            <w:tcBorders>
              <w:top w:val="single" w:color="auto" w:sz="4" w:space="0"/>
              <w:left w:val="nil"/>
              <w:bottom w:val="nil"/>
              <w:right w:val="nil"/>
            </w:tcBorders>
            <w:shd w:val="clear" w:color="auto" w:fill="FFFFFF"/>
            <w:vAlign w:val="center"/>
          </w:tcPr>
          <w:p w14:paraId="29828BB7">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2.44 (1.22-4.88)</w:t>
            </w:r>
          </w:p>
        </w:tc>
        <w:tc>
          <w:tcPr>
            <w:tcW w:w="1644" w:type="dxa"/>
            <w:tcBorders>
              <w:top w:val="single" w:color="auto" w:sz="4" w:space="0"/>
              <w:left w:val="nil"/>
              <w:bottom w:val="nil"/>
              <w:right w:val="single" w:color="auto" w:sz="4" w:space="0"/>
            </w:tcBorders>
            <w:shd w:val="clear" w:color="auto" w:fill="FFFFFF"/>
            <w:vAlign w:val="center"/>
          </w:tcPr>
          <w:p w14:paraId="5F39DCE1">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0.01</w:t>
            </w:r>
          </w:p>
        </w:tc>
      </w:tr>
      <w:tr w14:paraId="25D5D8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81" w:type="dxa"/>
            <w:tcBorders>
              <w:top w:val="nil"/>
              <w:left w:val="single" w:color="auto" w:sz="4" w:space="0"/>
              <w:bottom w:val="nil"/>
              <w:right w:val="nil"/>
            </w:tcBorders>
            <w:shd w:val="clear" w:color="auto" w:fill="FFFFFF"/>
            <w:vAlign w:val="center"/>
          </w:tcPr>
          <w:p w14:paraId="7DF7F580">
            <w:pPr>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eGFR</w:t>
            </w:r>
          </w:p>
        </w:tc>
        <w:tc>
          <w:tcPr>
            <w:tcW w:w="2268" w:type="dxa"/>
            <w:tcBorders>
              <w:top w:val="nil"/>
              <w:left w:val="nil"/>
              <w:bottom w:val="nil"/>
              <w:right w:val="nil"/>
            </w:tcBorders>
            <w:shd w:val="clear" w:color="auto" w:fill="FFFFFF"/>
            <w:vAlign w:val="center"/>
          </w:tcPr>
          <w:p w14:paraId="0B3D4B94">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c>
          <w:tcPr>
            <w:tcW w:w="1644" w:type="dxa"/>
            <w:tcBorders>
              <w:top w:val="nil"/>
              <w:left w:val="nil"/>
              <w:bottom w:val="nil"/>
              <w:right w:val="nil"/>
            </w:tcBorders>
            <w:shd w:val="clear" w:color="auto" w:fill="FFFFFF"/>
            <w:vAlign w:val="center"/>
          </w:tcPr>
          <w:p w14:paraId="0475744F">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c>
          <w:tcPr>
            <w:tcW w:w="340" w:type="dxa"/>
            <w:tcBorders>
              <w:top w:val="nil"/>
              <w:left w:val="nil"/>
              <w:bottom w:val="nil"/>
              <w:right w:val="nil"/>
            </w:tcBorders>
            <w:shd w:val="clear" w:color="auto" w:fill="FFFFFF"/>
            <w:vAlign w:val="center"/>
          </w:tcPr>
          <w:p w14:paraId="20E033DF">
            <w:pPr>
              <w:jc w:val="center"/>
              <w:rPr>
                <w:rFonts w:ascii="Times New Roman" w:hAnsi="Times New Roman" w:eastAsia="Times New Roman" w:cs="Times New Roman"/>
                <w:color w:val="000000"/>
                <w:sz w:val="20"/>
                <w:szCs w:val="20"/>
              </w:rPr>
            </w:pPr>
          </w:p>
        </w:tc>
        <w:tc>
          <w:tcPr>
            <w:tcW w:w="2268" w:type="dxa"/>
            <w:tcBorders>
              <w:top w:val="nil"/>
              <w:left w:val="nil"/>
              <w:bottom w:val="nil"/>
              <w:right w:val="nil"/>
            </w:tcBorders>
            <w:shd w:val="clear" w:color="auto" w:fill="FFFFFF"/>
            <w:vAlign w:val="center"/>
          </w:tcPr>
          <w:p w14:paraId="240846C9">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1.02 (1.00-1.03)</w:t>
            </w:r>
          </w:p>
        </w:tc>
        <w:tc>
          <w:tcPr>
            <w:tcW w:w="1644" w:type="dxa"/>
            <w:tcBorders>
              <w:top w:val="nil"/>
              <w:left w:val="nil"/>
              <w:bottom w:val="nil"/>
              <w:right w:val="single" w:color="auto" w:sz="4" w:space="0"/>
            </w:tcBorders>
            <w:shd w:val="clear" w:color="auto" w:fill="FFFFFF"/>
            <w:vAlign w:val="center"/>
          </w:tcPr>
          <w:p w14:paraId="52CC3594">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0.004</w:t>
            </w:r>
          </w:p>
        </w:tc>
      </w:tr>
      <w:tr w14:paraId="38DF4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81" w:type="dxa"/>
            <w:tcBorders>
              <w:top w:val="nil"/>
              <w:left w:val="single" w:color="auto" w:sz="4" w:space="0"/>
              <w:bottom w:val="nil"/>
              <w:right w:val="nil"/>
            </w:tcBorders>
            <w:shd w:val="clear" w:color="auto" w:fill="FFFFFF"/>
            <w:vAlign w:val="center"/>
          </w:tcPr>
          <w:p w14:paraId="175D2FCD">
            <w:pPr>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CCBs</w:t>
            </w:r>
          </w:p>
        </w:tc>
        <w:tc>
          <w:tcPr>
            <w:tcW w:w="2268" w:type="dxa"/>
            <w:tcBorders>
              <w:top w:val="nil"/>
              <w:left w:val="nil"/>
              <w:bottom w:val="nil"/>
              <w:right w:val="nil"/>
            </w:tcBorders>
            <w:shd w:val="clear" w:color="auto" w:fill="FFFFFF"/>
            <w:vAlign w:val="center"/>
          </w:tcPr>
          <w:p w14:paraId="1D071E15">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1.99 (0.99-4.02)</w:t>
            </w:r>
          </w:p>
        </w:tc>
        <w:tc>
          <w:tcPr>
            <w:tcW w:w="1644" w:type="dxa"/>
            <w:tcBorders>
              <w:top w:val="nil"/>
              <w:left w:val="nil"/>
              <w:bottom w:val="nil"/>
              <w:right w:val="nil"/>
            </w:tcBorders>
            <w:shd w:val="clear" w:color="auto" w:fill="FFFFFF"/>
            <w:vAlign w:val="center"/>
          </w:tcPr>
          <w:p w14:paraId="080DDA9D">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0.05</w:t>
            </w:r>
          </w:p>
        </w:tc>
        <w:tc>
          <w:tcPr>
            <w:tcW w:w="340" w:type="dxa"/>
            <w:tcBorders>
              <w:top w:val="nil"/>
              <w:left w:val="nil"/>
              <w:bottom w:val="nil"/>
              <w:right w:val="nil"/>
            </w:tcBorders>
            <w:shd w:val="clear" w:color="auto" w:fill="FFFFFF"/>
            <w:vAlign w:val="center"/>
          </w:tcPr>
          <w:p w14:paraId="0FF5516C">
            <w:pPr>
              <w:jc w:val="center"/>
              <w:rPr>
                <w:rFonts w:ascii="Times New Roman" w:hAnsi="Times New Roman" w:eastAsia="Times New Roman" w:cs="Times New Roman"/>
                <w:color w:val="000000"/>
                <w:sz w:val="20"/>
                <w:szCs w:val="20"/>
              </w:rPr>
            </w:pPr>
          </w:p>
        </w:tc>
        <w:tc>
          <w:tcPr>
            <w:tcW w:w="2268" w:type="dxa"/>
            <w:tcBorders>
              <w:top w:val="nil"/>
              <w:left w:val="nil"/>
              <w:bottom w:val="nil"/>
              <w:right w:val="nil"/>
            </w:tcBorders>
            <w:shd w:val="clear" w:color="auto" w:fill="FFFFFF"/>
            <w:vAlign w:val="center"/>
          </w:tcPr>
          <w:p w14:paraId="2AB71238">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2.15 (1.06-4.36)</w:t>
            </w:r>
          </w:p>
        </w:tc>
        <w:tc>
          <w:tcPr>
            <w:tcW w:w="1644" w:type="dxa"/>
            <w:tcBorders>
              <w:top w:val="nil"/>
              <w:left w:val="nil"/>
              <w:bottom w:val="nil"/>
              <w:right w:val="single" w:color="auto" w:sz="4" w:space="0"/>
            </w:tcBorders>
            <w:shd w:val="clear" w:color="auto" w:fill="FFFFFF"/>
            <w:vAlign w:val="center"/>
          </w:tcPr>
          <w:p w14:paraId="6272157B">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0.03</w:t>
            </w:r>
          </w:p>
        </w:tc>
      </w:tr>
      <w:tr w14:paraId="4E222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381" w:type="dxa"/>
            <w:tcBorders>
              <w:top w:val="nil"/>
              <w:left w:val="single" w:color="auto" w:sz="4" w:space="0"/>
              <w:bottom w:val="single" w:color="auto" w:sz="4" w:space="0"/>
              <w:right w:val="nil"/>
            </w:tcBorders>
            <w:shd w:val="clear" w:color="auto" w:fill="FFFFFF"/>
            <w:vAlign w:val="center"/>
          </w:tcPr>
          <w:p w14:paraId="117964A1">
            <w:pPr>
              <w:jc w:val="left"/>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single-nephron eGFR</w:t>
            </w:r>
          </w:p>
        </w:tc>
        <w:tc>
          <w:tcPr>
            <w:tcW w:w="2268" w:type="dxa"/>
            <w:tcBorders>
              <w:top w:val="nil"/>
              <w:left w:val="nil"/>
              <w:bottom w:val="single" w:color="auto" w:sz="4" w:space="0"/>
              <w:right w:val="nil"/>
            </w:tcBorders>
            <w:shd w:val="clear" w:color="auto" w:fill="FFFFFF"/>
            <w:vAlign w:val="center"/>
          </w:tcPr>
          <w:p w14:paraId="4B321049">
            <w:pPr>
              <w:jc w:val="center"/>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1.02 (1.00-1.03)</w:t>
            </w:r>
          </w:p>
        </w:tc>
        <w:tc>
          <w:tcPr>
            <w:tcW w:w="1644" w:type="dxa"/>
            <w:tcBorders>
              <w:top w:val="nil"/>
              <w:left w:val="nil"/>
              <w:bottom w:val="single" w:color="auto" w:sz="4" w:space="0"/>
              <w:right w:val="nil"/>
            </w:tcBorders>
            <w:shd w:val="clear" w:color="auto" w:fill="FFFFFF"/>
            <w:vAlign w:val="center"/>
          </w:tcPr>
          <w:p w14:paraId="390B45B6">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0.007</w:t>
            </w:r>
          </w:p>
        </w:tc>
        <w:tc>
          <w:tcPr>
            <w:tcW w:w="340" w:type="dxa"/>
            <w:tcBorders>
              <w:top w:val="nil"/>
              <w:left w:val="nil"/>
              <w:bottom w:val="single" w:color="auto" w:sz="4" w:space="0"/>
              <w:right w:val="nil"/>
            </w:tcBorders>
            <w:shd w:val="clear" w:color="auto" w:fill="FFFFFF"/>
            <w:vAlign w:val="center"/>
          </w:tcPr>
          <w:p w14:paraId="295015D8">
            <w:pPr>
              <w:jc w:val="center"/>
              <w:rPr>
                <w:rFonts w:ascii="Times New Roman" w:hAnsi="Times New Roman" w:eastAsia="Times New Roman" w:cs="Times New Roman"/>
                <w:color w:val="000000"/>
                <w:sz w:val="20"/>
                <w:szCs w:val="20"/>
              </w:rPr>
            </w:pPr>
          </w:p>
        </w:tc>
        <w:tc>
          <w:tcPr>
            <w:tcW w:w="2268" w:type="dxa"/>
            <w:tcBorders>
              <w:top w:val="nil"/>
              <w:left w:val="nil"/>
              <w:bottom w:val="single" w:color="auto" w:sz="4" w:space="0"/>
              <w:right w:val="nil"/>
            </w:tcBorders>
            <w:shd w:val="clear" w:color="auto" w:fill="FFFFFF"/>
            <w:vAlign w:val="center"/>
          </w:tcPr>
          <w:p w14:paraId="3A9A4F26">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c>
          <w:tcPr>
            <w:tcW w:w="1644" w:type="dxa"/>
            <w:tcBorders>
              <w:top w:val="nil"/>
              <w:left w:val="nil"/>
              <w:bottom w:val="single" w:color="auto" w:sz="4" w:space="0"/>
              <w:right w:val="single" w:color="auto" w:sz="4" w:space="0"/>
            </w:tcBorders>
            <w:shd w:val="clear" w:color="auto" w:fill="FFFFFF"/>
            <w:vAlign w:val="center"/>
          </w:tcPr>
          <w:p w14:paraId="0353C04C">
            <w:pPr>
              <w:widowControl/>
              <w:jc w:val="center"/>
              <w:textAlignment w:val="bottom"/>
              <w:rPr>
                <w:rFonts w:ascii="Times New Roman" w:hAnsi="Times New Roman" w:eastAsia="Times New Roman" w:cs="Times New Roman"/>
                <w:color w:val="000000"/>
                <w:sz w:val="20"/>
                <w:szCs w:val="20"/>
              </w:rPr>
            </w:pPr>
            <w:r>
              <w:rPr>
                <w:rFonts w:ascii="Times New Roman" w:hAnsi="Times New Roman" w:eastAsia="Times New Roman" w:cs="Times New Roman"/>
                <w:color w:val="000000"/>
                <w:sz w:val="20"/>
                <w:szCs w:val="20"/>
              </w:rPr>
              <w:t>-</w:t>
            </w:r>
          </w:p>
        </w:tc>
      </w:tr>
    </w:tbl>
    <w:p w14:paraId="691BFCB1">
      <w:pPr>
        <w:widowControl/>
        <w:spacing w:line="360" w:lineRule="exact"/>
        <w:outlineLvl w:val="9"/>
        <w:rPr>
          <w:rFonts w:hint="default" w:ascii="Times New Roman" w:hAnsi="Times New Roman" w:eastAsia="宋体" w:cs="Times New Roman"/>
          <w:color w:val="000000"/>
          <w:sz w:val="20"/>
          <w:szCs w:val="20"/>
          <w:lang w:val="en-US" w:eastAsia="zh-CN"/>
        </w:rPr>
        <w:sectPr>
          <w:pgSz w:w="11906" w:h="16838"/>
          <w:pgMar w:top="1440" w:right="1800" w:bottom="1440" w:left="1800" w:header="851" w:footer="992" w:gutter="0"/>
          <w:cols w:space="425" w:num="1"/>
          <w:docGrid w:type="lines" w:linePitch="312" w:charSpace="0"/>
        </w:sectPr>
      </w:pPr>
    </w:p>
    <w:tbl>
      <w:tblPr>
        <w:tblStyle w:val="8"/>
        <w:tblW w:w="105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35"/>
        <w:gridCol w:w="2268"/>
        <w:gridCol w:w="1417"/>
        <w:gridCol w:w="21"/>
        <w:gridCol w:w="291"/>
        <w:gridCol w:w="21"/>
        <w:gridCol w:w="2247"/>
        <w:gridCol w:w="1417"/>
      </w:tblGrid>
      <w:tr w14:paraId="6E550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7" w:type="dxa"/>
            <w:gridSpan w:val="8"/>
            <w:tcBorders>
              <w:top w:val="single" w:color="auto" w:sz="4" w:space="0"/>
              <w:left w:val="single" w:color="auto" w:sz="4" w:space="0"/>
              <w:bottom w:val="single" w:color="auto" w:sz="12" w:space="0"/>
              <w:right w:val="single" w:color="auto" w:sz="4" w:space="0"/>
              <w:tl2br w:val="nil"/>
            </w:tcBorders>
            <w:shd w:val="clear" w:color="auto" w:fill="FFFCEF"/>
            <w:vAlign w:val="center"/>
          </w:tcPr>
          <w:p w14:paraId="1B6AB157">
            <w:pPr>
              <w:widowControl w:val="0"/>
              <w:spacing w:line="240" w:lineRule="auto"/>
              <w:rPr>
                <w:rFonts w:hint="default" w:ascii="Times New Roman" w:hAnsi="Times New Roman" w:cs="Times New Roman"/>
                <w:color w:val="000000"/>
                <w:sz w:val="22"/>
                <w:szCs w:val="28"/>
              </w:rPr>
            </w:pPr>
            <w:r>
              <w:rPr>
                <w:rFonts w:hint="default" w:ascii="Times New Roman" w:hAnsi="Times New Roman" w:cs="Times New Roman"/>
                <w:b/>
                <w:bCs/>
                <w:color w:val="C00000"/>
                <w:sz w:val="22"/>
                <w:szCs w:val="28"/>
              </w:rPr>
              <w:t xml:space="preserve">Table </w:t>
            </w:r>
            <w:r>
              <w:rPr>
                <w:rFonts w:hint="eastAsia" w:ascii="Times New Roman" w:hAnsi="Times New Roman" w:cs="Times New Roman"/>
                <w:b/>
                <w:bCs/>
                <w:color w:val="C00000"/>
                <w:sz w:val="22"/>
                <w:szCs w:val="28"/>
                <w:lang w:val="en-US" w:eastAsia="zh-CN"/>
              </w:rPr>
              <w:t>S</w:t>
            </w:r>
            <w:r>
              <w:rPr>
                <w:rFonts w:hint="default" w:ascii="Times New Roman" w:hAnsi="Times New Roman" w:cs="Times New Roman"/>
                <w:b/>
                <w:bCs/>
                <w:color w:val="C00000"/>
                <w:sz w:val="22"/>
                <w:szCs w:val="28"/>
              </w:rPr>
              <w:t>3.</w:t>
            </w:r>
            <w:r>
              <w:rPr>
                <w:rFonts w:hint="default" w:ascii="Times New Roman" w:hAnsi="Times New Roman" w:cs="Times New Roman"/>
                <w:b/>
                <w:bCs/>
                <w:color w:val="auto"/>
                <w:sz w:val="22"/>
                <w:szCs w:val="28"/>
              </w:rPr>
              <w:t xml:space="preserve"> Sensitivity </w:t>
            </w:r>
            <w:r>
              <w:rPr>
                <w:rFonts w:hint="eastAsia" w:ascii="Times New Roman" w:hAnsi="Times New Roman" w:cs="Times New Roman"/>
                <w:b/>
                <w:bCs/>
                <w:color w:val="auto"/>
                <w:sz w:val="22"/>
                <w:szCs w:val="28"/>
                <w:lang w:val="en-US" w:eastAsia="zh-CN"/>
              </w:rPr>
              <w:t>a</w:t>
            </w:r>
            <w:r>
              <w:rPr>
                <w:rFonts w:hint="default" w:ascii="Times New Roman" w:hAnsi="Times New Roman" w:cs="Times New Roman"/>
                <w:b/>
                <w:bCs/>
                <w:color w:val="auto"/>
                <w:sz w:val="22"/>
                <w:szCs w:val="28"/>
              </w:rPr>
              <w:t xml:space="preserve">nalysis: </w:t>
            </w:r>
            <w:r>
              <w:rPr>
                <w:rFonts w:hint="eastAsia" w:ascii="Times New Roman" w:hAnsi="Times New Roman" w:cs="Times New Roman"/>
                <w:b/>
                <w:bCs/>
                <w:color w:val="auto"/>
                <w:sz w:val="22"/>
                <w:szCs w:val="28"/>
                <w:lang w:val="en-US" w:eastAsia="zh-CN"/>
              </w:rPr>
              <w:t>c</w:t>
            </w:r>
            <w:r>
              <w:rPr>
                <w:rFonts w:hint="default" w:ascii="Times New Roman" w:hAnsi="Times New Roman" w:cs="Times New Roman"/>
                <w:b/>
                <w:bCs/>
                <w:color w:val="auto"/>
                <w:sz w:val="22"/>
                <w:szCs w:val="28"/>
              </w:rPr>
              <w:t xml:space="preserve">ox </w:t>
            </w:r>
            <w:r>
              <w:rPr>
                <w:rFonts w:hint="eastAsia" w:ascii="Times New Roman" w:hAnsi="Times New Roman" w:cs="Times New Roman"/>
                <w:b/>
                <w:bCs/>
                <w:color w:val="auto"/>
                <w:sz w:val="22"/>
                <w:szCs w:val="28"/>
                <w:lang w:val="en-US" w:eastAsia="zh-CN"/>
              </w:rPr>
              <w:t>r</w:t>
            </w:r>
            <w:r>
              <w:rPr>
                <w:rFonts w:hint="default" w:ascii="Times New Roman" w:hAnsi="Times New Roman" w:cs="Times New Roman"/>
                <w:b/>
                <w:bCs/>
                <w:color w:val="auto"/>
                <w:sz w:val="22"/>
                <w:szCs w:val="28"/>
              </w:rPr>
              <w:t xml:space="preserve">egression </w:t>
            </w:r>
            <w:r>
              <w:rPr>
                <w:rFonts w:hint="eastAsia" w:ascii="Times New Roman" w:hAnsi="Times New Roman" w:cs="Times New Roman"/>
                <w:b/>
                <w:bCs/>
                <w:color w:val="auto"/>
                <w:sz w:val="22"/>
                <w:szCs w:val="28"/>
                <w:lang w:val="en-US" w:eastAsia="zh-CN"/>
              </w:rPr>
              <w:t>m</w:t>
            </w:r>
            <w:r>
              <w:rPr>
                <w:rFonts w:hint="default" w:ascii="Times New Roman" w:hAnsi="Times New Roman" w:cs="Times New Roman"/>
                <w:b/>
                <w:bCs/>
                <w:color w:val="auto"/>
                <w:sz w:val="22"/>
                <w:szCs w:val="28"/>
              </w:rPr>
              <w:t xml:space="preserve">odel </w:t>
            </w:r>
            <w:r>
              <w:rPr>
                <w:rFonts w:hint="eastAsia" w:ascii="Times New Roman" w:hAnsi="Times New Roman" w:cs="Times New Roman"/>
                <w:b/>
                <w:bCs/>
                <w:color w:val="auto"/>
                <w:sz w:val="22"/>
                <w:szCs w:val="28"/>
                <w:lang w:val="en-US" w:eastAsia="zh-CN"/>
              </w:rPr>
              <w:t>r</w:t>
            </w:r>
            <w:r>
              <w:rPr>
                <w:rFonts w:hint="default" w:ascii="Times New Roman" w:hAnsi="Times New Roman" w:cs="Times New Roman"/>
                <w:b/>
                <w:bCs/>
                <w:color w:val="auto"/>
                <w:sz w:val="22"/>
                <w:szCs w:val="28"/>
              </w:rPr>
              <w:t xml:space="preserve">esults </w:t>
            </w:r>
            <w:r>
              <w:rPr>
                <w:rFonts w:hint="eastAsia" w:ascii="Times New Roman" w:hAnsi="Times New Roman" w:cs="Times New Roman"/>
                <w:b/>
                <w:bCs/>
                <w:color w:val="auto"/>
                <w:sz w:val="22"/>
                <w:szCs w:val="28"/>
                <w:lang w:val="en-US" w:eastAsia="zh-CN"/>
              </w:rPr>
              <w:t>u</w:t>
            </w:r>
            <w:r>
              <w:rPr>
                <w:rFonts w:hint="default" w:ascii="Times New Roman" w:hAnsi="Times New Roman" w:cs="Times New Roman"/>
                <w:b/>
                <w:bCs/>
                <w:color w:val="auto"/>
                <w:sz w:val="22"/>
                <w:szCs w:val="28"/>
              </w:rPr>
              <w:t xml:space="preserve">sing </w:t>
            </w:r>
            <w:r>
              <w:rPr>
                <w:rFonts w:hint="eastAsia" w:ascii="Times New Roman" w:hAnsi="Times New Roman" w:cs="Times New Roman"/>
                <w:b/>
                <w:bCs/>
                <w:color w:val="auto"/>
                <w:sz w:val="22"/>
                <w:szCs w:val="28"/>
                <w:lang w:val="en-US" w:eastAsia="zh-CN"/>
              </w:rPr>
              <w:t>o</w:t>
            </w:r>
            <w:r>
              <w:rPr>
                <w:rFonts w:hint="default" w:ascii="Times New Roman" w:hAnsi="Times New Roman" w:cs="Times New Roman"/>
                <w:b/>
                <w:bCs/>
                <w:color w:val="auto"/>
                <w:sz w:val="22"/>
                <w:szCs w:val="28"/>
              </w:rPr>
              <w:t xml:space="preserve">nly </w:t>
            </w:r>
            <w:r>
              <w:rPr>
                <w:rFonts w:hint="eastAsia" w:ascii="Times New Roman" w:hAnsi="Times New Roman" w:cs="Times New Roman"/>
                <w:b/>
                <w:bCs/>
                <w:color w:val="auto"/>
                <w:sz w:val="22"/>
                <w:szCs w:val="28"/>
                <w:lang w:val="en-US" w:eastAsia="zh-CN"/>
              </w:rPr>
              <w:t>r</w:t>
            </w:r>
            <w:r>
              <w:rPr>
                <w:rFonts w:hint="default" w:ascii="Times New Roman" w:hAnsi="Times New Roman" w:cs="Times New Roman"/>
                <w:b/>
                <w:bCs/>
                <w:color w:val="auto"/>
                <w:sz w:val="22"/>
                <w:szCs w:val="28"/>
              </w:rPr>
              <w:t xml:space="preserve">apid eGFR </w:t>
            </w:r>
            <w:r>
              <w:rPr>
                <w:rFonts w:hint="eastAsia" w:ascii="Times New Roman" w:hAnsi="Times New Roman" w:cs="Times New Roman"/>
                <w:b/>
                <w:bCs/>
                <w:color w:val="auto"/>
                <w:sz w:val="22"/>
                <w:szCs w:val="28"/>
                <w:lang w:val="en-US" w:eastAsia="zh-CN"/>
              </w:rPr>
              <w:t>d</w:t>
            </w:r>
            <w:r>
              <w:rPr>
                <w:rFonts w:hint="default" w:ascii="Times New Roman" w:hAnsi="Times New Roman" w:cs="Times New Roman"/>
                <w:b/>
                <w:bCs/>
                <w:color w:val="auto"/>
                <w:sz w:val="22"/>
                <w:szCs w:val="28"/>
              </w:rPr>
              <w:t xml:space="preserve">ecline as the </w:t>
            </w:r>
            <w:r>
              <w:rPr>
                <w:rFonts w:hint="eastAsia" w:ascii="Times New Roman" w:hAnsi="Times New Roman" w:cs="Times New Roman"/>
                <w:b/>
                <w:bCs/>
                <w:color w:val="auto"/>
                <w:sz w:val="22"/>
                <w:szCs w:val="28"/>
                <w:lang w:val="en-US" w:eastAsia="zh-CN"/>
              </w:rPr>
              <w:t>e</w:t>
            </w:r>
            <w:r>
              <w:rPr>
                <w:rFonts w:hint="default" w:ascii="Times New Roman" w:hAnsi="Times New Roman" w:cs="Times New Roman"/>
                <w:b/>
                <w:bCs/>
                <w:color w:val="auto"/>
                <w:sz w:val="22"/>
                <w:szCs w:val="28"/>
              </w:rPr>
              <w:t>ndpoint​</w:t>
            </w:r>
          </w:p>
        </w:tc>
      </w:tr>
      <w:tr w14:paraId="3E02E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835" w:type="dxa"/>
            <w:vMerge w:val="restart"/>
            <w:tcBorders>
              <w:top w:val="single" w:color="auto" w:sz="12" w:space="0"/>
              <w:left w:val="single" w:color="auto" w:sz="4" w:space="0"/>
              <w:right w:val="nil"/>
              <w:tl2br w:val="nil"/>
            </w:tcBorders>
            <w:shd w:val="clear" w:color="auto" w:fill="FFFFFF"/>
            <w:vAlign w:val="center"/>
          </w:tcPr>
          <w:p w14:paraId="55D673A2">
            <w:pPr>
              <w:widowControl w:val="0"/>
              <w:spacing w:line="240" w:lineRule="auto"/>
              <w:ind w:firstLine="201" w:firstLineChars="100"/>
              <w:jc w:val="left"/>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Variable</w:t>
            </w:r>
          </w:p>
        </w:tc>
        <w:tc>
          <w:tcPr>
            <w:tcW w:w="3685" w:type="dxa"/>
            <w:gridSpan w:val="2"/>
            <w:tcBorders>
              <w:top w:val="single" w:color="auto" w:sz="12" w:space="0"/>
              <w:left w:val="nil"/>
              <w:bottom w:val="single" w:color="auto" w:sz="12" w:space="0"/>
              <w:right w:val="nil"/>
            </w:tcBorders>
            <w:shd w:val="clear" w:color="auto" w:fill="FFFFFF"/>
            <w:vAlign w:val="center"/>
          </w:tcPr>
          <w:p w14:paraId="30053A9B">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Original Model (Composite Endpoint)</w:t>
            </w:r>
          </w:p>
        </w:tc>
        <w:tc>
          <w:tcPr>
            <w:tcW w:w="312" w:type="dxa"/>
            <w:gridSpan w:val="2"/>
            <w:tcBorders>
              <w:top w:val="single" w:color="auto" w:sz="12" w:space="0"/>
              <w:left w:val="nil"/>
              <w:bottom w:val="nil"/>
              <w:right w:val="nil"/>
            </w:tcBorders>
            <w:shd w:val="clear" w:color="auto" w:fill="FFFFFF"/>
            <w:vAlign w:val="center"/>
          </w:tcPr>
          <w:p w14:paraId="7BB70367">
            <w:pPr>
              <w:widowControl w:val="0"/>
              <w:spacing w:line="240" w:lineRule="auto"/>
              <w:jc w:val="center"/>
              <w:rPr>
                <w:rFonts w:hint="default" w:ascii="Times New Roman" w:hAnsi="Times New Roman" w:cs="Times New Roman"/>
                <w:b/>
                <w:bCs/>
                <w:color w:val="000000"/>
                <w:sz w:val="20"/>
                <w:szCs w:val="20"/>
              </w:rPr>
            </w:pPr>
          </w:p>
        </w:tc>
        <w:tc>
          <w:tcPr>
            <w:tcW w:w="3685" w:type="dxa"/>
            <w:gridSpan w:val="3"/>
            <w:tcBorders>
              <w:top w:val="single" w:color="auto" w:sz="12" w:space="0"/>
              <w:left w:val="nil"/>
              <w:bottom w:val="single" w:color="auto" w:sz="12" w:space="0"/>
              <w:right w:val="single" w:color="auto" w:sz="4" w:space="0"/>
            </w:tcBorders>
            <w:shd w:val="clear" w:color="auto" w:fill="FFFFFF"/>
            <w:vAlign w:val="center"/>
          </w:tcPr>
          <w:p w14:paraId="0C9A2A80">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Sensitivity Model (Rapid eGFR Decline Only)</w:t>
            </w:r>
          </w:p>
        </w:tc>
      </w:tr>
      <w:tr w14:paraId="38645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835" w:type="dxa"/>
            <w:vMerge w:val="continue"/>
            <w:tcBorders>
              <w:left w:val="single" w:color="auto" w:sz="4" w:space="0"/>
              <w:bottom w:val="single" w:color="auto" w:sz="4" w:space="0"/>
              <w:right w:val="nil"/>
              <w:tl2br w:val="nil"/>
            </w:tcBorders>
            <w:shd w:val="clear" w:color="auto" w:fill="FFFFFF"/>
            <w:vAlign w:val="center"/>
          </w:tcPr>
          <w:p w14:paraId="4DCC0D7D">
            <w:pPr>
              <w:widowControl w:val="0"/>
              <w:spacing w:line="240" w:lineRule="auto"/>
              <w:jc w:val="center"/>
              <w:rPr>
                <w:rFonts w:hint="default" w:ascii="Times New Roman" w:hAnsi="Times New Roman" w:cs="Times New Roman"/>
                <w:color w:val="auto"/>
                <w:sz w:val="20"/>
                <w:szCs w:val="20"/>
              </w:rPr>
            </w:pPr>
          </w:p>
        </w:tc>
        <w:tc>
          <w:tcPr>
            <w:tcW w:w="2268" w:type="dxa"/>
            <w:tcBorders>
              <w:top w:val="single" w:color="auto" w:sz="12" w:space="0"/>
              <w:left w:val="nil"/>
              <w:bottom w:val="single" w:color="auto" w:sz="4" w:space="0"/>
              <w:right w:val="nil"/>
            </w:tcBorders>
            <w:shd w:val="clear" w:color="auto" w:fill="FFFFFF"/>
            <w:vAlign w:val="center"/>
          </w:tcPr>
          <w:p w14:paraId="715A13A0">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HR (95%CI)</w:t>
            </w:r>
          </w:p>
        </w:tc>
        <w:tc>
          <w:tcPr>
            <w:tcW w:w="1417" w:type="dxa"/>
            <w:tcBorders>
              <w:top w:val="single" w:color="auto" w:sz="12" w:space="0"/>
              <w:left w:val="nil"/>
              <w:bottom w:val="single" w:color="auto" w:sz="4" w:space="0"/>
              <w:right w:val="nil"/>
            </w:tcBorders>
            <w:shd w:val="clear" w:color="auto" w:fill="FFFFFF"/>
            <w:vAlign w:val="center"/>
          </w:tcPr>
          <w:p w14:paraId="0A911BD9">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i/>
                <w:iCs/>
                <w:color w:val="000000"/>
                <w:sz w:val="20"/>
                <w:szCs w:val="20"/>
              </w:rPr>
              <w:t>P</w:t>
            </w:r>
            <w:r>
              <w:rPr>
                <w:rFonts w:hint="default" w:ascii="Times New Roman" w:hAnsi="Times New Roman" w:cs="Times New Roman"/>
                <w:b/>
                <w:bCs/>
                <w:color w:val="000000"/>
                <w:sz w:val="20"/>
                <w:szCs w:val="20"/>
              </w:rPr>
              <w:t xml:space="preserve"> value</w:t>
            </w:r>
          </w:p>
        </w:tc>
        <w:tc>
          <w:tcPr>
            <w:tcW w:w="312" w:type="dxa"/>
            <w:gridSpan w:val="2"/>
            <w:tcBorders>
              <w:top w:val="nil"/>
              <w:left w:val="nil"/>
              <w:bottom w:val="single" w:color="auto" w:sz="4" w:space="0"/>
              <w:right w:val="nil"/>
            </w:tcBorders>
            <w:shd w:val="clear" w:color="auto" w:fill="FFFFFF"/>
            <w:vAlign w:val="center"/>
          </w:tcPr>
          <w:p w14:paraId="58420EE1">
            <w:pPr>
              <w:widowControl w:val="0"/>
              <w:spacing w:line="240" w:lineRule="auto"/>
              <w:jc w:val="center"/>
              <w:rPr>
                <w:rFonts w:hint="default" w:ascii="Times New Roman" w:hAnsi="Times New Roman" w:cs="Times New Roman"/>
                <w:b/>
                <w:bCs/>
                <w:color w:val="000000"/>
                <w:sz w:val="20"/>
                <w:szCs w:val="20"/>
              </w:rPr>
            </w:pPr>
          </w:p>
        </w:tc>
        <w:tc>
          <w:tcPr>
            <w:tcW w:w="2268" w:type="dxa"/>
            <w:gridSpan w:val="2"/>
            <w:tcBorders>
              <w:top w:val="single" w:color="auto" w:sz="12" w:space="0"/>
              <w:left w:val="nil"/>
              <w:bottom w:val="single" w:color="auto" w:sz="4" w:space="0"/>
              <w:right w:val="nil"/>
            </w:tcBorders>
            <w:shd w:val="clear" w:color="auto" w:fill="FFFFFF"/>
            <w:vAlign w:val="center"/>
          </w:tcPr>
          <w:p w14:paraId="6770D39D">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HR (95%CI)</w:t>
            </w:r>
          </w:p>
        </w:tc>
        <w:tc>
          <w:tcPr>
            <w:tcW w:w="1417" w:type="dxa"/>
            <w:tcBorders>
              <w:top w:val="single" w:color="auto" w:sz="12" w:space="0"/>
              <w:left w:val="nil"/>
              <w:bottom w:val="single" w:color="auto" w:sz="4" w:space="0"/>
              <w:right w:val="single" w:color="auto" w:sz="4" w:space="0"/>
            </w:tcBorders>
            <w:shd w:val="clear" w:color="auto" w:fill="FFFFFF"/>
            <w:vAlign w:val="center"/>
          </w:tcPr>
          <w:p w14:paraId="5159EB7E">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i/>
                <w:iCs/>
                <w:color w:val="000000"/>
                <w:sz w:val="20"/>
                <w:szCs w:val="20"/>
              </w:rPr>
              <w:t>P</w:t>
            </w:r>
            <w:r>
              <w:rPr>
                <w:rFonts w:hint="default" w:ascii="Times New Roman" w:hAnsi="Times New Roman" w:cs="Times New Roman"/>
                <w:b/>
                <w:bCs/>
                <w:color w:val="000000"/>
                <w:sz w:val="20"/>
                <w:szCs w:val="20"/>
              </w:rPr>
              <w:t xml:space="preserve"> value</w:t>
            </w:r>
          </w:p>
        </w:tc>
      </w:tr>
      <w:tr w14:paraId="05805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5" w:type="dxa"/>
            <w:tcBorders>
              <w:top w:val="nil"/>
              <w:left w:val="single" w:color="auto" w:sz="4" w:space="0"/>
              <w:bottom w:val="nil"/>
              <w:right w:val="nil"/>
            </w:tcBorders>
            <w:shd w:val="clear" w:color="auto" w:fill="FFFFFF"/>
            <w:vAlign w:val="center"/>
          </w:tcPr>
          <w:p w14:paraId="357EBD03">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Smoking history</w:t>
            </w:r>
          </w:p>
        </w:tc>
        <w:tc>
          <w:tcPr>
            <w:tcW w:w="2268" w:type="dxa"/>
            <w:tcBorders>
              <w:top w:val="nil"/>
              <w:left w:val="nil"/>
              <w:bottom w:val="nil"/>
              <w:right w:val="nil"/>
            </w:tcBorders>
            <w:shd w:val="clear" w:color="auto" w:fill="FFFFFF"/>
            <w:vAlign w:val="center"/>
          </w:tcPr>
          <w:p w14:paraId="28E3C698">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2.</w:t>
            </w:r>
            <w:r>
              <w:rPr>
                <w:rFonts w:hint="eastAsia" w:ascii="Times New Roman" w:hAnsi="Times New Roman" w:cs="Times New Roman"/>
                <w:color w:val="000000"/>
                <w:sz w:val="20"/>
                <w:szCs w:val="20"/>
                <w:lang w:val="en-US" w:eastAsia="zh-CN"/>
              </w:rPr>
              <w:t>62</w:t>
            </w:r>
            <w:r>
              <w:rPr>
                <w:rFonts w:hint="default" w:ascii="Times New Roman" w:hAnsi="Times New Roman" w:cs="Times New Roman"/>
                <w:color w:val="000000"/>
                <w:sz w:val="20"/>
                <w:szCs w:val="20"/>
              </w:rPr>
              <w:t xml:space="preserve"> (1.</w:t>
            </w:r>
            <w:r>
              <w:rPr>
                <w:rFonts w:hint="eastAsia" w:ascii="Times New Roman" w:hAnsi="Times New Roman" w:cs="Times New Roman"/>
                <w:color w:val="000000"/>
                <w:sz w:val="20"/>
                <w:szCs w:val="20"/>
                <w:lang w:val="en-US" w:eastAsia="zh-CN"/>
              </w:rPr>
              <w:t>29</w:t>
            </w:r>
            <w:r>
              <w:rPr>
                <w:rFonts w:hint="default" w:ascii="Times New Roman" w:hAnsi="Times New Roman" w:cs="Times New Roman"/>
                <w:color w:val="000000"/>
                <w:sz w:val="20"/>
                <w:szCs w:val="20"/>
              </w:rPr>
              <w:t>-</w:t>
            </w:r>
            <w:r>
              <w:rPr>
                <w:rFonts w:hint="eastAsia" w:ascii="Times New Roman" w:hAnsi="Times New Roman" w:cs="Times New Roman"/>
                <w:color w:val="000000"/>
                <w:sz w:val="20"/>
                <w:szCs w:val="20"/>
                <w:lang w:val="en-US" w:eastAsia="zh-CN"/>
              </w:rPr>
              <w:t>5.3</w:t>
            </w:r>
            <w:r>
              <w:rPr>
                <w:rFonts w:hint="default" w:ascii="Times New Roman" w:hAnsi="Times New Roman" w:cs="Times New Roman"/>
                <w:color w:val="000000"/>
                <w:sz w:val="20"/>
                <w:szCs w:val="20"/>
              </w:rPr>
              <w:t>)</w:t>
            </w:r>
          </w:p>
        </w:tc>
        <w:tc>
          <w:tcPr>
            <w:tcW w:w="1417" w:type="dxa"/>
            <w:tcBorders>
              <w:top w:val="nil"/>
              <w:left w:val="nil"/>
              <w:bottom w:val="nil"/>
              <w:right w:val="nil"/>
            </w:tcBorders>
            <w:shd w:val="clear" w:color="auto" w:fill="FFFFFF"/>
            <w:vAlign w:val="center"/>
          </w:tcPr>
          <w:p w14:paraId="00779405">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0.00</w:t>
            </w:r>
            <w:r>
              <w:rPr>
                <w:rFonts w:hint="eastAsia" w:ascii="Times New Roman" w:hAnsi="Times New Roman" w:cs="Times New Roman"/>
                <w:color w:val="000000"/>
                <w:sz w:val="20"/>
                <w:szCs w:val="20"/>
                <w:lang w:val="en-US" w:eastAsia="zh-CN"/>
              </w:rPr>
              <w:t>8</w:t>
            </w:r>
          </w:p>
        </w:tc>
        <w:tc>
          <w:tcPr>
            <w:tcW w:w="312" w:type="dxa"/>
            <w:gridSpan w:val="2"/>
            <w:tcBorders>
              <w:top w:val="nil"/>
              <w:left w:val="nil"/>
              <w:bottom w:val="nil"/>
              <w:right w:val="nil"/>
            </w:tcBorders>
            <w:shd w:val="clear" w:color="auto" w:fill="FFFFFF"/>
            <w:vAlign w:val="center"/>
          </w:tcPr>
          <w:p w14:paraId="37F0CF22">
            <w:pPr>
              <w:pStyle w:val="6"/>
              <w:widowControl/>
              <w:jc w:val="center"/>
              <w:rPr>
                <w:rFonts w:hint="default" w:ascii="Times New Roman" w:hAnsi="Times New Roman" w:cs="Times New Roman"/>
                <w:color w:val="000000"/>
                <w:kern w:val="2"/>
                <w:sz w:val="20"/>
                <w:szCs w:val="20"/>
              </w:rPr>
            </w:pPr>
          </w:p>
        </w:tc>
        <w:tc>
          <w:tcPr>
            <w:tcW w:w="2268" w:type="dxa"/>
            <w:gridSpan w:val="2"/>
            <w:tcBorders>
              <w:top w:val="nil"/>
              <w:left w:val="nil"/>
              <w:bottom w:val="nil"/>
              <w:right w:val="nil"/>
            </w:tcBorders>
            <w:shd w:val="clear" w:color="auto" w:fill="FFFFFF"/>
            <w:vAlign w:val="center"/>
          </w:tcPr>
          <w:p w14:paraId="3D931C99">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2.</w:t>
            </w:r>
            <w:r>
              <w:rPr>
                <w:rFonts w:hint="eastAsia" w:ascii="Times New Roman" w:hAnsi="Times New Roman" w:cs="Times New Roman"/>
                <w:color w:val="000000"/>
                <w:sz w:val="20"/>
                <w:szCs w:val="20"/>
                <w:lang w:val="en-US" w:eastAsia="zh-CN"/>
              </w:rPr>
              <w:t>63</w:t>
            </w:r>
            <w:r>
              <w:rPr>
                <w:rFonts w:hint="default" w:ascii="Times New Roman" w:hAnsi="Times New Roman" w:cs="Times New Roman"/>
                <w:color w:val="000000"/>
                <w:sz w:val="20"/>
                <w:szCs w:val="20"/>
              </w:rPr>
              <w:t xml:space="preserve"> (1.</w:t>
            </w:r>
            <w:r>
              <w:rPr>
                <w:rFonts w:hint="eastAsia" w:ascii="Times New Roman" w:hAnsi="Times New Roman" w:cs="Times New Roman"/>
                <w:color w:val="000000"/>
                <w:sz w:val="20"/>
                <w:szCs w:val="20"/>
                <w:lang w:val="en-US" w:eastAsia="zh-CN"/>
              </w:rPr>
              <w:t>26</w:t>
            </w:r>
            <w:r>
              <w:rPr>
                <w:rFonts w:hint="default" w:ascii="Times New Roman" w:hAnsi="Times New Roman" w:cs="Times New Roman"/>
                <w:color w:val="000000"/>
                <w:sz w:val="20"/>
                <w:szCs w:val="20"/>
              </w:rPr>
              <w:t>-</w:t>
            </w:r>
            <w:r>
              <w:rPr>
                <w:rFonts w:hint="eastAsia" w:ascii="Times New Roman" w:hAnsi="Times New Roman" w:cs="Times New Roman"/>
                <w:color w:val="000000"/>
                <w:sz w:val="20"/>
                <w:szCs w:val="20"/>
                <w:lang w:val="en-US" w:eastAsia="zh-CN"/>
              </w:rPr>
              <w:t>5.52</w:t>
            </w:r>
            <w:r>
              <w:rPr>
                <w:rFonts w:hint="default" w:ascii="Times New Roman" w:hAnsi="Times New Roman" w:cs="Times New Roman"/>
                <w:color w:val="000000"/>
                <w:sz w:val="20"/>
                <w:szCs w:val="20"/>
              </w:rPr>
              <w:t>)</w:t>
            </w:r>
          </w:p>
        </w:tc>
        <w:tc>
          <w:tcPr>
            <w:tcW w:w="1417" w:type="dxa"/>
            <w:tcBorders>
              <w:top w:val="nil"/>
              <w:left w:val="nil"/>
              <w:bottom w:val="nil"/>
              <w:right w:val="single" w:color="auto" w:sz="4" w:space="0"/>
            </w:tcBorders>
            <w:shd w:val="clear" w:color="auto" w:fill="FFFFFF"/>
            <w:vAlign w:val="center"/>
          </w:tcPr>
          <w:p w14:paraId="65C95BCB">
            <w:pPr>
              <w:widowControl w:val="0"/>
              <w:spacing w:line="240" w:lineRule="auto"/>
              <w:jc w:val="center"/>
              <w:rPr>
                <w:rFonts w:hint="eastAsia" w:ascii="Times New Roman" w:hAnsi="Times New Roman" w:cs="Times New Roman" w:eastAsiaTheme="minorEastAsia"/>
                <w:color w:val="000000"/>
                <w:kern w:val="2"/>
                <w:sz w:val="20"/>
                <w:szCs w:val="20"/>
                <w:lang w:val="en-US" w:eastAsia="zh-CN"/>
              </w:rPr>
            </w:pPr>
            <w:r>
              <w:rPr>
                <w:rFonts w:hint="eastAsia"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1</w:t>
            </w:r>
          </w:p>
        </w:tc>
      </w:tr>
      <w:tr w14:paraId="1301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5" w:type="dxa"/>
            <w:tcBorders>
              <w:top w:val="nil"/>
              <w:left w:val="single" w:color="auto" w:sz="4" w:space="0"/>
              <w:bottom w:val="nil"/>
              <w:right w:val="nil"/>
            </w:tcBorders>
            <w:shd w:val="clear" w:color="auto" w:fill="FFFFFF"/>
            <w:vAlign w:val="center"/>
          </w:tcPr>
          <w:p w14:paraId="1AAC95D4">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eGFR</w:t>
            </w:r>
          </w:p>
        </w:tc>
        <w:tc>
          <w:tcPr>
            <w:tcW w:w="2268" w:type="dxa"/>
            <w:tcBorders>
              <w:top w:val="nil"/>
              <w:left w:val="nil"/>
              <w:bottom w:val="nil"/>
              <w:right w:val="nil"/>
            </w:tcBorders>
            <w:shd w:val="clear" w:color="auto" w:fill="FFFFFF"/>
            <w:vAlign w:val="center"/>
          </w:tcPr>
          <w:p w14:paraId="11A8AC44">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-1.03)</w:t>
            </w:r>
          </w:p>
        </w:tc>
        <w:tc>
          <w:tcPr>
            <w:tcW w:w="1417" w:type="dxa"/>
            <w:tcBorders>
              <w:top w:val="nil"/>
              <w:left w:val="nil"/>
              <w:bottom w:val="nil"/>
              <w:right w:val="nil"/>
            </w:tcBorders>
            <w:shd w:val="clear" w:color="auto" w:fill="FFFFFF"/>
            <w:vAlign w:val="center"/>
          </w:tcPr>
          <w:p w14:paraId="25DC96AA">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rPr>
              <w:t>005</w:t>
            </w:r>
          </w:p>
        </w:tc>
        <w:tc>
          <w:tcPr>
            <w:tcW w:w="312" w:type="dxa"/>
            <w:gridSpan w:val="2"/>
            <w:tcBorders>
              <w:top w:val="nil"/>
              <w:left w:val="nil"/>
              <w:bottom w:val="nil"/>
              <w:right w:val="nil"/>
            </w:tcBorders>
            <w:shd w:val="clear" w:color="auto" w:fill="FFFFFF"/>
            <w:vAlign w:val="center"/>
          </w:tcPr>
          <w:p w14:paraId="7B1358FA">
            <w:pPr>
              <w:widowControl w:val="0"/>
              <w:spacing w:line="240" w:lineRule="auto"/>
              <w:jc w:val="center"/>
              <w:rPr>
                <w:rFonts w:hint="default" w:ascii="Times New Roman" w:hAnsi="Times New Roman" w:cs="Times New Roman"/>
                <w:color w:val="000000"/>
                <w:sz w:val="20"/>
                <w:szCs w:val="20"/>
              </w:rPr>
            </w:pPr>
          </w:p>
        </w:tc>
        <w:tc>
          <w:tcPr>
            <w:tcW w:w="2268" w:type="dxa"/>
            <w:gridSpan w:val="2"/>
            <w:tcBorders>
              <w:top w:val="nil"/>
              <w:left w:val="nil"/>
              <w:bottom w:val="nil"/>
              <w:right w:val="nil"/>
            </w:tcBorders>
            <w:shd w:val="clear" w:color="auto" w:fill="FFFFFF"/>
            <w:vAlign w:val="center"/>
          </w:tcPr>
          <w:p w14:paraId="2CB4F3A6">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3</w:t>
            </w:r>
            <w:r>
              <w:rPr>
                <w:rFonts w:hint="default" w:ascii="Times New Roman" w:hAnsi="Times New Roman" w:cs="Times New Roman"/>
                <w:color w:val="000000"/>
                <w:sz w:val="20"/>
                <w:szCs w:val="20"/>
              </w:rPr>
              <w:t xml:space="preserve"> (1.0</w:t>
            </w:r>
            <w:r>
              <w:rPr>
                <w:rFonts w:hint="eastAsia" w:ascii="Times New Roman" w:hAnsi="Times New Roman" w:cs="Times New Roman"/>
                <w:color w:val="000000"/>
                <w:sz w:val="20"/>
                <w:szCs w:val="20"/>
                <w:lang w:val="en-US" w:eastAsia="zh-CN"/>
              </w:rPr>
              <w:t>2</w:t>
            </w: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5</w:t>
            </w:r>
            <w:r>
              <w:rPr>
                <w:rFonts w:hint="default" w:ascii="Times New Roman" w:hAnsi="Times New Roman" w:cs="Times New Roman"/>
                <w:color w:val="000000"/>
                <w:sz w:val="20"/>
                <w:szCs w:val="20"/>
              </w:rPr>
              <w:t>)</w:t>
            </w:r>
          </w:p>
        </w:tc>
        <w:tc>
          <w:tcPr>
            <w:tcW w:w="1417" w:type="dxa"/>
            <w:tcBorders>
              <w:top w:val="nil"/>
              <w:left w:val="nil"/>
              <w:bottom w:val="nil"/>
              <w:right w:val="single" w:color="auto" w:sz="4" w:space="0"/>
            </w:tcBorders>
            <w:shd w:val="clear" w:color="auto" w:fill="FFFFFF"/>
            <w:vAlign w:val="center"/>
          </w:tcPr>
          <w:p w14:paraId="1BAAB213">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&lt;0.001</w:t>
            </w:r>
          </w:p>
        </w:tc>
      </w:tr>
      <w:tr w14:paraId="3F181B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5" w:type="dxa"/>
            <w:tcBorders>
              <w:top w:val="nil"/>
              <w:left w:val="single" w:color="auto" w:sz="4" w:space="0"/>
              <w:bottom w:val="nil"/>
              <w:right w:val="nil"/>
            </w:tcBorders>
            <w:shd w:val="clear" w:color="auto" w:fill="FFFFFF"/>
            <w:vAlign w:val="center"/>
          </w:tcPr>
          <w:p w14:paraId="003CB95A">
            <w:pPr>
              <w:widowControl w:val="0"/>
              <w:spacing w:line="240" w:lineRule="auto"/>
              <w:ind w:firstLine="200" w:firstLineChars="100"/>
              <w:jc w:val="left"/>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CCBs</w:t>
            </w:r>
          </w:p>
        </w:tc>
        <w:tc>
          <w:tcPr>
            <w:tcW w:w="2268" w:type="dxa"/>
            <w:tcBorders>
              <w:top w:val="nil"/>
              <w:left w:val="nil"/>
              <w:bottom w:val="nil"/>
              <w:right w:val="nil"/>
            </w:tcBorders>
            <w:shd w:val="clear" w:color="auto" w:fill="FFFFFF"/>
            <w:vAlign w:val="center"/>
          </w:tcPr>
          <w:p w14:paraId="1C907BFE">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2.0</w:t>
            </w:r>
            <w:r>
              <w:rPr>
                <w:rFonts w:hint="eastAsia" w:ascii="Times New Roman" w:hAnsi="Times New Roman" w:cs="Times New Roman"/>
                <w:color w:val="000000"/>
                <w:sz w:val="20"/>
                <w:szCs w:val="20"/>
                <w:lang w:val="en-US" w:eastAsia="zh-CN"/>
              </w:rPr>
              <w:t>3</w:t>
            </w:r>
            <w:r>
              <w:rPr>
                <w:rFonts w:hint="eastAsia" w:ascii="Times New Roman" w:hAnsi="Times New Roman" w:cs="Times New Roman"/>
                <w:color w:val="000000"/>
                <w:sz w:val="20"/>
                <w:szCs w:val="20"/>
              </w:rPr>
              <w:t xml:space="preserve"> (1.0</w:t>
            </w:r>
            <w:r>
              <w:rPr>
                <w:rFonts w:hint="eastAsia" w:ascii="Times New Roman" w:hAnsi="Times New Roman" w:cs="Times New Roman"/>
                <w:color w:val="000000"/>
                <w:sz w:val="20"/>
                <w:szCs w:val="20"/>
                <w:lang w:val="en-US" w:eastAsia="zh-CN"/>
              </w:rPr>
              <w:t>1</w:t>
            </w:r>
            <w:r>
              <w:rPr>
                <w:rFonts w:hint="eastAsia" w:ascii="Times New Roman" w:hAnsi="Times New Roman" w:cs="Times New Roman"/>
                <w:color w:val="000000"/>
                <w:sz w:val="20"/>
                <w:szCs w:val="20"/>
              </w:rPr>
              <w:t>-4.1)</w:t>
            </w:r>
          </w:p>
        </w:tc>
        <w:tc>
          <w:tcPr>
            <w:tcW w:w="1417" w:type="dxa"/>
            <w:tcBorders>
              <w:top w:val="nil"/>
              <w:left w:val="nil"/>
              <w:bottom w:val="nil"/>
              <w:right w:val="nil"/>
            </w:tcBorders>
            <w:shd w:val="clear" w:color="auto" w:fill="FFFFFF"/>
            <w:vAlign w:val="center"/>
          </w:tcPr>
          <w:p w14:paraId="69EB9B57">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49</w:t>
            </w:r>
          </w:p>
        </w:tc>
        <w:tc>
          <w:tcPr>
            <w:tcW w:w="312" w:type="dxa"/>
            <w:gridSpan w:val="2"/>
            <w:tcBorders>
              <w:top w:val="nil"/>
              <w:left w:val="nil"/>
              <w:bottom w:val="nil"/>
              <w:right w:val="nil"/>
            </w:tcBorders>
            <w:shd w:val="clear" w:color="auto" w:fill="FFFFFF"/>
            <w:vAlign w:val="center"/>
          </w:tcPr>
          <w:p w14:paraId="481FBFD3">
            <w:pPr>
              <w:widowControl w:val="0"/>
              <w:spacing w:line="240" w:lineRule="auto"/>
              <w:jc w:val="center"/>
              <w:rPr>
                <w:rFonts w:hint="default" w:ascii="Times New Roman" w:hAnsi="Times New Roman" w:cs="Times New Roman"/>
                <w:color w:val="000000"/>
                <w:sz w:val="20"/>
                <w:szCs w:val="20"/>
              </w:rPr>
            </w:pPr>
          </w:p>
        </w:tc>
        <w:tc>
          <w:tcPr>
            <w:tcW w:w="2268" w:type="dxa"/>
            <w:gridSpan w:val="2"/>
            <w:tcBorders>
              <w:top w:val="nil"/>
              <w:left w:val="nil"/>
              <w:bottom w:val="nil"/>
              <w:right w:val="nil"/>
            </w:tcBorders>
            <w:shd w:val="clear" w:color="auto" w:fill="FFFFFF"/>
            <w:vAlign w:val="center"/>
          </w:tcPr>
          <w:p w14:paraId="4DFB1D20">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2.</w:t>
            </w:r>
            <w:r>
              <w:rPr>
                <w:rFonts w:hint="eastAsia" w:ascii="Times New Roman" w:hAnsi="Times New Roman" w:cs="Times New Roman"/>
                <w:color w:val="000000"/>
                <w:sz w:val="20"/>
                <w:szCs w:val="20"/>
                <w:lang w:val="en-US" w:eastAsia="zh-CN"/>
              </w:rPr>
              <w:t>28</w:t>
            </w:r>
            <w:r>
              <w:rPr>
                <w:rFonts w:hint="eastAsia" w:ascii="Times New Roman" w:hAnsi="Times New Roman" w:cs="Times New Roman"/>
                <w:color w:val="000000"/>
                <w:sz w:val="20"/>
                <w:szCs w:val="20"/>
              </w:rPr>
              <w:t xml:space="preserve"> (1.0</w:t>
            </w:r>
            <w:r>
              <w:rPr>
                <w:rFonts w:hint="eastAsia" w:ascii="Times New Roman" w:hAnsi="Times New Roman" w:cs="Times New Roman"/>
                <w:color w:val="000000"/>
                <w:sz w:val="20"/>
                <w:szCs w:val="20"/>
                <w:lang w:val="en-US" w:eastAsia="zh-CN"/>
              </w:rPr>
              <w:t>7</w:t>
            </w:r>
            <w:r>
              <w:rPr>
                <w:rFonts w:hint="eastAsia" w:ascii="Times New Roman" w:hAnsi="Times New Roman" w:cs="Times New Roman"/>
                <w:color w:val="000000"/>
                <w:sz w:val="20"/>
                <w:szCs w:val="20"/>
              </w:rPr>
              <w:t>-4.</w:t>
            </w:r>
            <w:r>
              <w:rPr>
                <w:rFonts w:hint="eastAsia" w:ascii="Times New Roman" w:hAnsi="Times New Roman" w:cs="Times New Roman"/>
                <w:color w:val="000000"/>
                <w:sz w:val="20"/>
                <w:szCs w:val="20"/>
                <w:lang w:val="en-US" w:eastAsia="zh-CN"/>
              </w:rPr>
              <w:t>84</w:t>
            </w:r>
            <w:r>
              <w:rPr>
                <w:rFonts w:hint="eastAsia" w:ascii="Times New Roman" w:hAnsi="Times New Roman" w:cs="Times New Roman"/>
                <w:color w:val="000000"/>
                <w:sz w:val="20"/>
                <w:szCs w:val="20"/>
              </w:rPr>
              <w:t>)</w:t>
            </w:r>
          </w:p>
        </w:tc>
        <w:tc>
          <w:tcPr>
            <w:tcW w:w="1417" w:type="dxa"/>
            <w:tcBorders>
              <w:top w:val="nil"/>
              <w:left w:val="nil"/>
              <w:bottom w:val="nil"/>
              <w:right w:val="single" w:color="auto" w:sz="4" w:space="0"/>
            </w:tcBorders>
            <w:shd w:val="clear" w:color="auto" w:fill="FFFFFF"/>
            <w:vAlign w:val="center"/>
          </w:tcPr>
          <w:p w14:paraId="784B863F">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3</w:t>
            </w:r>
          </w:p>
        </w:tc>
      </w:tr>
      <w:tr w14:paraId="2321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5" w:type="dxa"/>
            <w:tcBorders>
              <w:top w:val="nil"/>
              <w:left w:val="single" w:color="auto" w:sz="4" w:space="0"/>
              <w:bottom w:val="nil"/>
              <w:right w:val="nil"/>
            </w:tcBorders>
            <w:shd w:val="clear" w:color="auto" w:fill="FFFFFF"/>
            <w:vAlign w:val="center"/>
          </w:tcPr>
          <w:p w14:paraId="283B7E38">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 xml:space="preserve">Single-nephron eGFR​​ </w:t>
            </w:r>
          </w:p>
        </w:tc>
        <w:tc>
          <w:tcPr>
            <w:tcW w:w="2268" w:type="dxa"/>
            <w:tcBorders>
              <w:top w:val="nil"/>
              <w:left w:val="nil"/>
              <w:bottom w:val="nil"/>
              <w:right w:val="nil"/>
            </w:tcBorders>
            <w:shd w:val="clear" w:color="auto" w:fill="FFFFFF"/>
            <w:vAlign w:val="center"/>
          </w:tcPr>
          <w:p w14:paraId="6D0F7A6F">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-1.03)</w:t>
            </w:r>
          </w:p>
        </w:tc>
        <w:tc>
          <w:tcPr>
            <w:tcW w:w="1417" w:type="dxa"/>
            <w:tcBorders>
              <w:top w:val="nil"/>
              <w:left w:val="nil"/>
              <w:bottom w:val="nil"/>
              <w:right w:val="nil"/>
            </w:tcBorders>
            <w:shd w:val="clear" w:color="auto" w:fill="FFFFFF"/>
            <w:vAlign w:val="center"/>
          </w:tcPr>
          <w:p w14:paraId="590F3E25">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1</w:t>
            </w:r>
          </w:p>
        </w:tc>
        <w:tc>
          <w:tcPr>
            <w:tcW w:w="312" w:type="dxa"/>
            <w:gridSpan w:val="2"/>
            <w:tcBorders>
              <w:top w:val="nil"/>
              <w:left w:val="nil"/>
              <w:bottom w:val="nil"/>
              <w:right w:val="nil"/>
            </w:tcBorders>
            <w:shd w:val="clear" w:color="auto" w:fill="FFFFFF"/>
            <w:vAlign w:val="center"/>
          </w:tcPr>
          <w:p w14:paraId="63F34BFA">
            <w:pPr>
              <w:widowControl w:val="0"/>
              <w:spacing w:line="240" w:lineRule="auto"/>
              <w:jc w:val="center"/>
              <w:rPr>
                <w:rFonts w:hint="default" w:ascii="Times New Roman" w:hAnsi="Times New Roman" w:cs="Times New Roman"/>
                <w:color w:val="000000"/>
                <w:sz w:val="20"/>
                <w:szCs w:val="20"/>
              </w:rPr>
            </w:pPr>
          </w:p>
        </w:tc>
        <w:tc>
          <w:tcPr>
            <w:tcW w:w="2268" w:type="dxa"/>
            <w:gridSpan w:val="2"/>
            <w:tcBorders>
              <w:top w:val="nil"/>
              <w:left w:val="nil"/>
              <w:bottom w:val="nil"/>
              <w:right w:val="nil"/>
            </w:tcBorders>
            <w:shd w:val="clear" w:color="auto" w:fill="FFFFFF"/>
            <w:vAlign w:val="center"/>
          </w:tcPr>
          <w:p w14:paraId="09D08D35">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-1.03)</w:t>
            </w:r>
          </w:p>
        </w:tc>
        <w:tc>
          <w:tcPr>
            <w:tcW w:w="1417" w:type="dxa"/>
            <w:tcBorders>
              <w:top w:val="nil"/>
              <w:left w:val="nil"/>
              <w:bottom w:val="nil"/>
              <w:right w:val="single" w:color="auto" w:sz="4" w:space="0"/>
            </w:tcBorders>
            <w:shd w:val="clear" w:color="auto" w:fill="FFFFFF"/>
            <w:vAlign w:val="center"/>
          </w:tcPr>
          <w:p w14:paraId="170950CA">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1</w:t>
            </w:r>
          </w:p>
        </w:tc>
      </w:tr>
      <w:tr w14:paraId="6B55D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517" w:type="dxa"/>
            <w:gridSpan w:val="8"/>
            <w:tcBorders>
              <w:top w:val="nil"/>
              <w:left w:val="single" w:color="auto" w:sz="4" w:space="0"/>
              <w:bottom w:val="nil"/>
              <w:right w:val="single" w:color="auto" w:sz="4" w:space="0"/>
            </w:tcBorders>
            <w:shd w:val="clear" w:color="auto" w:fill="FFFFFF"/>
            <w:vAlign w:val="center"/>
          </w:tcPr>
          <w:p w14:paraId="20A6F91F">
            <w:pPr>
              <w:widowControl w:val="0"/>
              <w:spacing w:line="240" w:lineRule="auto"/>
              <w:ind w:firstLine="200" w:firstLineChars="100"/>
              <w:jc w:val="both"/>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Model Performance​</w:t>
            </w:r>
          </w:p>
        </w:tc>
      </w:tr>
      <w:tr w14:paraId="500AE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5" w:type="dxa"/>
            <w:tcBorders>
              <w:top w:val="nil"/>
              <w:left w:val="single" w:color="auto" w:sz="4" w:space="0"/>
              <w:bottom w:val="nil"/>
              <w:right w:val="nil"/>
            </w:tcBorders>
            <w:shd w:val="clear" w:color="auto" w:fill="FFFFFF"/>
            <w:vAlign w:val="center"/>
          </w:tcPr>
          <w:p w14:paraId="0E1029B7">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C-index (Training cohort)</w:t>
            </w:r>
          </w:p>
        </w:tc>
        <w:tc>
          <w:tcPr>
            <w:tcW w:w="3706" w:type="dxa"/>
            <w:gridSpan w:val="3"/>
            <w:tcBorders>
              <w:top w:val="nil"/>
              <w:left w:val="nil"/>
              <w:bottom w:val="nil"/>
              <w:right w:val="nil"/>
            </w:tcBorders>
            <w:shd w:val="clear" w:color="auto" w:fill="FFFFFF"/>
            <w:vAlign w:val="center"/>
          </w:tcPr>
          <w:p w14:paraId="70F059A2">
            <w:pPr>
              <w:widowControl/>
              <w:spacing w:line="240" w:lineRule="auto"/>
              <w:jc w:val="center"/>
              <w:textAlignment w:val="bottom"/>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0.76</w:t>
            </w:r>
          </w:p>
        </w:tc>
        <w:tc>
          <w:tcPr>
            <w:tcW w:w="312" w:type="dxa"/>
            <w:gridSpan w:val="2"/>
            <w:tcBorders>
              <w:top w:val="nil"/>
              <w:left w:val="nil"/>
              <w:bottom w:val="nil"/>
              <w:right w:val="nil"/>
            </w:tcBorders>
            <w:shd w:val="clear" w:color="auto" w:fill="FFFFFF"/>
            <w:vAlign w:val="center"/>
          </w:tcPr>
          <w:p w14:paraId="44892216">
            <w:pPr>
              <w:widowControl w:val="0"/>
              <w:spacing w:line="240" w:lineRule="auto"/>
              <w:jc w:val="center"/>
              <w:rPr>
                <w:rFonts w:hint="default" w:ascii="Times New Roman" w:hAnsi="Times New Roman" w:cs="Times New Roman"/>
                <w:color w:val="000000"/>
                <w:sz w:val="20"/>
                <w:szCs w:val="20"/>
              </w:rPr>
            </w:pPr>
          </w:p>
        </w:tc>
        <w:tc>
          <w:tcPr>
            <w:tcW w:w="3664" w:type="dxa"/>
            <w:gridSpan w:val="2"/>
            <w:tcBorders>
              <w:top w:val="nil"/>
              <w:left w:val="nil"/>
              <w:bottom w:val="nil"/>
              <w:right w:val="single" w:color="auto" w:sz="4" w:space="0"/>
            </w:tcBorders>
            <w:shd w:val="clear" w:color="auto" w:fill="FFFFFF"/>
            <w:vAlign w:val="center"/>
          </w:tcPr>
          <w:p w14:paraId="7B6990C7">
            <w:pPr>
              <w:widowControl/>
              <w:spacing w:line="240" w:lineRule="auto"/>
              <w:jc w:val="center"/>
              <w:textAlignment w:val="bottom"/>
              <w:rPr>
                <w:rFonts w:hint="default" w:ascii="Times New Roman" w:hAnsi="Times New Roman" w:cs="Times New Roman"/>
                <w:color w:val="000000"/>
                <w:sz w:val="20"/>
                <w:szCs w:val="20"/>
                <w:lang w:val="en-US"/>
              </w:rPr>
            </w:pPr>
            <w:r>
              <w:rPr>
                <w:rFonts w:hint="eastAsia" w:ascii="Times New Roman" w:hAnsi="Times New Roman" w:cs="Times New Roman"/>
                <w:color w:val="000000"/>
                <w:sz w:val="20"/>
                <w:szCs w:val="20"/>
                <w:lang w:val="en-US" w:eastAsia="zh-CN"/>
              </w:rPr>
              <w:t>0.80</w:t>
            </w:r>
          </w:p>
        </w:tc>
      </w:tr>
      <w:tr w14:paraId="55834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35" w:type="dxa"/>
            <w:tcBorders>
              <w:top w:val="nil"/>
              <w:left w:val="single" w:color="auto" w:sz="4" w:space="0"/>
              <w:bottom w:val="single" w:color="auto" w:sz="4" w:space="0"/>
              <w:right w:val="nil"/>
            </w:tcBorders>
            <w:shd w:val="clear" w:color="auto" w:fill="FFFFFF"/>
            <w:vAlign w:val="center"/>
          </w:tcPr>
          <w:p w14:paraId="14814CD8">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C-index (Validation cohort)</w:t>
            </w:r>
          </w:p>
        </w:tc>
        <w:tc>
          <w:tcPr>
            <w:tcW w:w="3706" w:type="dxa"/>
            <w:gridSpan w:val="3"/>
            <w:tcBorders>
              <w:top w:val="nil"/>
              <w:left w:val="nil"/>
              <w:bottom w:val="single" w:color="auto" w:sz="4" w:space="0"/>
              <w:right w:val="nil"/>
            </w:tcBorders>
            <w:shd w:val="clear" w:color="auto" w:fill="FFFFFF"/>
            <w:vAlign w:val="center"/>
          </w:tcPr>
          <w:p w14:paraId="0DCAA0AF">
            <w:pPr>
              <w:widowControl/>
              <w:spacing w:line="240" w:lineRule="auto"/>
              <w:jc w:val="center"/>
              <w:textAlignment w:val="bottom"/>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0.75</w:t>
            </w:r>
          </w:p>
        </w:tc>
        <w:tc>
          <w:tcPr>
            <w:tcW w:w="312" w:type="dxa"/>
            <w:gridSpan w:val="2"/>
            <w:tcBorders>
              <w:top w:val="nil"/>
              <w:left w:val="nil"/>
              <w:bottom w:val="single" w:color="auto" w:sz="4" w:space="0"/>
              <w:right w:val="nil"/>
            </w:tcBorders>
            <w:shd w:val="clear" w:color="auto" w:fill="FFFFFF"/>
            <w:vAlign w:val="center"/>
          </w:tcPr>
          <w:p w14:paraId="08B6DF20">
            <w:pPr>
              <w:widowControl w:val="0"/>
              <w:spacing w:line="240" w:lineRule="auto"/>
              <w:jc w:val="center"/>
              <w:rPr>
                <w:rFonts w:hint="default" w:ascii="Times New Roman" w:hAnsi="Times New Roman" w:cs="Times New Roman"/>
                <w:color w:val="000000"/>
                <w:sz w:val="20"/>
                <w:szCs w:val="20"/>
              </w:rPr>
            </w:pPr>
          </w:p>
        </w:tc>
        <w:tc>
          <w:tcPr>
            <w:tcW w:w="3664" w:type="dxa"/>
            <w:gridSpan w:val="2"/>
            <w:tcBorders>
              <w:top w:val="nil"/>
              <w:left w:val="nil"/>
              <w:bottom w:val="single" w:color="auto" w:sz="4" w:space="0"/>
              <w:right w:val="single" w:color="auto" w:sz="4" w:space="0"/>
            </w:tcBorders>
            <w:shd w:val="clear" w:color="auto" w:fill="FFFFFF"/>
            <w:vAlign w:val="center"/>
          </w:tcPr>
          <w:p w14:paraId="4CE48F26">
            <w:pPr>
              <w:widowControl/>
              <w:spacing w:line="240" w:lineRule="auto"/>
              <w:jc w:val="center"/>
              <w:textAlignment w:val="bottom"/>
              <w:rPr>
                <w:rFonts w:hint="default"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0.70</w:t>
            </w:r>
          </w:p>
        </w:tc>
      </w:tr>
    </w:tbl>
    <w:p w14:paraId="07036AE7">
      <w:pPr>
        <w:widowControl/>
        <w:spacing w:line="360" w:lineRule="exact"/>
        <w:outlineLvl w:val="0"/>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p>
    <w:tbl>
      <w:tblPr>
        <w:tblStyle w:val="8"/>
        <w:tblW w:w="11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21"/>
        <w:gridCol w:w="1928"/>
        <w:gridCol w:w="960"/>
        <w:gridCol w:w="1944"/>
        <w:gridCol w:w="972"/>
        <w:gridCol w:w="1942"/>
        <w:gridCol w:w="3"/>
        <w:gridCol w:w="969"/>
      </w:tblGrid>
      <w:tr w14:paraId="67D32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39" w:type="dxa"/>
            <w:gridSpan w:val="8"/>
            <w:tcBorders>
              <w:top w:val="single" w:color="auto" w:sz="4" w:space="0"/>
              <w:left w:val="single" w:color="auto" w:sz="4" w:space="0"/>
              <w:bottom w:val="single" w:color="auto" w:sz="12" w:space="0"/>
              <w:right w:val="single" w:color="auto" w:sz="4" w:space="0"/>
              <w:tl2br w:val="nil"/>
            </w:tcBorders>
            <w:shd w:val="clear" w:color="auto" w:fill="FFFCEF"/>
            <w:vAlign w:val="center"/>
          </w:tcPr>
          <w:p w14:paraId="66C7E56D">
            <w:pPr>
              <w:widowControl w:val="0"/>
              <w:spacing w:line="240" w:lineRule="auto"/>
              <w:rPr>
                <w:rFonts w:hint="default" w:ascii="Times New Roman" w:hAnsi="Times New Roman" w:cs="Times New Roman"/>
                <w:b/>
                <w:bCs/>
                <w:color w:val="C00000"/>
                <w:sz w:val="22"/>
                <w:szCs w:val="28"/>
              </w:rPr>
            </w:pPr>
            <w:r>
              <w:rPr>
                <w:rFonts w:hint="default" w:ascii="Times New Roman" w:hAnsi="Times New Roman" w:cs="Times New Roman"/>
                <w:b/>
                <w:bCs/>
                <w:color w:val="C00000"/>
                <w:sz w:val="22"/>
                <w:szCs w:val="28"/>
              </w:rPr>
              <w:t xml:space="preserve">Table </w:t>
            </w:r>
            <w:r>
              <w:rPr>
                <w:rFonts w:hint="eastAsia" w:ascii="Times New Roman" w:hAnsi="Times New Roman" w:cs="Times New Roman"/>
                <w:b/>
                <w:bCs/>
                <w:color w:val="C00000"/>
                <w:sz w:val="22"/>
                <w:szCs w:val="28"/>
                <w:lang w:val="en-US" w:eastAsia="zh-CN"/>
              </w:rPr>
              <w:t>S4</w:t>
            </w:r>
            <w:r>
              <w:rPr>
                <w:rFonts w:hint="default" w:ascii="Times New Roman" w:hAnsi="Times New Roman" w:cs="Times New Roman"/>
                <w:b/>
                <w:bCs/>
                <w:color w:val="C00000"/>
                <w:sz w:val="22"/>
                <w:szCs w:val="28"/>
              </w:rPr>
              <w:t>.</w:t>
            </w:r>
            <w:r>
              <w:rPr>
                <w:rFonts w:hint="default" w:ascii="Times New Roman" w:hAnsi="Times New Roman" w:cs="Times New Roman"/>
                <w:b/>
                <w:bCs/>
                <w:color w:val="auto"/>
                <w:sz w:val="22"/>
                <w:szCs w:val="28"/>
              </w:rPr>
              <w:t xml:space="preserve"> Multivariable </w:t>
            </w:r>
            <w:r>
              <w:rPr>
                <w:rFonts w:hint="eastAsia" w:ascii="Times New Roman" w:hAnsi="Times New Roman" w:cs="Times New Roman"/>
                <w:b/>
                <w:bCs/>
                <w:color w:val="auto"/>
                <w:sz w:val="22"/>
                <w:szCs w:val="28"/>
                <w:lang w:val="en-US" w:eastAsia="zh-CN"/>
              </w:rPr>
              <w:t>a</w:t>
            </w:r>
            <w:r>
              <w:rPr>
                <w:rFonts w:hint="default" w:ascii="Times New Roman" w:hAnsi="Times New Roman" w:cs="Times New Roman"/>
                <w:b/>
                <w:bCs/>
                <w:color w:val="auto"/>
                <w:sz w:val="22"/>
                <w:szCs w:val="28"/>
              </w:rPr>
              <w:t xml:space="preserve">djusted </w:t>
            </w:r>
            <w:r>
              <w:rPr>
                <w:rFonts w:hint="eastAsia" w:ascii="Times New Roman" w:hAnsi="Times New Roman" w:cs="Times New Roman"/>
                <w:b/>
                <w:bCs/>
                <w:color w:val="auto"/>
                <w:sz w:val="22"/>
                <w:szCs w:val="28"/>
                <w:lang w:val="en-US" w:eastAsia="zh-CN"/>
              </w:rPr>
              <w:t>h</w:t>
            </w:r>
            <w:r>
              <w:rPr>
                <w:rFonts w:hint="default" w:ascii="Times New Roman" w:hAnsi="Times New Roman" w:cs="Times New Roman"/>
                <w:b/>
                <w:bCs/>
                <w:color w:val="auto"/>
                <w:sz w:val="22"/>
                <w:szCs w:val="28"/>
              </w:rPr>
              <w:t xml:space="preserve">azard </w:t>
            </w:r>
            <w:r>
              <w:rPr>
                <w:rFonts w:hint="eastAsia" w:ascii="Times New Roman" w:hAnsi="Times New Roman" w:cs="Times New Roman"/>
                <w:b/>
                <w:bCs/>
                <w:color w:val="auto"/>
                <w:sz w:val="22"/>
                <w:szCs w:val="28"/>
                <w:lang w:val="en-US" w:eastAsia="zh-CN"/>
              </w:rPr>
              <w:t>r</w:t>
            </w:r>
            <w:r>
              <w:rPr>
                <w:rFonts w:hint="default" w:ascii="Times New Roman" w:hAnsi="Times New Roman" w:cs="Times New Roman"/>
                <w:b/>
                <w:bCs/>
                <w:color w:val="auto"/>
                <w:sz w:val="22"/>
                <w:szCs w:val="28"/>
              </w:rPr>
              <w:t xml:space="preserve">atios for the </w:t>
            </w:r>
            <w:r>
              <w:rPr>
                <w:rFonts w:hint="eastAsia" w:ascii="Times New Roman" w:hAnsi="Times New Roman" w:cs="Times New Roman"/>
                <w:b/>
                <w:bCs/>
                <w:color w:val="auto"/>
                <w:sz w:val="22"/>
                <w:szCs w:val="28"/>
                <w:lang w:val="en-US" w:eastAsia="zh-CN"/>
              </w:rPr>
              <w:t>a</w:t>
            </w:r>
            <w:r>
              <w:rPr>
                <w:rFonts w:hint="default" w:ascii="Times New Roman" w:hAnsi="Times New Roman" w:cs="Times New Roman"/>
                <w:b/>
                <w:bCs/>
                <w:color w:val="auto"/>
                <w:sz w:val="22"/>
                <w:szCs w:val="28"/>
              </w:rPr>
              <w:t xml:space="preserve">ssociation of </w:t>
            </w:r>
            <w:r>
              <w:rPr>
                <w:rFonts w:hint="eastAsia" w:ascii="Times New Roman" w:hAnsi="Times New Roman" w:cs="Times New Roman"/>
                <w:b/>
                <w:bCs/>
                <w:color w:val="auto"/>
                <w:sz w:val="22"/>
                <w:szCs w:val="28"/>
                <w:lang w:val="en-US" w:eastAsia="zh-CN"/>
              </w:rPr>
              <w:t>s</w:t>
            </w:r>
            <w:r>
              <w:rPr>
                <w:rFonts w:hint="default" w:ascii="Times New Roman" w:hAnsi="Times New Roman" w:cs="Times New Roman"/>
                <w:b/>
                <w:bCs/>
                <w:color w:val="auto"/>
                <w:sz w:val="22"/>
                <w:szCs w:val="28"/>
              </w:rPr>
              <w:t>ingle-</w:t>
            </w:r>
            <w:r>
              <w:rPr>
                <w:rFonts w:hint="eastAsia" w:ascii="Times New Roman" w:hAnsi="Times New Roman" w:cs="Times New Roman"/>
                <w:b/>
                <w:bCs/>
                <w:color w:val="auto"/>
                <w:sz w:val="22"/>
                <w:szCs w:val="28"/>
                <w:lang w:val="en-US" w:eastAsia="zh-CN"/>
              </w:rPr>
              <w:t>n</w:t>
            </w:r>
            <w:r>
              <w:rPr>
                <w:rFonts w:hint="default" w:ascii="Times New Roman" w:hAnsi="Times New Roman" w:cs="Times New Roman"/>
                <w:b/>
                <w:bCs/>
                <w:color w:val="auto"/>
                <w:sz w:val="22"/>
                <w:szCs w:val="28"/>
              </w:rPr>
              <w:t xml:space="preserve">ephron eGFR with </w:t>
            </w:r>
            <w:r>
              <w:rPr>
                <w:rFonts w:hint="eastAsia" w:ascii="Times New Roman" w:hAnsi="Times New Roman" w:cs="Times New Roman"/>
                <w:b/>
                <w:bCs/>
                <w:color w:val="auto"/>
                <w:sz w:val="22"/>
                <w:szCs w:val="28"/>
                <w:lang w:val="en-US" w:eastAsia="zh-CN"/>
              </w:rPr>
              <w:t>o</w:t>
            </w:r>
            <w:r>
              <w:rPr>
                <w:rFonts w:hint="default" w:ascii="Times New Roman" w:hAnsi="Times New Roman" w:cs="Times New Roman"/>
                <w:b/>
                <w:bCs/>
                <w:color w:val="auto"/>
                <w:sz w:val="22"/>
                <w:szCs w:val="28"/>
              </w:rPr>
              <w:t>utcomes</w:t>
            </w:r>
          </w:p>
        </w:tc>
      </w:tr>
      <w:tr w14:paraId="57460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21" w:type="dxa"/>
            <w:vMerge w:val="restart"/>
            <w:tcBorders>
              <w:top w:val="single" w:color="auto" w:sz="12" w:space="0"/>
              <w:left w:val="single" w:color="auto" w:sz="4" w:space="0"/>
              <w:right w:val="nil"/>
              <w:tl2br w:val="nil"/>
            </w:tcBorders>
            <w:shd w:val="clear" w:color="auto" w:fill="FFFFFF"/>
            <w:vAlign w:val="center"/>
          </w:tcPr>
          <w:p w14:paraId="06FD1300">
            <w:pPr>
              <w:widowControl w:val="0"/>
              <w:spacing w:line="240" w:lineRule="auto"/>
              <w:ind w:firstLine="201" w:firstLineChars="100"/>
              <w:jc w:val="left"/>
              <w:rPr>
                <w:rFonts w:hint="default" w:ascii="Times New Roman" w:hAnsi="Times New Roman" w:cs="Times New Roman"/>
                <w:color w:val="000000"/>
                <w:sz w:val="20"/>
                <w:szCs w:val="20"/>
              </w:rPr>
            </w:pPr>
            <w:r>
              <w:rPr>
                <w:rFonts w:hint="default" w:ascii="Times New Roman" w:hAnsi="Times New Roman" w:cs="Times New Roman"/>
                <w:b/>
                <w:bCs/>
                <w:color w:val="000000"/>
                <w:sz w:val="20"/>
                <w:szCs w:val="20"/>
              </w:rPr>
              <w:t>Variable</w:t>
            </w:r>
          </w:p>
        </w:tc>
        <w:tc>
          <w:tcPr>
            <w:tcW w:w="2888" w:type="dxa"/>
            <w:gridSpan w:val="2"/>
            <w:tcBorders>
              <w:top w:val="single" w:color="auto" w:sz="12" w:space="0"/>
              <w:left w:val="nil"/>
              <w:bottom w:val="single" w:color="auto" w:sz="12" w:space="0"/>
              <w:right w:val="nil"/>
            </w:tcBorders>
            <w:shd w:val="clear" w:color="auto" w:fill="FFFFFF"/>
            <w:vAlign w:val="center"/>
          </w:tcPr>
          <w:p w14:paraId="2A9D57F2">
            <w:pPr>
              <w:widowControl w:val="0"/>
              <w:spacing w:line="240" w:lineRule="auto"/>
              <w:jc w:val="center"/>
              <w:rPr>
                <w:rFonts w:hint="default" w:ascii="Times New Roman" w:hAnsi="Times New Roman" w:cs="Times New Roman" w:eastAsiaTheme="minorEastAsia"/>
                <w:b/>
                <w:bCs/>
                <w:color w:val="000000"/>
                <w:sz w:val="20"/>
                <w:szCs w:val="20"/>
                <w:lang w:val="en-US" w:eastAsia="zh-CN"/>
              </w:rPr>
            </w:pPr>
            <w:r>
              <w:rPr>
                <w:rFonts w:hint="eastAsia" w:ascii="Times New Roman" w:hAnsi="Times New Roman" w:cs="Times New Roman"/>
                <w:b/>
                <w:bCs/>
                <w:color w:val="000000"/>
                <w:sz w:val="20"/>
                <w:szCs w:val="20"/>
                <w:lang w:val="en-US" w:eastAsia="zh-CN"/>
              </w:rPr>
              <w:t>Model 1</w:t>
            </w:r>
          </w:p>
        </w:tc>
        <w:tc>
          <w:tcPr>
            <w:tcW w:w="2916" w:type="dxa"/>
            <w:gridSpan w:val="2"/>
            <w:tcBorders>
              <w:top w:val="single" w:color="auto" w:sz="12" w:space="0"/>
              <w:left w:val="nil"/>
              <w:bottom w:val="single" w:color="auto" w:sz="12" w:space="0"/>
              <w:right w:val="nil"/>
            </w:tcBorders>
            <w:shd w:val="clear" w:color="auto" w:fill="FFFFFF"/>
            <w:vAlign w:val="center"/>
          </w:tcPr>
          <w:p w14:paraId="788E7D0D">
            <w:pPr>
              <w:widowControl w:val="0"/>
              <w:spacing w:line="240" w:lineRule="auto"/>
              <w:jc w:val="center"/>
              <w:rPr>
                <w:rFonts w:hint="default" w:ascii="Times New Roman" w:hAnsi="Times New Roman" w:cs="Times New Roman" w:eastAsiaTheme="minorEastAsia"/>
                <w:b/>
                <w:bCs/>
                <w:color w:val="000000"/>
                <w:sz w:val="20"/>
                <w:szCs w:val="20"/>
                <w:lang w:val="en-US" w:eastAsia="zh-CN"/>
              </w:rPr>
            </w:pPr>
            <w:r>
              <w:rPr>
                <w:rFonts w:hint="eastAsia" w:ascii="Times New Roman" w:hAnsi="Times New Roman" w:cs="Times New Roman"/>
                <w:b/>
                <w:bCs/>
                <w:color w:val="000000"/>
                <w:sz w:val="20"/>
                <w:szCs w:val="20"/>
                <w:lang w:val="en-US" w:eastAsia="zh-CN"/>
              </w:rPr>
              <w:t>Model 2</w:t>
            </w:r>
          </w:p>
        </w:tc>
        <w:tc>
          <w:tcPr>
            <w:tcW w:w="2914" w:type="dxa"/>
            <w:gridSpan w:val="3"/>
            <w:tcBorders>
              <w:top w:val="single" w:color="auto" w:sz="12" w:space="0"/>
              <w:left w:val="nil"/>
              <w:bottom w:val="single" w:color="auto" w:sz="12" w:space="0"/>
              <w:right w:val="single" w:color="auto" w:sz="4" w:space="0"/>
            </w:tcBorders>
            <w:shd w:val="clear" w:color="auto" w:fill="FFFFFF"/>
            <w:vAlign w:val="center"/>
          </w:tcPr>
          <w:p w14:paraId="04AF655B">
            <w:pPr>
              <w:widowControl w:val="0"/>
              <w:spacing w:line="240" w:lineRule="auto"/>
              <w:jc w:val="center"/>
              <w:rPr>
                <w:rFonts w:hint="eastAsia" w:ascii="Times New Roman" w:hAnsi="Times New Roman" w:cs="Times New Roman"/>
                <w:b/>
                <w:bCs/>
                <w:color w:val="000000"/>
                <w:sz w:val="20"/>
                <w:szCs w:val="20"/>
                <w:lang w:val="en-US" w:eastAsia="zh-CN"/>
              </w:rPr>
            </w:pPr>
            <w:r>
              <w:rPr>
                <w:rFonts w:hint="eastAsia" w:ascii="Times New Roman" w:hAnsi="Times New Roman" w:cs="Times New Roman"/>
                <w:b/>
                <w:bCs/>
                <w:color w:val="000000"/>
                <w:sz w:val="20"/>
                <w:szCs w:val="20"/>
                <w:lang w:val="en-US" w:eastAsia="zh-CN"/>
              </w:rPr>
              <w:t>Model 3</w:t>
            </w:r>
          </w:p>
        </w:tc>
      </w:tr>
      <w:tr w14:paraId="2D2D5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721" w:type="dxa"/>
            <w:vMerge w:val="continue"/>
            <w:tcBorders>
              <w:left w:val="single" w:color="auto" w:sz="4" w:space="0"/>
              <w:bottom w:val="single" w:color="auto" w:sz="4" w:space="0"/>
              <w:right w:val="nil"/>
              <w:tl2br w:val="nil"/>
            </w:tcBorders>
            <w:shd w:val="clear" w:color="auto" w:fill="FFFFFF"/>
            <w:vAlign w:val="center"/>
          </w:tcPr>
          <w:p w14:paraId="12E95555">
            <w:pPr>
              <w:widowControl w:val="0"/>
              <w:spacing w:line="240" w:lineRule="auto"/>
              <w:jc w:val="center"/>
              <w:rPr>
                <w:rFonts w:hint="default" w:ascii="Times New Roman" w:hAnsi="Times New Roman" w:cs="Times New Roman"/>
                <w:color w:val="auto"/>
                <w:sz w:val="20"/>
                <w:szCs w:val="20"/>
              </w:rPr>
            </w:pPr>
          </w:p>
        </w:tc>
        <w:tc>
          <w:tcPr>
            <w:tcW w:w="1928" w:type="dxa"/>
            <w:tcBorders>
              <w:top w:val="single" w:color="auto" w:sz="12" w:space="0"/>
              <w:left w:val="nil"/>
              <w:bottom w:val="single" w:color="auto" w:sz="4" w:space="0"/>
              <w:right w:val="nil"/>
            </w:tcBorders>
            <w:shd w:val="clear" w:color="auto" w:fill="FFFFFF"/>
            <w:vAlign w:val="center"/>
          </w:tcPr>
          <w:p w14:paraId="0D1D5872">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HR (95%CI)</w:t>
            </w:r>
          </w:p>
        </w:tc>
        <w:tc>
          <w:tcPr>
            <w:tcW w:w="960" w:type="dxa"/>
            <w:tcBorders>
              <w:top w:val="single" w:color="auto" w:sz="12" w:space="0"/>
              <w:left w:val="nil"/>
              <w:bottom w:val="single" w:color="auto" w:sz="4" w:space="0"/>
              <w:right w:val="nil"/>
            </w:tcBorders>
            <w:shd w:val="clear" w:color="auto" w:fill="FFFFFF"/>
            <w:vAlign w:val="center"/>
          </w:tcPr>
          <w:p w14:paraId="36FA7652">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i/>
                <w:iCs/>
                <w:color w:val="000000"/>
                <w:sz w:val="20"/>
                <w:szCs w:val="20"/>
              </w:rPr>
              <w:t>P</w:t>
            </w:r>
            <w:r>
              <w:rPr>
                <w:rFonts w:hint="default" w:ascii="Times New Roman" w:hAnsi="Times New Roman" w:cs="Times New Roman"/>
                <w:b/>
                <w:bCs/>
                <w:color w:val="000000"/>
                <w:sz w:val="20"/>
                <w:szCs w:val="20"/>
              </w:rPr>
              <w:t xml:space="preserve"> value</w:t>
            </w:r>
          </w:p>
        </w:tc>
        <w:tc>
          <w:tcPr>
            <w:tcW w:w="1944" w:type="dxa"/>
            <w:tcBorders>
              <w:top w:val="single" w:color="auto" w:sz="12" w:space="0"/>
              <w:left w:val="nil"/>
              <w:bottom w:val="single" w:color="auto" w:sz="4" w:space="0"/>
              <w:right w:val="nil"/>
            </w:tcBorders>
            <w:shd w:val="clear" w:color="auto" w:fill="FFFFFF"/>
            <w:vAlign w:val="center"/>
          </w:tcPr>
          <w:p w14:paraId="2679C7F4">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color w:val="000000"/>
                <w:sz w:val="20"/>
                <w:szCs w:val="20"/>
              </w:rPr>
              <w:t>HR (95%CI)</w:t>
            </w:r>
          </w:p>
        </w:tc>
        <w:tc>
          <w:tcPr>
            <w:tcW w:w="972" w:type="dxa"/>
            <w:tcBorders>
              <w:top w:val="single" w:color="auto" w:sz="12" w:space="0"/>
              <w:left w:val="nil"/>
              <w:bottom w:val="single" w:color="auto" w:sz="4" w:space="0"/>
              <w:right w:val="nil"/>
            </w:tcBorders>
            <w:shd w:val="clear" w:color="auto" w:fill="FFFFFF"/>
            <w:vAlign w:val="center"/>
          </w:tcPr>
          <w:p w14:paraId="5C6B5D50">
            <w:pPr>
              <w:widowControl w:val="0"/>
              <w:spacing w:line="240" w:lineRule="auto"/>
              <w:jc w:val="center"/>
              <w:rPr>
                <w:rFonts w:hint="default" w:ascii="Times New Roman" w:hAnsi="Times New Roman" w:cs="Times New Roman"/>
                <w:b/>
                <w:bCs/>
                <w:color w:val="000000"/>
                <w:sz w:val="20"/>
                <w:szCs w:val="20"/>
              </w:rPr>
            </w:pPr>
            <w:r>
              <w:rPr>
                <w:rFonts w:hint="default" w:ascii="Times New Roman" w:hAnsi="Times New Roman" w:cs="Times New Roman"/>
                <w:b/>
                <w:bCs/>
                <w:i/>
                <w:iCs/>
                <w:color w:val="000000"/>
                <w:sz w:val="20"/>
                <w:szCs w:val="20"/>
              </w:rPr>
              <w:t>P</w:t>
            </w:r>
            <w:r>
              <w:rPr>
                <w:rFonts w:hint="default" w:ascii="Times New Roman" w:hAnsi="Times New Roman" w:cs="Times New Roman"/>
                <w:b/>
                <w:bCs/>
                <w:color w:val="000000"/>
                <w:sz w:val="20"/>
                <w:szCs w:val="20"/>
              </w:rPr>
              <w:t xml:space="preserve"> value</w:t>
            </w:r>
          </w:p>
        </w:tc>
        <w:tc>
          <w:tcPr>
            <w:tcW w:w="1942" w:type="dxa"/>
            <w:tcBorders>
              <w:top w:val="single" w:color="auto" w:sz="12" w:space="0"/>
              <w:left w:val="nil"/>
              <w:bottom w:val="single" w:color="auto" w:sz="4" w:space="0"/>
              <w:right w:val="nil"/>
            </w:tcBorders>
            <w:shd w:val="clear" w:color="auto" w:fill="FFFFFF"/>
            <w:vAlign w:val="center"/>
          </w:tcPr>
          <w:p w14:paraId="4F95FAEA">
            <w:pPr>
              <w:widowControl w:val="0"/>
              <w:spacing w:line="240" w:lineRule="auto"/>
              <w:jc w:val="center"/>
              <w:rPr>
                <w:rFonts w:hint="default" w:ascii="Times New Roman" w:hAnsi="Times New Roman" w:cs="Times New Roman"/>
                <w:b/>
                <w:bCs/>
                <w:i/>
                <w:iCs/>
                <w:color w:val="000000"/>
                <w:sz w:val="20"/>
                <w:szCs w:val="20"/>
              </w:rPr>
            </w:pPr>
            <w:r>
              <w:rPr>
                <w:rFonts w:hint="default" w:ascii="Times New Roman" w:hAnsi="Times New Roman" w:cs="Times New Roman"/>
                <w:b/>
                <w:bCs/>
                <w:color w:val="000000"/>
                <w:sz w:val="20"/>
                <w:szCs w:val="20"/>
              </w:rPr>
              <w:t>HR (95%CI)</w:t>
            </w:r>
          </w:p>
        </w:tc>
        <w:tc>
          <w:tcPr>
            <w:tcW w:w="972" w:type="dxa"/>
            <w:gridSpan w:val="2"/>
            <w:tcBorders>
              <w:top w:val="single" w:color="auto" w:sz="12" w:space="0"/>
              <w:left w:val="nil"/>
              <w:bottom w:val="single" w:color="auto" w:sz="4" w:space="0"/>
              <w:right w:val="single" w:color="auto" w:sz="4" w:space="0"/>
            </w:tcBorders>
            <w:shd w:val="clear" w:color="auto" w:fill="FFFFFF"/>
            <w:vAlign w:val="center"/>
          </w:tcPr>
          <w:p w14:paraId="75B61684">
            <w:pPr>
              <w:widowControl w:val="0"/>
              <w:spacing w:line="240" w:lineRule="auto"/>
              <w:jc w:val="center"/>
              <w:rPr>
                <w:rFonts w:hint="default" w:ascii="Times New Roman" w:hAnsi="Times New Roman" w:cs="Times New Roman"/>
                <w:b/>
                <w:bCs/>
                <w:i/>
                <w:iCs/>
                <w:color w:val="000000"/>
                <w:sz w:val="20"/>
                <w:szCs w:val="20"/>
              </w:rPr>
            </w:pPr>
            <w:r>
              <w:rPr>
                <w:rFonts w:hint="default" w:ascii="Times New Roman" w:hAnsi="Times New Roman" w:cs="Times New Roman"/>
                <w:b/>
                <w:bCs/>
                <w:i/>
                <w:iCs/>
                <w:color w:val="000000"/>
                <w:sz w:val="20"/>
                <w:szCs w:val="20"/>
              </w:rPr>
              <w:t>P</w:t>
            </w:r>
            <w:r>
              <w:rPr>
                <w:rFonts w:hint="default" w:ascii="Times New Roman" w:hAnsi="Times New Roman" w:cs="Times New Roman"/>
                <w:b/>
                <w:bCs/>
                <w:color w:val="000000"/>
                <w:sz w:val="20"/>
                <w:szCs w:val="20"/>
              </w:rPr>
              <w:t xml:space="preserve"> value</w:t>
            </w:r>
          </w:p>
        </w:tc>
      </w:tr>
      <w:tr w14:paraId="663BA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376DF02F">
            <w:pPr>
              <w:widowControl w:val="0"/>
              <w:spacing w:line="240" w:lineRule="auto"/>
              <w:ind w:firstLine="200" w:firstLineChars="100"/>
              <w:jc w:val="left"/>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Male</w:t>
            </w:r>
          </w:p>
        </w:tc>
        <w:tc>
          <w:tcPr>
            <w:tcW w:w="1928" w:type="dxa"/>
            <w:tcBorders>
              <w:top w:val="nil"/>
              <w:left w:val="nil"/>
              <w:bottom w:val="nil"/>
              <w:right w:val="nil"/>
            </w:tcBorders>
            <w:shd w:val="clear" w:color="auto" w:fill="FFFFFF"/>
            <w:vAlign w:val="center"/>
          </w:tcPr>
          <w:p w14:paraId="3EE1E42F">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1.62 (0.86-3.05)</w:t>
            </w:r>
          </w:p>
        </w:tc>
        <w:tc>
          <w:tcPr>
            <w:tcW w:w="960" w:type="dxa"/>
            <w:tcBorders>
              <w:top w:val="nil"/>
              <w:left w:val="nil"/>
              <w:bottom w:val="nil"/>
              <w:right w:val="nil"/>
            </w:tcBorders>
            <w:shd w:val="clear" w:color="auto" w:fill="FFFFFF"/>
            <w:vAlign w:val="center"/>
          </w:tcPr>
          <w:p w14:paraId="22E03C64">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0.13</w:t>
            </w:r>
          </w:p>
        </w:tc>
        <w:tc>
          <w:tcPr>
            <w:tcW w:w="1944" w:type="dxa"/>
            <w:tcBorders>
              <w:top w:val="nil"/>
              <w:left w:val="nil"/>
              <w:bottom w:val="nil"/>
              <w:right w:val="nil"/>
            </w:tcBorders>
            <w:shd w:val="clear" w:color="auto" w:fill="FFFFFF"/>
            <w:vAlign w:val="center"/>
          </w:tcPr>
          <w:p w14:paraId="02A09F84">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1.83 (0.97-3.47)</w:t>
            </w:r>
          </w:p>
        </w:tc>
        <w:tc>
          <w:tcPr>
            <w:tcW w:w="972" w:type="dxa"/>
            <w:tcBorders>
              <w:top w:val="nil"/>
              <w:left w:val="nil"/>
              <w:bottom w:val="nil"/>
              <w:right w:val="nil"/>
            </w:tcBorders>
            <w:shd w:val="clear" w:color="auto" w:fill="FFFFFF"/>
            <w:vAlign w:val="center"/>
          </w:tcPr>
          <w:p w14:paraId="4531F7C3">
            <w:pPr>
              <w:widowControl w:val="0"/>
              <w:spacing w:line="240" w:lineRule="auto"/>
              <w:jc w:val="center"/>
              <w:rPr>
                <w:rFonts w:hint="default" w:ascii="Times New Roman" w:hAnsi="Times New Roman" w:cs="Times New Roman" w:eastAsiaTheme="minorEastAsia"/>
                <w:color w:val="000000"/>
                <w:kern w:val="2"/>
                <w:sz w:val="20"/>
                <w:szCs w:val="20"/>
                <w:lang w:val="en-US" w:eastAsia="zh-CN"/>
              </w:rPr>
            </w:pPr>
            <w:r>
              <w:rPr>
                <w:rFonts w:hint="eastAsia" w:ascii="Times New Roman" w:hAnsi="Times New Roman" w:cs="Times New Roman"/>
                <w:color w:val="000000"/>
                <w:sz w:val="20"/>
                <w:szCs w:val="20"/>
                <w:lang w:val="en-US" w:eastAsia="zh-CN"/>
              </w:rPr>
              <w:t>0.06</w:t>
            </w:r>
          </w:p>
        </w:tc>
        <w:tc>
          <w:tcPr>
            <w:tcW w:w="1945" w:type="dxa"/>
            <w:gridSpan w:val="2"/>
            <w:tcBorders>
              <w:top w:val="nil"/>
              <w:left w:val="nil"/>
              <w:bottom w:val="nil"/>
              <w:right w:val="nil"/>
            </w:tcBorders>
            <w:shd w:val="clear" w:color="auto" w:fill="FFFFFF"/>
            <w:vAlign w:val="center"/>
          </w:tcPr>
          <w:p w14:paraId="2C772DC8">
            <w:pPr>
              <w:widowControl w:val="0"/>
              <w:spacing w:line="240" w:lineRule="auto"/>
              <w:jc w:val="center"/>
              <w:rPr>
                <w:rFonts w:hint="eastAsia"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1.83 (0.96-3.52)</w:t>
            </w:r>
          </w:p>
        </w:tc>
        <w:tc>
          <w:tcPr>
            <w:tcW w:w="969" w:type="dxa"/>
            <w:tcBorders>
              <w:top w:val="nil"/>
              <w:left w:val="nil"/>
              <w:bottom w:val="nil"/>
              <w:right w:val="single" w:color="auto" w:sz="4" w:space="0"/>
            </w:tcBorders>
            <w:shd w:val="clear" w:color="auto" w:fill="FFFFFF"/>
            <w:vAlign w:val="center"/>
          </w:tcPr>
          <w:p w14:paraId="3E669330">
            <w:pPr>
              <w:widowControl w:val="0"/>
              <w:spacing w:line="240" w:lineRule="auto"/>
              <w:jc w:val="center"/>
              <w:rPr>
                <w:rFonts w:hint="eastAsia"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0.07</w:t>
            </w:r>
          </w:p>
        </w:tc>
      </w:tr>
      <w:tr w14:paraId="17CB8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4716508B">
            <w:pPr>
              <w:widowControl w:val="0"/>
              <w:spacing w:line="240" w:lineRule="auto"/>
              <w:ind w:firstLine="200" w:firstLineChars="100"/>
              <w:jc w:val="left"/>
              <w:rPr>
                <w:rFonts w:hint="default" w:ascii="Times New Roman" w:hAnsi="Times New Roman" w:cs="Times New Roman" w:eastAsiaTheme="minorEastAsia"/>
                <w:color w:val="000000"/>
                <w:kern w:val="2"/>
                <w:sz w:val="20"/>
                <w:szCs w:val="20"/>
                <w:lang w:val="en-US" w:eastAsia="zh-CN" w:bidi="ar-SA"/>
              </w:rPr>
            </w:pPr>
            <w:r>
              <w:rPr>
                <w:rFonts w:hint="eastAsia" w:ascii="Times New Roman" w:hAnsi="Times New Roman" w:cs="Times New Roman"/>
                <w:color w:val="000000"/>
                <w:sz w:val="20"/>
                <w:szCs w:val="20"/>
                <w:lang w:val="en-US" w:eastAsia="zh-CN"/>
              </w:rPr>
              <w:t>UPE</w:t>
            </w:r>
          </w:p>
        </w:tc>
        <w:tc>
          <w:tcPr>
            <w:tcW w:w="1928" w:type="dxa"/>
            <w:tcBorders>
              <w:top w:val="nil"/>
              <w:left w:val="nil"/>
              <w:bottom w:val="nil"/>
              <w:right w:val="nil"/>
            </w:tcBorders>
            <w:shd w:val="clear" w:color="auto" w:fill="FFFFFF"/>
            <w:vAlign w:val="center"/>
          </w:tcPr>
          <w:p w14:paraId="663BA7F5">
            <w:pPr>
              <w:widowControl w:val="0"/>
              <w:spacing w:line="240" w:lineRule="auto"/>
              <w:jc w:val="center"/>
              <w:rPr>
                <w:rFonts w:hint="default" w:ascii="Times New Roman" w:hAnsi="Times New Roman" w:cs="Times New Roman" w:eastAsiaTheme="minorEastAsia"/>
                <w:color w:val="000000"/>
                <w:kern w:val="2"/>
                <w:sz w:val="20"/>
                <w:szCs w:val="20"/>
                <w:lang w:val="en-US" w:eastAsia="zh-CN" w:bidi="ar-SA"/>
              </w:rPr>
            </w:pPr>
            <w:r>
              <w:rPr>
                <w:rFonts w:hint="eastAsia" w:ascii="Times New Roman" w:hAnsi="Times New Roman" w:cs="Times New Roman"/>
                <w:color w:val="000000"/>
                <w:sz w:val="20"/>
                <w:szCs w:val="20"/>
                <w:lang w:val="en-US" w:eastAsia="zh-CN"/>
              </w:rPr>
              <w:t>1.01</w:t>
            </w:r>
            <w:r>
              <w:rPr>
                <w:rFonts w:hint="default"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0.76-1.35</w:t>
            </w:r>
            <w:r>
              <w:rPr>
                <w:rFonts w:hint="default" w:ascii="Times New Roman" w:hAnsi="Times New Roman" w:cs="Times New Roman"/>
                <w:color w:val="000000"/>
                <w:sz w:val="20"/>
                <w:szCs w:val="20"/>
              </w:rPr>
              <w:t>)</w:t>
            </w:r>
          </w:p>
        </w:tc>
        <w:tc>
          <w:tcPr>
            <w:tcW w:w="960" w:type="dxa"/>
            <w:tcBorders>
              <w:top w:val="nil"/>
              <w:left w:val="nil"/>
              <w:bottom w:val="nil"/>
              <w:right w:val="nil"/>
            </w:tcBorders>
            <w:shd w:val="clear" w:color="auto" w:fill="FFFFFF"/>
            <w:vAlign w:val="center"/>
          </w:tcPr>
          <w:p w14:paraId="3F8A8E85">
            <w:pPr>
              <w:widowControl w:val="0"/>
              <w:spacing w:line="240" w:lineRule="auto"/>
              <w:jc w:val="center"/>
              <w:rPr>
                <w:rFonts w:hint="default" w:ascii="Times New Roman" w:hAnsi="Times New Roman" w:cs="Times New Roman" w:eastAsiaTheme="minorEastAsia"/>
                <w:color w:val="000000"/>
                <w:kern w:val="2"/>
                <w:sz w:val="20"/>
                <w:szCs w:val="20"/>
                <w:lang w:val="en-US" w:eastAsia="zh-CN" w:bidi="ar-SA"/>
              </w:rPr>
            </w:pP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93</w:t>
            </w:r>
          </w:p>
        </w:tc>
        <w:tc>
          <w:tcPr>
            <w:tcW w:w="1944" w:type="dxa"/>
            <w:tcBorders>
              <w:top w:val="nil"/>
              <w:left w:val="nil"/>
              <w:bottom w:val="nil"/>
              <w:right w:val="nil"/>
            </w:tcBorders>
            <w:shd w:val="clear" w:color="auto" w:fill="FFFFFF"/>
            <w:vAlign w:val="center"/>
          </w:tcPr>
          <w:p w14:paraId="379233D0">
            <w:pPr>
              <w:widowControl w:val="0"/>
              <w:spacing w:line="240" w:lineRule="auto"/>
              <w:jc w:val="center"/>
              <w:rPr>
                <w:rFonts w:hint="default" w:ascii="Times New Roman" w:hAnsi="Times New Roman" w:cs="Times New Roman" w:eastAsiaTheme="minorEastAsia"/>
                <w:color w:val="000000"/>
                <w:kern w:val="2"/>
                <w:sz w:val="20"/>
                <w:szCs w:val="20"/>
                <w:lang w:val="en-US" w:eastAsia="zh-CN" w:bidi="ar-SA"/>
              </w:rPr>
            </w:pPr>
            <w:r>
              <w:rPr>
                <w:rFonts w:hint="eastAsia" w:ascii="Times New Roman" w:hAnsi="Times New Roman" w:cs="Times New Roman"/>
                <w:color w:val="000000"/>
                <w:sz w:val="20"/>
                <w:szCs w:val="20"/>
                <w:lang w:val="en-US" w:eastAsia="zh-CN"/>
              </w:rPr>
              <w:t>0.89</w:t>
            </w:r>
            <w:r>
              <w:rPr>
                <w:rFonts w:hint="default"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0.63-1.26</w:t>
            </w:r>
            <w:r>
              <w:rPr>
                <w:rFonts w:hint="default" w:ascii="Times New Roman" w:hAnsi="Times New Roman" w:cs="Times New Roman"/>
                <w:color w:val="000000"/>
                <w:sz w:val="20"/>
                <w:szCs w:val="20"/>
              </w:rPr>
              <w:t>)</w:t>
            </w:r>
          </w:p>
        </w:tc>
        <w:tc>
          <w:tcPr>
            <w:tcW w:w="972" w:type="dxa"/>
            <w:tcBorders>
              <w:top w:val="nil"/>
              <w:left w:val="nil"/>
              <w:bottom w:val="nil"/>
              <w:right w:val="nil"/>
            </w:tcBorders>
            <w:shd w:val="clear" w:color="auto" w:fill="FFFFFF"/>
            <w:vAlign w:val="center"/>
          </w:tcPr>
          <w:p w14:paraId="2CFB51A1">
            <w:pPr>
              <w:widowControl w:val="0"/>
              <w:spacing w:line="240" w:lineRule="auto"/>
              <w:jc w:val="center"/>
              <w:rPr>
                <w:rFonts w:hint="default" w:ascii="Times New Roman" w:hAnsi="Times New Roman" w:cs="Times New Roman" w:eastAsiaTheme="minorEastAsia"/>
                <w:color w:val="000000"/>
                <w:kern w:val="2"/>
                <w:sz w:val="20"/>
                <w:szCs w:val="20"/>
                <w:lang w:val="en-US" w:eastAsia="zh-CN" w:bidi="ar-SA"/>
              </w:rPr>
            </w:pP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52</w:t>
            </w:r>
          </w:p>
        </w:tc>
        <w:tc>
          <w:tcPr>
            <w:tcW w:w="1945" w:type="dxa"/>
            <w:gridSpan w:val="2"/>
            <w:tcBorders>
              <w:top w:val="nil"/>
              <w:left w:val="nil"/>
              <w:bottom w:val="nil"/>
              <w:right w:val="nil"/>
            </w:tcBorders>
            <w:shd w:val="clear" w:color="auto" w:fill="FFFFFF"/>
            <w:vAlign w:val="center"/>
          </w:tcPr>
          <w:p w14:paraId="3B47761A">
            <w:pPr>
              <w:widowControl w:val="0"/>
              <w:spacing w:line="240" w:lineRule="auto"/>
              <w:jc w:val="center"/>
              <w:rPr>
                <w:rFonts w:hint="eastAsia" w:ascii="Times New Roman" w:hAnsi="Times New Roman" w:cs="Times New Roman"/>
                <w:color w:val="000000"/>
                <w:sz w:val="20"/>
                <w:szCs w:val="20"/>
                <w:lang w:val="en-US" w:eastAsia="zh-CN"/>
              </w:rPr>
            </w:pPr>
            <w:r>
              <w:rPr>
                <w:rFonts w:hint="eastAsia" w:ascii="Times New Roman" w:hAnsi="Times New Roman" w:cs="Times New Roman"/>
                <w:color w:val="000000"/>
                <w:sz w:val="20"/>
                <w:szCs w:val="20"/>
                <w:lang w:val="en-US" w:eastAsia="zh-CN"/>
              </w:rPr>
              <w:t xml:space="preserve">0.82 </w:t>
            </w:r>
            <w:r>
              <w:rPr>
                <w:rFonts w:hint="default" w:ascii="Times New Roman" w:hAnsi="Times New Roman" w:cs="Times New Roman"/>
                <w:color w:val="000000"/>
                <w:sz w:val="20"/>
                <w:szCs w:val="20"/>
              </w:rPr>
              <w:t>(</w:t>
            </w:r>
            <w:r>
              <w:rPr>
                <w:rFonts w:hint="eastAsia" w:ascii="Times New Roman" w:hAnsi="Times New Roman" w:cs="Times New Roman"/>
                <w:color w:val="000000"/>
                <w:sz w:val="20"/>
                <w:szCs w:val="20"/>
                <w:lang w:val="en-US" w:eastAsia="zh-CN"/>
              </w:rPr>
              <w:t>0.57-1.19</w:t>
            </w:r>
            <w:r>
              <w:rPr>
                <w:rFonts w:hint="default" w:ascii="Times New Roman" w:hAnsi="Times New Roman" w:cs="Times New Roman"/>
                <w:color w:val="000000"/>
                <w:sz w:val="20"/>
                <w:szCs w:val="20"/>
              </w:rPr>
              <w:t>)</w:t>
            </w:r>
          </w:p>
        </w:tc>
        <w:tc>
          <w:tcPr>
            <w:tcW w:w="969" w:type="dxa"/>
            <w:tcBorders>
              <w:top w:val="nil"/>
              <w:left w:val="nil"/>
              <w:bottom w:val="nil"/>
              <w:right w:val="single" w:color="auto" w:sz="4" w:space="0"/>
            </w:tcBorders>
            <w:shd w:val="clear" w:color="auto" w:fill="FFFFFF"/>
            <w:vAlign w:val="center"/>
          </w:tcPr>
          <w:p w14:paraId="683D2FFE">
            <w:pPr>
              <w:widowControl w:val="0"/>
              <w:spacing w:line="240" w:lineRule="auto"/>
              <w:jc w:val="center"/>
              <w:rPr>
                <w:rFonts w:hint="eastAsia" w:ascii="Times New Roman" w:hAnsi="Times New Roman" w:cs="Times New Roman"/>
                <w:color w:val="000000"/>
                <w:sz w:val="20"/>
                <w:szCs w:val="20"/>
                <w:lang w:val="en-US" w:eastAsia="zh-CN"/>
              </w:rPr>
            </w:pP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3</w:t>
            </w:r>
          </w:p>
        </w:tc>
      </w:tr>
      <w:tr w14:paraId="3D5F4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0EEB0EF3">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eGFR</w:t>
            </w:r>
          </w:p>
        </w:tc>
        <w:tc>
          <w:tcPr>
            <w:tcW w:w="1928" w:type="dxa"/>
            <w:tcBorders>
              <w:top w:val="nil"/>
              <w:left w:val="nil"/>
              <w:bottom w:val="nil"/>
              <w:right w:val="nil"/>
            </w:tcBorders>
            <w:shd w:val="clear" w:color="auto" w:fill="FFFFFF"/>
            <w:vAlign w:val="center"/>
          </w:tcPr>
          <w:p w14:paraId="168A2287">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4</w:t>
            </w:r>
            <w:r>
              <w:rPr>
                <w:rFonts w:hint="default" w:ascii="Times New Roman" w:hAnsi="Times New Roman" w:cs="Times New Roman"/>
                <w:color w:val="000000"/>
                <w:sz w:val="20"/>
                <w:szCs w:val="20"/>
              </w:rPr>
              <w:t>)</w:t>
            </w:r>
          </w:p>
        </w:tc>
        <w:tc>
          <w:tcPr>
            <w:tcW w:w="960" w:type="dxa"/>
            <w:tcBorders>
              <w:top w:val="nil"/>
              <w:left w:val="nil"/>
              <w:bottom w:val="nil"/>
              <w:right w:val="nil"/>
            </w:tcBorders>
            <w:shd w:val="clear" w:color="auto" w:fill="FFFFFF"/>
            <w:vAlign w:val="center"/>
          </w:tcPr>
          <w:p w14:paraId="4B82307B">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08</w:t>
            </w:r>
          </w:p>
        </w:tc>
        <w:tc>
          <w:tcPr>
            <w:tcW w:w="1944" w:type="dxa"/>
            <w:tcBorders>
              <w:top w:val="nil"/>
              <w:left w:val="nil"/>
              <w:bottom w:val="nil"/>
              <w:right w:val="nil"/>
            </w:tcBorders>
            <w:shd w:val="clear" w:color="auto" w:fill="FFFFFF"/>
            <w:vAlign w:val="center"/>
          </w:tcPr>
          <w:p w14:paraId="66BE98F3">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3</w:t>
            </w:r>
            <w:r>
              <w:rPr>
                <w:rFonts w:hint="default" w:ascii="Times New Roman" w:hAnsi="Times New Roman" w:cs="Times New Roman"/>
                <w:color w:val="000000"/>
                <w:sz w:val="20"/>
                <w:szCs w:val="20"/>
              </w:rPr>
              <w:t>)</w:t>
            </w:r>
          </w:p>
        </w:tc>
        <w:tc>
          <w:tcPr>
            <w:tcW w:w="972" w:type="dxa"/>
            <w:tcBorders>
              <w:top w:val="nil"/>
              <w:left w:val="nil"/>
              <w:bottom w:val="nil"/>
              <w:right w:val="nil"/>
            </w:tcBorders>
            <w:shd w:val="clear" w:color="auto" w:fill="FFFFFF"/>
            <w:vAlign w:val="center"/>
          </w:tcPr>
          <w:p w14:paraId="30611A31">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2</w:t>
            </w:r>
          </w:p>
        </w:tc>
        <w:tc>
          <w:tcPr>
            <w:tcW w:w="1945" w:type="dxa"/>
            <w:gridSpan w:val="2"/>
            <w:tcBorders>
              <w:top w:val="nil"/>
              <w:left w:val="nil"/>
              <w:bottom w:val="nil"/>
              <w:right w:val="nil"/>
            </w:tcBorders>
            <w:shd w:val="clear" w:color="auto" w:fill="FFFFFF"/>
            <w:vAlign w:val="center"/>
          </w:tcPr>
          <w:p w14:paraId="1290A4BC">
            <w:pPr>
              <w:widowControl w:val="0"/>
              <w:spacing w:line="240" w:lineRule="auto"/>
              <w:jc w:val="center"/>
              <w:rPr>
                <w:rFonts w:hint="eastAsia"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4</w:t>
            </w:r>
            <w:r>
              <w:rPr>
                <w:rFonts w:hint="default" w:ascii="Times New Roman" w:hAnsi="Times New Roman" w:cs="Times New Roman"/>
                <w:color w:val="000000"/>
                <w:sz w:val="20"/>
                <w:szCs w:val="20"/>
              </w:rPr>
              <w:t>)</w:t>
            </w:r>
          </w:p>
        </w:tc>
        <w:tc>
          <w:tcPr>
            <w:tcW w:w="969" w:type="dxa"/>
            <w:tcBorders>
              <w:top w:val="nil"/>
              <w:left w:val="nil"/>
              <w:bottom w:val="nil"/>
              <w:right w:val="single" w:color="auto" w:sz="4" w:space="0"/>
            </w:tcBorders>
            <w:shd w:val="clear" w:color="auto" w:fill="FFFFFF"/>
            <w:vAlign w:val="center"/>
          </w:tcPr>
          <w:p w14:paraId="1797C58F">
            <w:pPr>
              <w:widowControl w:val="0"/>
              <w:spacing w:line="240" w:lineRule="auto"/>
              <w:jc w:val="center"/>
              <w:rPr>
                <w:rFonts w:hint="eastAsia" w:ascii="Times New Roman" w:hAnsi="Times New Roman" w:cs="Times New Roman"/>
                <w:color w:val="000000"/>
                <w:sz w:val="20"/>
                <w:szCs w:val="20"/>
                <w:lang w:val="en-US" w:eastAsia="zh-CN"/>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1</w:t>
            </w:r>
          </w:p>
        </w:tc>
      </w:tr>
      <w:tr w14:paraId="31BA3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2033A149">
            <w:pPr>
              <w:widowControl w:val="0"/>
              <w:spacing w:line="240" w:lineRule="auto"/>
              <w:ind w:firstLine="200" w:firstLineChars="100"/>
              <w:jc w:val="left"/>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S</w:t>
            </w:r>
          </w:p>
        </w:tc>
        <w:tc>
          <w:tcPr>
            <w:tcW w:w="1928" w:type="dxa"/>
            <w:tcBorders>
              <w:top w:val="nil"/>
              <w:left w:val="nil"/>
              <w:bottom w:val="nil"/>
              <w:right w:val="nil"/>
            </w:tcBorders>
            <w:shd w:val="clear" w:color="auto" w:fill="FFFFFF"/>
            <w:vAlign w:val="center"/>
          </w:tcPr>
          <w:p w14:paraId="7DB18B0E">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2.</w:t>
            </w:r>
            <w:r>
              <w:rPr>
                <w:rFonts w:hint="eastAsia" w:ascii="Times New Roman" w:hAnsi="Times New Roman" w:cs="Times New Roman"/>
                <w:color w:val="000000"/>
                <w:sz w:val="20"/>
                <w:szCs w:val="20"/>
                <w:lang w:val="en-US" w:eastAsia="zh-CN"/>
              </w:rPr>
              <w:t>31</w:t>
            </w:r>
            <w:r>
              <w:rPr>
                <w:rFonts w:hint="eastAsia"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0.99-5.39</w:t>
            </w:r>
            <w:r>
              <w:rPr>
                <w:rFonts w:hint="eastAsia" w:ascii="Times New Roman" w:hAnsi="Times New Roman" w:cs="Times New Roman"/>
                <w:color w:val="000000"/>
                <w:sz w:val="20"/>
                <w:szCs w:val="20"/>
              </w:rPr>
              <w:t>)</w:t>
            </w:r>
          </w:p>
        </w:tc>
        <w:tc>
          <w:tcPr>
            <w:tcW w:w="960" w:type="dxa"/>
            <w:tcBorders>
              <w:top w:val="nil"/>
              <w:left w:val="nil"/>
              <w:bottom w:val="nil"/>
              <w:right w:val="nil"/>
            </w:tcBorders>
            <w:shd w:val="clear" w:color="auto" w:fill="FFFFFF"/>
            <w:vAlign w:val="center"/>
          </w:tcPr>
          <w:p w14:paraId="61D26E4F">
            <w:pPr>
              <w:widowControl w:val="0"/>
              <w:spacing w:line="240" w:lineRule="auto"/>
              <w:jc w:val="center"/>
              <w:rPr>
                <w:rFonts w:hint="default" w:ascii="Times New Roman" w:hAnsi="Times New Roman" w:cs="Times New Roman"/>
                <w:color w:val="000000"/>
                <w:sz w:val="20"/>
                <w:szCs w:val="20"/>
                <w:lang w:val="en-US"/>
              </w:rPr>
            </w:pPr>
            <w:r>
              <w:rPr>
                <w:rFonts w:hint="eastAsia"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53</w:t>
            </w:r>
          </w:p>
        </w:tc>
        <w:tc>
          <w:tcPr>
            <w:tcW w:w="1944" w:type="dxa"/>
            <w:tcBorders>
              <w:top w:val="nil"/>
              <w:left w:val="nil"/>
              <w:bottom w:val="nil"/>
              <w:right w:val="nil"/>
            </w:tcBorders>
            <w:shd w:val="clear" w:color="auto" w:fill="FFFFFF"/>
            <w:vAlign w:val="center"/>
          </w:tcPr>
          <w:p w14:paraId="4DFD47C8">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rPr>
              <w:t>2.</w:t>
            </w:r>
            <w:r>
              <w:rPr>
                <w:rFonts w:hint="eastAsia" w:ascii="Times New Roman" w:hAnsi="Times New Roman" w:cs="Times New Roman"/>
                <w:color w:val="000000"/>
                <w:sz w:val="20"/>
                <w:szCs w:val="20"/>
                <w:lang w:val="en-US" w:eastAsia="zh-CN"/>
              </w:rPr>
              <w:t>09</w:t>
            </w:r>
            <w:r>
              <w:rPr>
                <w:rFonts w:hint="eastAsia"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0.90-4.89</w:t>
            </w:r>
            <w:r>
              <w:rPr>
                <w:rFonts w:hint="eastAsia" w:ascii="Times New Roman" w:hAnsi="Times New Roman" w:cs="Times New Roman"/>
                <w:color w:val="000000"/>
                <w:sz w:val="20"/>
                <w:szCs w:val="20"/>
              </w:rPr>
              <w:t>)</w:t>
            </w:r>
          </w:p>
        </w:tc>
        <w:tc>
          <w:tcPr>
            <w:tcW w:w="972" w:type="dxa"/>
            <w:tcBorders>
              <w:top w:val="nil"/>
              <w:left w:val="nil"/>
              <w:bottom w:val="nil"/>
              <w:right w:val="nil"/>
            </w:tcBorders>
            <w:shd w:val="clear" w:color="auto" w:fill="FFFFFF"/>
            <w:vAlign w:val="center"/>
          </w:tcPr>
          <w:p w14:paraId="47DDED68">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9</w:t>
            </w:r>
          </w:p>
        </w:tc>
        <w:tc>
          <w:tcPr>
            <w:tcW w:w="1945" w:type="dxa"/>
            <w:gridSpan w:val="2"/>
            <w:tcBorders>
              <w:top w:val="nil"/>
              <w:left w:val="nil"/>
              <w:bottom w:val="nil"/>
              <w:right w:val="nil"/>
            </w:tcBorders>
            <w:shd w:val="clear" w:color="auto" w:fill="FFFFFF"/>
            <w:vAlign w:val="center"/>
          </w:tcPr>
          <w:p w14:paraId="6A9A7241">
            <w:pPr>
              <w:widowControl w:val="0"/>
              <w:spacing w:line="240" w:lineRule="auto"/>
              <w:jc w:val="center"/>
              <w:rPr>
                <w:rFonts w:hint="eastAsia" w:ascii="Times New Roman" w:hAnsi="Times New Roman" w:cs="Times New Roman"/>
                <w:color w:val="000000"/>
                <w:sz w:val="20"/>
                <w:szCs w:val="20"/>
              </w:rPr>
            </w:pPr>
            <w:r>
              <w:rPr>
                <w:rFonts w:hint="eastAsia" w:ascii="Times New Roman" w:hAnsi="Times New Roman" w:cs="Times New Roman"/>
                <w:color w:val="000000"/>
                <w:sz w:val="20"/>
                <w:szCs w:val="20"/>
              </w:rPr>
              <w:t>2.</w:t>
            </w:r>
            <w:r>
              <w:rPr>
                <w:rFonts w:hint="eastAsia" w:ascii="Times New Roman" w:hAnsi="Times New Roman" w:cs="Times New Roman"/>
                <w:color w:val="000000"/>
                <w:sz w:val="20"/>
                <w:szCs w:val="20"/>
                <w:lang w:val="en-US" w:eastAsia="zh-CN"/>
              </w:rPr>
              <w:t>19</w:t>
            </w:r>
            <w:r>
              <w:rPr>
                <w:rFonts w:hint="eastAsia"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0.93-5.15</w:t>
            </w:r>
            <w:r>
              <w:rPr>
                <w:rFonts w:hint="eastAsia" w:ascii="Times New Roman" w:hAnsi="Times New Roman" w:cs="Times New Roman"/>
                <w:color w:val="000000"/>
                <w:sz w:val="20"/>
                <w:szCs w:val="20"/>
              </w:rPr>
              <w:t>)</w:t>
            </w:r>
          </w:p>
        </w:tc>
        <w:tc>
          <w:tcPr>
            <w:tcW w:w="969" w:type="dxa"/>
            <w:tcBorders>
              <w:top w:val="nil"/>
              <w:left w:val="nil"/>
              <w:bottom w:val="nil"/>
              <w:right w:val="single" w:color="auto" w:sz="4" w:space="0"/>
            </w:tcBorders>
            <w:shd w:val="clear" w:color="auto" w:fill="FFFFFF"/>
            <w:vAlign w:val="center"/>
          </w:tcPr>
          <w:p w14:paraId="3D0AAF99">
            <w:pPr>
              <w:widowControl w:val="0"/>
              <w:spacing w:line="240" w:lineRule="auto"/>
              <w:jc w:val="center"/>
              <w:rPr>
                <w:rFonts w:hint="eastAsia" w:ascii="Times New Roman" w:hAnsi="Times New Roman" w:cs="Times New Roman"/>
                <w:color w:val="000000"/>
                <w:sz w:val="20"/>
                <w:szCs w:val="20"/>
              </w:rPr>
            </w:pPr>
            <w:r>
              <w:rPr>
                <w:rFonts w:hint="eastAsia" w:ascii="Times New Roman" w:hAnsi="Times New Roman" w:cs="Times New Roman"/>
                <w:color w:val="000000"/>
                <w:sz w:val="20"/>
                <w:szCs w:val="20"/>
              </w:rPr>
              <w:t>0.0</w:t>
            </w:r>
            <w:r>
              <w:rPr>
                <w:rFonts w:hint="eastAsia" w:ascii="Times New Roman" w:hAnsi="Times New Roman" w:cs="Times New Roman"/>
                <w:color w:val="000000"/>
                <w:sz w:val="20"/>
                <w:szCs w:val="20"/>
                <w:lang w:val="en-US" w:eastAsia="zh-CN"/>
              </w:rPr>
              <w:t>7</w:t>
            </w:r>
          </w:p>
        </w:tc>
      </w:tr>
      <w:tr w14:paraId="4933C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1F86A569">
            <w:pPr>
              <w:widowControl w:val="0"/>
              <w:spacing w:line="240" w:lineRule="auto"/>
              <w:ind w:firstLine="200" w:firstLineChars="100"/>
              <w:jc w:val="left"/>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T</w:t>
            </w:r>
          </w:p>
        </w:tc>
        <w:tc>
          <w:tcPr>
            <w:tcW w:w="1928" w:type="dxa"/>
            <w:tcBorders>
              <w:top w:val="nil"/>
              <w:left w:val="nil"/>
              <w:bottom w:val="nil"/>
              <w:right w:val="nil"/>
            </w:tcBorders>
            <w:shd w:val="clear" w:color="auto" w:fill="FFFFFF"/>
            <w:vAlign w:val="center"/>
          </w:tcPr>
          <w:p w14:paraId="66707700">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5</w:t>
            </w:r>
            <w:r>
              <w:rPr>
                <w:rFonts w:hint="default"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0.44-2.51</w:t>
            </w:r>
            <w:r>
              <w:rPr>
                <w:rFonts w:hint="default" w:ascii="Times New Roman" w:hAnsi="Times New Roman" w:cs="Times New Roman"/>
                <w:color w:val="000000"/>
                <w:sz w:val="20"/>
                <w:szCs w:val="20"/>
              </w:rPr>
              <w:t>)</w:t>
            </w:r>
          </w:p>
        </w:tc>
        <w:tc>
          <w:tcPr>
            <w:tcW w:w="960" w:type="dxa"/>
            <w:tcBorders>
              <w:top w:val="nil"/>
              <w:left w:val="nil"/>
              <w:bottom w:val="nil"/>
              <w:right w:val="nil"/>
            </w:tcBorders>
            <w:shd w:val="clear" w:color="auto" w:fill="FFFFFF"/>
            <w:vAlign w:val="center"/>
          </w:tcPr>
          <w:p w14:paraId="1361E7B2">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91</w:t>
            </w:r>
          </w:p>
        </w:tc>
        <w:tc>
          <w:tcPr>
            <w:tcW w:w="1944" w:type="dxa"/>
            <w:tcBorders>
              <w:top w:val="nil"/>
              <w:left w:val="nil"/>
              <w:bottom w:val="nil"/>
              <w:right w:val="nil"/>
            </w:tcBorders>
            <w:shd w:val="clear" w:color="auto" w:fill="FFFFFF"/>
            <w:vAlign w:val="center"/>
          </w:tcPr>
          <w:p w14:paraId="052C8337">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0.9</w:t>
            </w:r>
            <w:r>
              <w:rPr>
                <w:rFonts w:hint="default"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0.38-2.12</w:t>
            </w:r>
            <w:r>
              <w:rPr>
                <w:rFonts w:hint="default" w:ascii="Times New Roman" w:hAnsi="Times New Roman" w:cs="Times New Roman"/>
                <w:color w:val="000000"/>
                <w:sz w:val="20"/>
                <w:szCs w:val="20"/>
              </w:rPr>
              <w:t>)</w:t>
            </w:r>
          </w:p>
        </w:tc>
        <w:tc>
          <w:tcPr>
            <w:tcW w:w="972" w:type="dxa"/>
            <w:tcBorders>
              <w:top w:val="nil"/>
              <w:left w:val="nil"/>
              <w:bottom w:val="nil"/>
              <w:right w:val="nil"/>
            </w:tcBorders>
            <w:shd w:val="clear" w:color="auto" w:fill="FFFFFF"/>
            <w:vAlign w:val="center"/>
          </w:tcPr>
          <w:p w14:paraId="78F6E57B">
            <w:pPr>
              <w:widowControl w:val="0"/>
              <w:spacing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82</w:t>
            </w:r>
          </w:p>
        </w:tc>
        <w:tc>
          <w:tcPr>
            <w:tcW w:w="1945" w:type="dxa"/>
            <w:gridSpan w:val="2"/>
            <w:tcBorders>
              <w:top w:val="nil"/>
              <w:left w:val="nil"/>
              <w:bottom w:val="nil"/>
              <w:right w:val="nil"/>
            </w:tcBorders>
            <w:shd w:val="clear" w:color="auto" w:fill="FFFFFF"/>
            <w:vAlign w:val="center"/>
          </w:tcPr>
          <w:p w14:paraId="135C7744">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1.08</w:t>
            </w:r>
            <w:r>
              <w:rPr>
                <w:rFonts w:hint="default" w:ascii="Times New Roman" w:hAnsi="Times New Roman" w:cs="Times New Roman"/>
                <w:color w:val="000000"/>
                <w:sz w:val="20"/>
                <w:szCs w:val="20"/>
              </w:rPr>
              <w:t xml:space="preserve"> (</w:t>
            </w:r>
            <w:r>
              <w:rPr>
                <w:rFonts w:hint="eastAsia" w:ascii="Times New Roman" w:hAnsi="Times New Roman" w:cs="Times New Roman"/>
                <w:color w:val="000000"/>
                <w:sz w:val="20"/>
                <w:szCs w:val="20"/>
                <w:lang w:val="en-US" w:eastAsia="zh-CN"/>
              </w:rPr>
              <w:t>0.45-2.59</w:t>
            </w:r>
            <w:r>
              <w:rPr>
                <w:rFonts w:hint="default" w:ascii="Times New Roman" w:hAnsi="Times New Roman" w:cs="Times New Roman"/>
                <w:color w:val="000000"/>
                <w:sz w:val="20"/>
                <w:szCs w:val="20"/>
              </w:rPr>
              <w:t>)</w:t>
            </w:r>
          </w:p>
        </w:tc>
        <w:tc>
          <w:tcPr>
            <w:tcW w:w="969" w:type="dxa"/>
            <w:tcBorders>
              <w:top w:val="nil"/>
              <w:left w:val="nil"/>
              <w:bottom w:val="nil"/>
              <w:right w:val="single" w:color="auto" w:sz="4" w:space="0"/>
            </w:tcBorders>
            <w:shd w:val="clear" w:color="auto" w:fill="FFFFFF"/>
            <w:vAlign w:val="center"/>
          </w:tcPr>
          <w:p w14:paraId="72E1DAE9">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87</w:t>
            </w:r>
          </w:p>
        </w:tc>
      </w:tr>
      <w:tr w14:paraId="7983E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231BF84E">
            <w:pPr>
              <w:widowControl w:val="0"/>
              <w:spacing w:line="240" w:lineRule="auto"/>
              <w:ind w:firstLine="200" w:firstLineChars="100"/>
              <w:jc w:val="left"/>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CCBs</w:t>
            </w:r>
          </w:p>
        </w:tc>
        <w:tc>
          <w:tcPr>
            <w:tcW w:w="1928" w:type="dxa"/>
            <w:tcBorders>
              <w:top w:val="nil"/>
              <w:left w:val="nil"/>
              <w:bottom w:val="nil"/>
              <w:right w:val="nil"/>
            </w:tcBorders>
            <w:shd w:val="clear" w:color="auto" w:fill="FFFFFF"/>
            <w:vAlign w:val="center"/>
          </w:tcPr>
          <w:p w14:paraId="7123D18C">
            <w:pPr>
              <w:widowControl w:val="0"/>
              <w:spacing w:line="240" w:lineRule="auto"/>
              <w:jc w:val="center"/>
              <w:rPr>
                <w:rFonts w:hint="default" w:ascii="Times New Roman" w:hAnsi="Times New Roman" w:cs="Times New Roman"/>
                <w:color w:val="000000"/>
                <w:sz w:val="20"/>
                <w:szCs w:val="20"/>
              </w:rPr>
            </w:pPr>
          </w:p>
        </w:tc>
        <w:tc>
          <w:tcPr>
            <w:tcW w:w="960" w:type="dxa"/>
            <w:tcBorders>
              <w:top w:val="nil"/>
              <w:left w:val="nil"/>
              <w:bottom w:val="nil"/>
              <w:right w:val="nil"/>
            </w:tcBorders>
            <w:shd w:val="clear" w:color="auto" w:fill="FFFFFF"/>
            <w:vAlign w:val="center"/>
          </w:tcPr>
          <w:p w14:paraId="40962CE5">
            <w:pPr>
              <w:widowControl w:val="0"/>
              <w:spacing w:line="240" w:lineRule="auto"/>
              <w:jc w:val="center"/>
              <w:rPr>
                <w:rFonts w:hint="default" w:ascii="Times New Roman" w:hAnsi="Times New Roman" w:cs="Times New Roman"/>
                <w:color w:val="000000"/>
                <w:sz w:val="20"/>
                <w:szCs w:val="20"/>
              </w:rPr>
            </w:pPr>
          </w:p>
        </w:tc>
        <w:tc>
          <w:tcPr>
            <w:tcW w:w="1944" w:type="dxa"/>
            <w:tcBorders>
              <w:top w:val="nil"/>
              <w:left w:val="nil"/>
              <w:bottom w:val="nil"/>
              <w:right w:val="nil"/>
            </w:tcBorders>
            <w:shd w:val="clear" w:color="auto" w:fill="FFFFFF"/>
            <w:vAlign w:val="center"/>
          </w:tcPr>
          <w:p w14:paraId="380044E9">
            <w:pPr>
              <w:widowControl w:val="0"/>
              <w:spacing w:line="240" w:lineRule="auto"/>
              <w:jc w:val="center"/>
              <w:rPr>
                <w:rFonts w:hint="default" w:ascii="Times New Roman" w:hAnsi="Times New Roman" w:cs="Times New Roman"/>
                <w:color w:val="000000"/>
                <w:sz w:val="20"/>
                <w:szCs w:val="20"/>
              </w:rPr>
            </w:pPr>
          </w:p>
        </w:tc>
        <w:tc>
          <w:tcPr>
            <w:tcW w:w="972" w:type="dxa"/>
            <w:tcBorders>
              <w:top w:val="nil"/>
              <w:left w:val="nil"/>
              <w:bottom w:val="nil"/>
              <w:right w:val="nil"/>
            </w:tcBorders>
            <w:shd w:val="clear" w:color="auto" w:fill="FFFFFF"/>
            <w:vAlign w:val="center"/>
          </w:tcPr>
          <w:p w14:paraId="2D76BD6E">
            <w:pPr>
              <w:widowControl w:val="0"/>
              <w:spacing w:line="240" w:lineRule="auto"/>
              <w:jc w:val="center"/>
              <w:rPr>
                <w:rFonts w:hint="default" w:ascii="Times New Roman" w:hAnsi="Times New Roman" w:cs="Times New Roman"/>
                <w:color w:val="000000"/>
                <w:sz w:val="20"/>
                <w:szCs w:val="20"/>
              </w:rPr>
            </w:pPr>
          </w:p>
        </w:tc>
        <w:tc>
          <w:tcPr>
            <w:tcW w:w="1945" w:type="dxa"/>
            <w:gridSpan w:val="2"/>
            <w:tcBorders>
              <w:top w:val="nil"/>
              <w:left w:val="nil"/>
              <w:bottom w:val="nil"/>
              <w:right w:val="nil"/>
            </w:tcBorders>
            <w:shd w:val="clear" w:color="auto" w:fill="FFFFFF"/>
            <w:vAlign w:val="center"/>
          </w:tcPr>
          <w:p w14:paraId="1E2D9405">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2.14 (1.01</w:t>
            </w:r>
            <w:r>
              <w:rPr>
                <w:rFonts w:hint="eastAsia" w:ascii="Times New Roman" w:hAnsi="Times New Roman" w:cs="Times New Roman"/>
                <w:color w:val="000000"/>
                <w:sz w:val="20"/>
                <w:szCs w:val="20"/>
                <w:lang w:val="en-US" w:eastAsia="zh-CN"/>
              </w:rPr>
              <w:t>-</w:t>
            </w:r>
            <w:r>
              <w:rPr>
                <w:rFonts w:hint="default" w:ascii="Times New Roman" w:hAnsi="Times New Roman" w:cs="Times New Roman"/>
                <w:color w:val="000000"/>
                <w:sz w:val="20"/>
                <w:szCs w:val="20"/>
              </w:rPr>
              <w:t>4.51)</w:t>
            </w:r>
          </w:p>
        </w:tc>
        <w:tc>
          <w:tcPr>
            <w:tcW w:w="969" w:type="dxa"/>
            <w:tcBorders>
              <w:top w:val="nil"/>
              <w:left w:val="nil"/>
              <w:bottom w:val="nil"/>
              <w:right w:val="single" w:color="auto" w:sz="4" w:space="0"/>
            </w:tcBorders>
            <w:shd w:val="clear" w:color="auto" w:fill="FFFFFF"/>
            <w:vAlign w:val="center"/>
          </w:tcPr>
          <w:p w14:paraId="662D90C2">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0.046</w:t>
            </w:r>
          </w:p>
        </w:tc>
      </w:tr>
      <w:tr w14:paraId="4FA8D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1A143444">
            <w:pPr>
              <w:widowControl w:val="0"/>
              <w:spacing w:line="240" w:lineRule="auto"/>
              <w:ind w:firstLine="200" w:firstLineChars="100"/>
              <w:jc w:val="left"/>
              <w:rPr>
                <w:rFonts w:hint="default" w:ascii="Times New Roman" w:hAnsi="Times New Roman" w:cs="Times New Roman" w:eastAsiaTheme="minorEastAsia"/>
                <w:color w:val="000000"/>
                <w:sz w:val="20"/>
                <w:szCs w:val="20"/>
                <w:lang w:val="en-US" w:eastAsia="zh-CN"/>
              </w:rPr>
            </w:pPr>
            <w:r>
              <w:rPr>
                <w:rFonts w:hint="default" w:ascii="Times New Roman" w:hAnsi="Times New Roman" w:cs="Times New Roman"/>
                <w:color w:val="000000"/>
                <w:sz w:val="20"/>
                <w:szCs w:val="20"/>
              </w:rPr>
              <w:t>Single-nephron eGFR​</w:t>
            </w:r>
          </w:p>
        </w:tc>
        <w:tc>
          <w:tcPr>
            <w:tcW w:w="1928" w:type="dxa"/>
            <w:tcBorders>
              <w:top w:val="nil"/>
              <w:left w:val="nil"/>
              <w:bottom w:val="nil"/>
              <w:right w:val="nil"/>
            </w:tcBorders>
            <w:shd w:val="clear" w:color="auto" w:fill="FFFFFF"/>
            <w:vAlign w:val="center"/>
          </w:tcPr>
          <w:p w14:paraId="17B11084">
            <w:pPr>
              <w:widowControl w:val="0"/>
              <w:spacing w:line="240" w:lineRule="auto"/>
              <w:jc w:val="center"/>
              <w:rPr>
                <w:rFonts w:hint="default" w:ascii="Times New Roman" w:hAnsi="Times New Roman" w:cs="Times New Roman"/>
                <w:color w:val="000000"/>
                <w:sz w:val="20"/>
                <w:szCs w:val="20"/>
              </w:rPr>
            </w:pPr>
          </w:p>
        </w:tc>
        <w:tc>
          <w:tcPr>
            <w:tcW w:w="960" w:type="dxa"/>
            <w:tcBorders>
              <w:top w:val="nil"/>
              <w:left w:val="nil"/>
              <w:bottom w:val="nil"/>
              <w:right w:val="nil"/>
            </w:tcBorders>
            <w:shd w:val="clear" w:color="auto" w:fill="FFFFFF"/>
            <w:vAlign w:val="center"/>
          </w:tcPr>
          <w:p w14:paraId="73C3411B">
            <w:pPr>
              <w:widowControl w:val="0"/>
              <w:spacing w:line="240" w:lineRule="auto"/>
              <w:jc w:val="center"/>
              <w:rPr>
                <w:rFonts w:hint="default" w:ascii="Times New Roman" w:hAnsi="Times New Roman" w:cs="Times New Roman"/>
                <w:color w:val="000000"/>
                <w:sz w:val="20"/>
                <w:szCs w:val="20"/>
              </w:rPr>
            </w:pPr>
          </w:p>
        </w:tc>
        <w:tc>
          <w:tcPr>
            <w:tcW w:w="1944" w:type="dxa"/>
            <w:tcBorders>
              <w:top w:val="nil"/>
              <w:left w:val="nil"/>
              <w:bottom w:val="nil"/>
              <w:right w:val="nil"/>
            </w:tcBorders>
            <w:shd w:val="clear" w:color="auto" w:fill="FFFFFF"/>
            <w:vAlign w:val="center"/>
          </w:tcPr>
          <w:p w14:paraId="60D8E5B4">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3</w:t>
            </w:r>
            <w:r>
              <w:rPr>
                <w:rFonts w:hint="default" w:ascii="Times New Roman" w:hAnsi="Times New Roman" w:cs="Times New Roman"/>
                <w:color w:val="000000"/>
                <w:sz w:val="20"/>
                <w:szCs w:val="20"/>
              </w:rPr>
              <w:t>)</w:t>
            </w:r>
          </w:p>
        </w:tc>
        <w:tc>
          <w:tcPr>
            <w:tcW w:w="972" w:type="dxa"/>
            <w:tcBorders>
              <w:top w:val="nil"/>
              <w:left w:val="nil"/>
              <w:bottom w:val="nil"/>
              <w:right w:val="nil"/>
            </w:tcBorders>
            <w:shd w:val="clear" w:color="auto" w:fill="FFFFFF"/>
            <w:vAlign w:val="center"/>
          </w:tcPr>
          <w:p w14:paraId="45B36F6A">
            <w:pPr>
              <w:widowControl w:val="0"/>
              <w:spacing w:line="240" w:lineRule="auto"/>
              <w:jc w:val="center"/>
              <w:rPr>
                <w:rFonts w:hint="default" w:ascii="Times New Roman" w:hAnsi="Times New Roman" w:cs="Times New Roman"/>
                <w:color w:val="000000"/>
                <w:sz w:val="20"/>
                <w:szCs w:val="20"/>
                <w:lang w:val="en-US"/>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09</w:t>
            </w:r>
          </w:p>
        </w:tc>
        <w:tc>
          <w:tcPr>
            <w:tcW w:w="1945" w:type="dxa"/>
            <w:gridSpan w:val="2"/>
            <w:tcBorders>
              <w:top w:val="nil"/>
              <w:left w:val="nil"/>
              <w:bottom w:val="nil"/>
              <w:right w:val="nil"/>
            </w:tcBorders>
            <w:shd w:val="clear" w:color="auto" w:fill="FFFFFF"/>
            <w:vAlign w:val="center"/>
          </w:tcPr>
          <w:p w14:paraId="3131454C">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1.02 (1.0</w:t>
            </w:r>
            <w:r>
              <w:rPr>
                <w:rFonts w:hint="eastAsia" w:ascii="Times New Roman" w:hAnsi="Times New Roman" w:cs="Times New Roman"/>
                <w:color w:val="000000"/>
                <w:sz w:val="20"/>
                <w:szCs w:val="20"/>
                <w:lang w:val="en-US" w:eastAsia="zh-CN"/>
              </w:rPr>
              <w:t>1</w:t>
            </w:r>
            <w:r>
              <w:rPr>
                <w:rFonts w:hint="default" w:ascii="Times New Roman" w:hAnsi="Times New Roman" w:cs="Times New Roman"/>
                <w:color w:val="000000"/>
                <w:sz w:val="20"/>
                <w:szCs w:val="20"/>
              </w:rPr>
              <w:t>-1.0</w:t>
            </w:r>
            <w:r>
              <w:rPr>
                <w:rFonts w:hint="eastAsia" w:ascii="Times New Roman" w:hAnsi="Times New Roman" w:cs="Times New Roman"/>
                <w:color w:val="000000"/>
                <w:sz w:val="20"/>
                <w:szCs w:val="20"/>
                <w:lang w:val="en-US" w:eastAsia="zh-CN"/>
              </w:rPr>
              <w:t>3</w:t>
            </w:r>
            <w:r>
              <w:rPr>
                <w:rFonts w:hint="default" w:ascii="Times New Roman" w:hAnsi="Times New Roman" w:cs="Times New Roman"/>
                <w:color w:val="000000"/>
                <w:sz w:val="20"/>
                <w:szCs w:val="20"/>
              </w:rPr>
              <w:t>)</w:t>
            </w:r>
          </w:p>
        </w:tc>
        <w:tc>
          <w:tcPr>
            <w:tcW w:w="969" w:type="dxa"/>
            <w:tcBorders>
              <w:top w:val="nil"/>
              <w:left w:val="nil"/>
              <w:bottom w:val="nil"/>
              <w:right w:val="single" w:color="auto" w:sz="4" w:space="0"/>
            </w:tcBorders>
            <w:shd w:val="clear" w:color="auto" w:fill="FFFFFF"/>
            <w:vAlign w:val="center"/>
          </w:tcPr>
          <w:p w14:paraId="436E3452">
            <w:pPr>
              <w:widowControl w:val="0"/>
              <w:spacing w:line="240" w:lineRule="auto"/>
              <w:jc w:val="center"/>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0.</w:t>
            </w:r>
            <w:r>
              <w:rPr>
                <w:rFonts w:hint="eastAsia" w:ascii="Times New Roman" w:hAnsi="Times New Roman" w:cs="Times New Roman"/>
                <w:color w:val="000000"/>
                <w:sz w:val="20"/>
                <w:szCs w:val="20"/>
              </w:rPr>
              <w:t>0</w:t>
            </w:r>
            <w:r>
              <w:rPr>
                <w:rFonts w:hint="eastAsia" w:ascii="Times New Roman" w:hAnsi="Times New Roman" w:cs="Times New Roman"/>
                <w:color w:val="000000"/>
                <w:sz w:val="20"/>
                <w:szCs w:val="20"/>
                <w:lang w:val="en-US" w:eastAsia="zh-CN"/>
              </w:rPr>
              <w:t>1</w:t>
            </w:r>
          </w:p>
        </w:tc>
      </w:tr>
      <w:tr w14:paraId="716F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1439" w:type="dxa"/>
            <w:gridSpan w:val="8"/>
            <w:tcBorders>
              <w:top w:val="nil"/>
              <w:left w:val="single" w:color="auto" w:sz="4" w:space="0"/>
              <w:bottom w:val="nil"/>
              <w:right w:val="single" w:color="auto" w:sz="4" w:space="0"/>
            </w:tcBorders>
            <w:shd w:val="clear" w:color="auto" w:fill="FFFFFF"/>
            <w:vAlign w:val="center"/>
          </w:tcPr>
          <w:p w14:paraId="50640604">
            <w:pPr>
              <w:widowControl w:val="0"/>
              <w:spacing w:line="240" w:lineRule="auto"/>
              <w:ind w:firstLine="200" w:firstLineChars="100"/>
              <w:jc w:val="both"/>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Model Performance​</w:t>
            </w:r>
          </w:p>
        </w:tc>
      </w:tr>
      <w:tr w14:paraId="2913A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nil"/>
              <w:right w:val="nil"/>
            </w:tcBorders>
            <w:shd w:val="clear" w:color="auto" w:fill="FFFFFF"/>
            <w:vAlign w:val="center"/>
          </w:tcPr>
          <w:p w14:paraId="709B7085">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C-index (Training cohort)</w:t>
            </w:r>
          </w:p>
        </w:tc>
        <w:tc>
          <w:tcPr>
            <w:tcW w:w="2888" w:type="dxa"/>
            <w:gridSpan w:val="2"/>
            <w:tcBorders>
              <w:top w:val="nil"/>
              <w:left w:val="nil"/>
              <w:bottom w:val="nil"/>
              <w:right w:val="nil"/>
            </w:tcBorders>
            <w:shd w:val="clear" w:color="auto" w:fill="FFFFFF"/>
            <w:vAlign w:val="center"/>
          </w:tcPr>
          <w:p w14:paraId="0D8DC2C3">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0.73</w:t>
            </w:r>
          </w:p>
        </w:tc>
        <w:tc>
          <w:tcPr>
            <w:tcW w:w="2916" w:type="dxa"/>
            <w:gridSpan w:val="2"/>
            <w:tcBorders>
              <w:top w:val="nil"/>
              <w:left w:val="nil"/>
              <w:bottom w:val="nil"/>
              <w:right w:val="nil"/>
            </w:tcBorders>
            <w:shd w:val="clear" w:color="auto" w:fill="FFFFFF"/>
            <w:vAlign w:val="center"/>
          </w:tcPr>
          <w:p w14:paraId="3B471705">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0.76</w:t>
            </w:r>
          </w:p>
        </w:tc>
        <w:tc>
          <w:tcPr>
            <w:tcW w:w="2914" w:type="dxa"/>
            <w:gridSpan w:val="3"/>
            <w:tcBorders>
              <w:top w:val="nil"/>
              <w:left w:val="nil"/>
              <w:bottom w:val="nil"/>
              <w:right w:val="single" w:color="auto" w:sz="4" w:space="0"/>
            </w:tcBorders>
            <w:shd w:val="clear" w:color="auto" w:fill="FFFFFF"/>
            <w:vAlign w:val="center"/>
          </w:tcPr>
          <w:p w14:paraId="1563712F">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0.77</w:t>
            </w:r>
          </w:p>
        </w:tc>
      </w:tr>
      <w:tr w14:paraId="1C8C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721" w:type="dxa"/>
            <w:tcBorders>
              <w:top w:val="nil"/>
              <w:left w:val="single" w:color="auto" w:sz="4" w:space="0"/>
              <w:bottom w:val="single" w:color="auto" w:sz="4" w:space="0"/>
              <w:right w:val="nil"/>
            </w:tcBorders>
            <w:shd w:val="clear" w:color="auto" w:fill="FFFFFF"/>
            <w:vAlign w:val="center"/>
          </w:tcPr>
          <w:p w14:paraId="16305450">
            <w:pPr>
              <w:widowControl w:val="0"/>
              <w:spacing w:line="240" w:lineRule="auto"/>
              <w:ind w:firstLine="200" w:firstLineChars="100"/>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rPr>
              <w:t>C-index (Validation cohort)</w:t>
            </w:r>
          </w:p>
        </w:tc>
        <w:tc>
          <w:tcPr>
            <w:tcW w:w="2888" w:type="dxa"/>
            <w:gridSpan w:val="2"/>
            <w:tcBorders>
              <w:top w:val="nil"/>
              <w:left w:val="nil"/>
              <w:bottom w:val="single" w:color="auto" w:sz="4" w:space="0"/>
              <w:right w:val="nil"/>
            </w:tcBorders>
            <w:shd w:val="clear" w:color="auto" w:fill="FFFFFF"/>
            <w:vAlign w:val="center"/>
          </w:tcPr>
          <w:p w14:paraId="334BA30F">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0.48</w:t>
            </w:r>
          </w:p>
        </w:tc>
        <w:tc>
          <w:tcPr>
            <w:tcW w:w="2916" w:type="dxa"/>
            <w:gridSpan w:val="2"/>
            <w:tcBorders>
              <w:top w:val="nil"/>
              <w:left w:val="nil"/>
              <w:bottom w:val="single" w:color="auto" w:sz="4" w:space="0"/>
              <w:right w:val="nil"/>
            </w:tcBorders>
            <w:shd w:val="clear" w:color="auto" w:fill="FFFFFF"/>
            <w:vAlign w:val="center"/>
          </w:tcPr>
          <w:p w14:paraId="0BE04C9A">
            <w:pPr>
              <w:widowControl w:val="0"/>
              <w:spacing w:line="240" w:lineRule="auto"/>
              <w:jc w:val="center"/>
              <w:rPr>
                <w:rFonts w:hint="default" w:ascii="Times New Roman" w:hAnsi="Times New Roman" w:cs="Times New Roman" w:eastAsiaTheme="minorEastAsia"/>
                <w:color w:val="000000"/>
                <w:sz w:val="20"/>
                <w:szCs w:val="20"/>
                <w:lang w:val="en-US" w:eastAsia="zh-CN"/>
              </w:rPr>
            </w:pPr>
            <w:r>
              <w:rPr>
                <w:rFonts w:hint="eastAsia" w:ascii="Times New Roman" w:hAnsi="Times New Roman" w:cs="Times New Roman"/>
                <w:color w:val="000000"/>
                <w:sz w:val="20"/>
                <w:szCs w:val="20"/>
                <w:lang w:val="en-US" w:eastAsia="zh-CN"/>
              </w:rPr>
              <w:t>0.51</w:t>
            </w:r>
          </w:p>
        </w:tc>
        <w:tc>
          <w:tcPr>
            <w:tcW w:w="2914" w:type="dxa"/>
            <w:gridSpan w:val="3"/>
            <w:tcBorders>
              <w:top w:val="nil"/>
              <w:left w:val="nil"/>
              <w:bottom w:val="single" w:color="auto" w:sz="4" w:space="0"/>
              <w:right w:val="single" w:color="auto" w:sz="4" w:space="0"/>
            </w:tcBorders>
            <w:shd w:val="clear" w:color="auto" w:fill="FFFFFF"/>
            <w:vAlign w:val="center"/>
          </w:tcPr>
          <w:p w14:paraId="4C4C4AAC">
            <w:pPr>
              <w:widowControl w:val="0"/>
              <w:spacing w:line="240" w:lineRule="auto"/>
              <w:jc w:val="center"/>
              <w:rPr>
                <w:rFonts w:hint="default" w:ascii="Times New Roman" w:hAnsi="Times New Roman" w:cs="Times New Roman"/>
                <w:color w:val="000000"/>
                <w:sz w:val="20"/>
                <w:szCs w:val="20"/>
              </w:rPr>
            </w:pPr>
            <w:r>
              <w:rPr>
                <w:rFonts w:hint="eastAsia" w:ascii="Times New Roman" w:hAnsi="Times New Roman" w:cs="Times New Roman"/>
                <w:color w:val="000000"/>
                <w:sz w:val="20"/>
                <w:szCs w:val="20"/>
                <w:lang w:val="en-US" w:eastAsia="zh-CN"/>
              </w:rPr>
              <w:t>0.57</w:t>
            </w:r>
          </w:p>
        </w:tc>
      </w:tr>
    </w:tbl>
    <w:p w14:paraId="3B4F4C50">
      <w:pPr>
        <w:widowControl/>
        <w:spacing w:line="360" w:lineRule="exact"/>
        <w:outlineLvl w:val="0"/>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p>
    <w:tbl>
      <w:tblPr>
        <w:tblStyle w:val="11"/>
        <w:tblpPr w:leftFromText="180" w:rightFromText="180" w:vertAnchor="page" w:horzAnchor="page" w:tblpX="1616" w:tblpY="1653"/>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15"/>
        <w:gridCol w:w="2551"/>
        <w:gridCol w:w="340"/>
        <w:gridCol w:w="2551"/>
      </w:tblGrid>
      <w:tr w14:paraId="3ED0D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8957" w:type="dxa"/>
            <w:gridSpan w:val="4"/>
            <w:tcBorders>
              <w:top w:val="single" w:color="auto" w:sz="4" w:space="0"/>
              <w:left w:val="single" w:color="auto" w:sz="4" w:space="0"/>
              <w:bottom w:val="single" w:color="auto" w:sz="12" w:space="0"/>
              <w:right w:val="single" w:color="auto" w:sz="4" w:space="0"/>
            </w:tcBorders>
            <w:shd w:val="clear" w:color="auto" w:fill="FFFCEF"/>
            <w:vAlign w:val="center"/>
          </w:tcPr>
          <w:p w14:paraId="6BA2B55D">
            <w:pPr>
              <w:jc w:val="left"/>
              <w:rPr>
                <w:rFonts w:ascii="Times New Roman" w:hAnsi="Times New Roman" w:eastAsia="Times New Roman" w:cs="Times New Roman"/>
                <w:color w:val="000000"/>
                <w:sz w:val="22"/>
                <w:szCs w:val="22"/>
              </w:rPr>
            </w:pPr>
            <w:r>
              <w:rPr>
                <w:rFonts w:ascii="Times New Roman" w:hAnsi="Times New Roman" w:eastAsia="Times New Roman" w:cs="Times New Roman"/>
                <w:b/>
                <w:bCs/>
                <w:color w:val="C00000"/>
                <w:sz w:val="22"/>
                <w:szCs w:val="22"/>
              </w:rPr>
              <w:t xml:space="preserve">Table </w:t>
            </w:r>
            <w:r>
              <w:rPr>
                <w:rFonts w:hint="eastAsia" w:ascii="Times New Roman" w:hAnsi="Times New Roman" w:eastAsia="宋体" w:cs="Times New Roman"/>
                <w:b/>
                <w:bCs/>
                <w:color w:val="C00000"/>
                <w:sz w:val="22"/>
                <w:szCs w:val="22"/>
                <w:lang w:val="en-US" w:eastAsia="zh-CN"/>
              </w:rPr>
              <w:t>S5</w:t>
            </w:r>
            <w:r>
              <w:rPr>
                <w:rFonts w:ascii="Times New Roman" w:hAnsi="Times New Roman" w:eastAsia="Times New Roman" w:cs="Times New Roman"/>
                <w:b/>
                <w:bCs/>
                <w:color w:val="C00000"/>
                <w:sz w:val="22"/>
                <w:szCs w:val="22"/>
              </w:rPr>
              <w:t>.</w:t>
            </w:r>
            <w:r>
              <w:rPr>
                <w:rFonts w:ascii="Times New Roman" w:hAnsi="Times New Roman" w:eastAsia="Times New Roman" w:cs="Times New Roman"/>
                <w:b/>
                <w:bCs/>
                <w:sz w:val="22"/>
                <w:szCs w:val="22"/>
              </w:rPr>
              <w:t xml:space="preserve"> </w:t>
            </w:r>
            <w:r>
              <w:rPr>
                <w:rFonts w:hint="eastAsia" w:ascii="Times New Roman" w:hAnsi="Times New Roman" w:eastAsia="Times New Roman" w:cs="Times New Roman"/>
                <w:b/>
                <w:bCs/>
                <w:sz w:val="22"/>
                <w:szCs w:val="22"/>
              </w:rPr>
              <w:t>Sensitivity analyses excluding patients with advanced CKD</w:t>
            </w:r>
          </w:p>
        </w:tc>
      </w:tr>
      <w:tr w14:paraId="72C06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single" w:color="auto" w:sz="4" w:space="0"/>
              <w:right w:val="nil"/>
            </w:tcBorders>
            <w:shd w:val="clear" w:color="auto" w:fill="FFFFFF"/>
            <w:vAlign w:val="center"/>
          </w:tcPr>
          <w:p w14:paraId="5665A12A">
            <w:pPr>
              <w:jc w:val="both"/>
              <w:rPr>
                <w:rFonts w:hint="default" w:ascii="Times New Roman" w:hAnsi="Times New Roman" w:eastAsia="宋体" w:cs="Times New Roman"/>
                <w:color w:val="000000"/>
                <w:sz w:val="20"/>
                <w:szCs w:val="20"/>
                <w:lang w:val="en-US" w:eastAsia="zh-CN"/>
              </w:rPr>
            </w:pPr>
            <w:r>
              <w:rPr>
                <w:rFonts w:hint="default" w:ascii="Times New Roman" w:hAnsi="Times New Roman" w:cs="Times New Roman"/>
                <w:b/>
                <w:bCs/>
                <w:color w:val="000000"/>
                <w:sz w:val="20"/>
                <w:szCs w:val="20"/>
              </w:rPr>
              <w:t>Variable</w:t>
            </w:r>
          </w:p>
        </w:tc>
        <w:tc>
          <w:tcPr>
            <w:tcW w:w="2551" w:type="dxa"/>
            <w:tcBorders>
              <w:top w:val="single" w:color="auto" w:sz="12" w:space="0"/>
              <w:left w:val="nil"/>
              <w:right w:val="nil"/>
            </w:tcBorders>
            <w:shd w:val="clear" w:color="auto" w:fill="FFFFFF"/>
            <w:vAlign w:val="center"/>
          </w:tcPr>
          <w:p w14:paraId="7D038DFE">
            <w:pPr>
              <w:jc w:val="center"/>
              <w:rPr>
                <w:rFonts w:ascii="Times New Roman" w:hAnsi="Times New Roman" w:eastAsia="Times New Roman" w:cs="Times New Roman"/>
                <w:b/>
                <w:bCs/>
                <w:color w:val="000000"/>
                <w:sz w:val="20"/>
                <w:szCs w:val="20"/>
              </w:rPr>
            </w:pPr>
            <w:r>
              <w:rPr>
                <w:rFonts w:hint="eastAsia" w:ascii="Times New Roman" w:hAnsi="Times New Roman" w:eastAsia="宋体" w:cs="Times New Roman"/>
                <w:b/>
                <w:bCs/>
                <w:color w:val="000000"/>
                <w:sz w:val="20"/>
                <w:szCs w:val="20"/>
                <w:lang w:val="en-US" w:eastAsia="zh-CN"/>
              </w:rPr>
              <w:t>All</w:t>
            </w:r>
            <w:r>
              <w:rPr>
                <w:rFonts w:hint="eastAsia" w:ascii="Times New Roman" w:hAnsi="Times New Roman" w:eastAsia="Times New Roman" w:cs="Times New Roman"/>
                <w:b/>
                <w:bCs/>
                <w:color w:val="000000"/>
                <w:sz w:val="20"/>
                <w:szCs w:val="20"/>
              </w:rPr>
              <w:t xml:space="preserve"> (n=190)</w:t>
            </w:r>
          </w:p>
        </w:tc>
        <w:tc>
          <w:tcPr>
            <w:tcW w:w="340" w:type="dxa"/>
            <w:tcBorders>
              <w:top w:val="single" w:color="auto" w:sz="12" w:space="0"/>
              <w:left w:val="nil"/>
              <w:right w:val="nil"/>
            </w:tcBorders>
            <w:shd w:val="clear" w:color="auto" w:fill="FFFFFF"/>
            <w:vAlign w:val="center"/>
          </w:tcPr>
          <w:p w14:paraId="6A460540">
            <w:pPr>
              <w:jc w:val="center"/>
              <w:rPr>
                <w:rFonts w:ascii="Times New Roman" w:hAnsi="Times New Roman" w:eastAsia="Times New Roman" w:cs="Times New Roman"/>
                <w:b/>
                <w:bCs/>
                <w:color w:val="000000"/>
                <w:sz w:val="20"/>
                <w:szCs w:val="20"/>
              </w:rPr>
            </w:pPr>
          </w:p>
        </w:tc>
        <w:tc>
          <w:tcPr>
            <w:tcW w:w="2551" w:type="dxa"/>
            <w:tcBorders>
              <w:top w:val="single" w:color="auto" w:sz="12" w:space="0"/>
              <w:left w:val="nil"/>
              <w:bottom w:val="single" w:color="auto" w:sz="4" w:space="0"/>
              <w:right w:val="single" w:color="auto" w:sz="4" w:space="0"/>
            </w:tcBorders>
            <w:shd w:val="clear" w:color="auto" w:fill="FFFFFF"/>
            <w:vAlign w:val="center"/>
          </w:tcPr>
          <w:p w14:paraId="60528323">
            <w:pPr>
              <w:jc w:val="center"/>
              <w:rPr>
                <w:rFonts w:ascii="Times New Roman" w:hAnsi="Times New Roman" w:eastAsia="Times New Roman" w:cs="Times New Roman"/>
                <w:b/>
                <w:bCs/>
                <w:color w:val="000000"/>
                <w:sz w:val="20"/>
                <w:szCs w:val="20"/>
              </w:rPr>
            </w:pPr>
            <w:r>
              <w:rPr>
                <w:rFonts w:hint="eastAsia" w:ascii="Times New Roman" w:hAnsi="Times New Roman" w:eastAsia="宋体" w:cs="Times New Roman"/>
                <w:b/>
                <w:bCs/>
                <w:color w:val="000000"/>
                <w:sz w:val="20"/>
                <w:szCs w:val="20"/>
                <w:lang w:val="en-US" w:eastAsia="zh-CN"/>
              </w:rPr>
              <w:t>CKD Stage 1-2</w:t>
            </w:r>
            <w:r>
              <w:rPr>
                <w:rFonts w:hint="eastAsia" w:ascii="Times New Roman" w:hAnsi="Times New Roman" w:eastAsia="Times New Roman" w:cs="Times New Roman"/>
                <w:b/>
                <w:bCs/>
                <w:color w:val="000000"/>
                <w:sz w:val="20"/>
                <w:szCs w:val="20"/>
              </w:rPr>
              <w:t xml:space="preserve"> (n=1</w:t>
            </w:r>
            <w:r>
              <w:rPr>
                <w:rFonts w:hint="eastAsia" w:ascii="Times New Roman" w:hAnsi="Times New Roman" w:eastAsia="宋体" w:cs="Times New Roman"/>
                <w:b/>
                <w:bCs/>
                <w:color w:val="000000"/>
                <w:sz w:val="20"/>
                <w:szCs w:val="20"/>
                <w:lang w:val="en-US" w:eastAsia="zh-CN"/>
              </w:rPr>
              <w:t>45</w:t>
            </w:r>
            <w:r>
              <w:rPr>
                <w:rFonts w:hint="eastAsia" w:ascii="Times New Roman" w:hAnsi="Times New Roman" w:eastAsia="Times New Roman" w:cs="Times New Roman"/>
                <w:b/>
                <w:bCs/>
                <w:color w:val="000000"/>
                <w:sz w:val="20"/>
                <w:szCs w:val="20"/>
              </w:rPr>
              <w:t>)</w:t>
            </w:r>
          </w:p>
        </w:tc>
      </w:tr>
      <w:tr w14:paraId="627ED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single" w:color="auto" w:sz="4" w:space="0"/>
              <w:left w:val="single" w:color="auto" w:sz="4" w:space="0"/>
              <w:bottom w:val="nil"/>
              <w:right w:val="nil"/>
            </w:tcBorders>
            <w:shd w:val="clear" w:color="auto" w:fill="FFFFFF"/>
            <w:vAlign w:val="center"/>
          </w:tcPr>
          <w:p w14:paraId="5DAE55E4">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Events, n</w:t>
            </w:r>
          </w:p>
        </w:tc>
        <w:tc>
          <w:tcPr>
            <w:tcW w:w="2551" w:type="dxa"/>
            <w:tcBorders>
              <w:top w:val="single" w:color="auto" w:sz="4" w:space="0"/>
              <w:left w:val="nil"/>
              <w:bottom w:val="nil"/>
              <w:right w:val="nil"/>
            </w:tcBorders>
            <w:shd w:val="clear" w:color="auto" w:fill="FFFFFF"/>
            <w:vAlign w:val="center"/>
          </w:tcPr>
          <w:p w14:paraId="6604124C">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59</w:t>
            </w:r>
          </w:p>
        </w:tc>
        <w:tc>
          <w:tcPr>
            <w:tcW w:w="340" w:type="dxa"/>
            <w:tcBorders>
              <w:top w:val="single" w:color="auto" w:sz="4" w:space="0"/>
              <w:left w:val="nil"/>
              <w:bottom w:val="nil"/>
              <w:right w:val="nil"/>
            </w:tcBorders>
            <w:shd w:val="clear" w:color="auto" w:fill="FFFFFF"/>
            <w:vAlign w:val="center"/>
          </w:tcPr>
          <w:p w14:paraId="542385D1">
            <w:pPr>
              <w:widowControl/>
              <w:spacing w:before="100" w:beforeAutospacing="1" w:after="100" w:afterAutospacing="1"/>
              <w:jc w:val="center"/>
              <w:rPr>
                <w:rFonts w:ascii="Times New Roman" w:hAnsi="Times New Roman" w:eastAsia="Times New Roman" w:cs="Times New Roman"/>
                <w:color w:val="000000"/>
                <w:sz w:val="20"/>
                <w:szCs w:val="20"/>
              </w:rPr>
            </w:pPr>
          </w:p>
        </w:tc>
        <w:tc>
          <w:tcPr>
            <w:tcW w:w="2551" w:type="dxa"/>
            <w:tcBorders>
              <w:top w:val="single" w:color="auto" w:sz="4" w:space="0"/>
              <w:left w:val="nil"/>
              <w:bottom w:val="nil"/>
              <w:right w:val="single" w:color="auto" w:sz="4" w:space="0"/>
            </w:tcBorders>
            <w:shd w:val="clear" w:color="auto" w:fill="FFFFFF"/>
            <w:vAlign w:val="center"/>
          </w:tcPr>
          <w:p w14:paraId="55A0CA1F">
            <w:pPr>
              <w:jc w:val="center"/>
              <w:rPr>
                <w:rFonts w:hint="default" w:ascii="Times New Roman" w:hAnsi="Times New Roman" w:eastAsiaTheme="minorEastAsia"/>
                <w:color w:val="000000"/>
                <w:kern w:val="2"/>
                <w:sz w:val="20"/>
                <w:szCs w:val="20"/>
                <w:lang w:val="en-US" w:eastAsia="zh-CN"/>
              </w:rPr>
            </w:pPr>
            <w:r>
              <w:rPr>
                <w:rFonts w:hint="eastAsia" w:ascii="Times New Roman" w:hAnsi="Times New Roman"/>
                <w:color w:val="000000"/>
                <w:kern w:val="2"/>
                <w:sz w:val="20"/>
                <w:szCs w:val="20"/>
                <w:lang w:val="en-US" w:eastAsia="zh-CN"/>
              </w:rPr>
              <w:t>45</w:t>
            </w:r>
          </w:p>
        </w:tc>
      </w:tr>
      <w:tr w14:paraId="75C80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3A7C9668">
            <w:pPr>
              <w:jc w:val="left"/>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C-index (95% CI)​</w:t>
            </w:r>
          </w:p>
        </w:tc>
        <w:tc>
          <w:tcPr>
            <w:tcW w:w="2551" w:type="dxa"/>
            <w:tcBorders>
              <w:top w:val="nil"/>
              <w:left w:val="nil"/>
              <w:bottom w:val="nil"/>
              <w:right w:val="nil"/>
            </w:tcBorders>
            <w:shd w:val="clear" w:color="auto" w:fill="FFFFFF"/>
            <w:vAlign w:val="center"/>
          </w:tcPr>
          <w:p w14:paraId="3DFC4E1C">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0.76 (0.69-0.82)</w:t>
            </w:r>
          </w:p>
        </w:tc>
        <w:tc>
          <w:tcPr>
            <w:tcW w:w="340" w:type="dxa"/>
            <w:tcBorders>
              <w:top w:val="nil"/>
              <w:left w:val="nil"/>
              <w:bottom w:val="nil"/>
              <w:right w:val="nil"/>
            </w:tcBorders>
            <w:shd w:val="clear" w:color="auto" w:fill="FFFFFF"/>
            <w:vAlign w:val="center"/>
          </w:tcPr>
          <w:p w14:paraId="0A2135B2">
            <w:pPr>
              <w:widowControl/>
              <w:spacing w:before="100" w:beforeAutospacing="1" w:after="100" w:afterAutospacing="1"/>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6170C20C">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olor w:val="000000"/>
                <w:kern w:val="2"/>
                <w:sz w:val="20"/>
                <w:szCs w:val="20"/>
                <w:lang w:val="en-US" w:eastAsia="zh-CN"/>
              </w:rPr>
              <w:t>0.73 (0.67-0.8)</w:t>
            </w:r>
          </w:p>
        </w:tc>
      </w:tr>
      <w:tr w14:paraId="78C87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nil"/>
              <w:right w:val="nil"/>
            </w:tcBorders>
            <w:shd w:val="clear" w:color="auto" w:fill="FFFFFF"/>
            <w:vAlign w:val="center"/>
          </w:tcPr>
          <w:p w14:paraId="765D8962">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HR (95% CI)​</w:t>
            </w:r>
          </w:p>
        </w:tc>
        <w:tc>
          <w:tcPr>
            <w:tcW w:w="2551" w:type="dxa"/>
            <w:tcBorders>
              <w:top w:val="nil"/>
              <w:left w:val="nil"/>
              <w:bottom w:val="nil"/>
              <w:right w:val="nil"/>
            </w:tcBorders>
            <w:shd w:val="clear" w:color="auto" w:fill="FFFFFF"/>
            <w:vAlign w:val="center"/>
          </w:tcPr>
          <w:p w14:paraId="6F92ECEF">
            <w:pPr>
              <w:widowControl/>
              <w:jc w:val="center"/>
              <w:textAlignment w:val="bottom"/>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w:t>
            </w:r>
          </w:p>
        </w:tc>
        <w:tc>
          <w:tcPr>
            <w:tcW w:w="340" w:type="dxa"/>
            <w:tcBorders>
              <w:top w:val="nil"/>
              <w:left w:val="nil"/>
              <w:bottom w:val="nil"/>
              <w:right w:val="nil"/>
            </w:tcBorders>
            <w:shd w:val="clear" w:color="auto" w:fill="FFFFFF"/>
            <w:vAlign w:val="center"/>
          </w:tcPr>
          <w:p w14:paraId="1082AF5C">
            <w:pPr>
              <w:jc w:val="center"/>
              <w:rPr>
                <w:rFonts w:ascii="Times New Roman" w:hAnsi="Times New Roman" w:eastAsia="Times New Roman" w:cs="Times New Roman"/>
                <w:color w:val="000000"/>
                <w:sz w:val="20"/>
                <w:szCs w:val="20"/>
              </w:rPr>
            </w:pPr>
          </w:p>
        </w:tc>
        <w:tc>
          <w:tcPr>
            <w:tcW w:w="2551" w:type="dxa"/>
            <w:tcBorders>
              <w:top w:val="nil"/>
              <w:left w:val="nil"/>
              <w:bottom w:val="nil"/>
              <w:right w:val="single" w:color="auto" w:sz="4" w:space="0"/>
            </w:tcBorders>
            <w:shd w:val="clear" w:color="auto" w:fill="FFFFFF"/>
            <w:vAlign w:val="center"/>
          </w:tcPr>
          <w:p w14:paraId="130043EE">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4.05 (2.04-8.05)</w:t>
            </w:r>
          </w:p>
        </w:tc>
      </w:tr>
      <w:tr w14:paraId="1EDBF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515" w:type="dxa"/>
            <w:tcBorders>
              <w:top w:val="nil"/>
              <w:left w:val="single" w:color="auto" w:sz="4" w:space="0"/>
              <w:bottom w:val="single" w:color="auto" w:sz="4" w:space="0"/>
              <w:right w:val="nil"/>
            </w:tcBorders>
            <w:shd w:val="clear" w:color="auto" w:fill="FFFFFF"/>
            <w:vAlign w:val="center"/>
          </w:tcPr>
          <w:p w14:paraId="5EEE421C">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Times New Roman" w:cs="Times New Roman"/>
                <w:color w:val="000000"/>
                <w:sz w:val="20"/>
                <w:szCs w:val="20"/>
              </w:rPr>
              <w:t>Log-rank P</w:t>
            </w:r>
            <w:r>
              <w:rPr>
                <w:rFonts w:hint="eastAsia" w:ascii="Times New Roman" w:hAnsi="Times New Roman" w:eastAsia="宋体" w:cs="Times New Roman"/>
                <w:color w:val="000000"/>
                <w:sz w:val="20"/>
                <w:szCs w:val="20"/>
                <w:lang w:val="en-US" w:eastAsia="zh-CN"/>
              </w:rPr>
              <w:t xml:space="preserve"> value</w:t>
            </w:r>
          </w:p>
        </w:tc>
        <w:tc>
          <w:tcPr>
            <w:tcW w:w="2551" w:type="dxa"/>
            <w:tcBorders>
              <w:top w:val="nil"/>
              <w:left w:val="nil"/>
              <w:bottom w:val="single" w:color="auto" w:sz="4" w:space="0"/>
              <w:right w:val="nil"/>
            </w:tcBorders>
            <w:shd w:val="clear" w:color="auto" w:fill="FFFFFF"/>
            <w:vAlign w:val="center"/>
          </w:tcPr>
          <w:p w14:paraId="1545B6BB">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&lt;0.001</w:t>
            </w:r>
          </w:p>
        </w:tc>
        <w:tc>
          <w:tcPr>
            <w:tcW w:w="340" w:type="dxa"/>
            <w:tcBorders>
              <w:top w:val="nil"/>
              <w:left w:val="nil"/>
              <w:bottom w:val="single" w:color="auto" w:sz="4" w:space="0"/>
              <w:right w:val="nil"/>
            </w:tcBorders>
            <w:shd w:val="clear" w:color="auto" w:fill="FFFFFF"/>
            <w:vAlign w:val="center"/>
          </w:tcPr>
          <w:p w14:paraId="2232DA06">
            <w:pPr>
              <w:jc w:val="center"/>
              <w:rPr>
                <w:rFonts w:ascii="Times New Roman" w:hAnsi="Times New Roman" w:eastAsia="Times New Roman" w:cs="Times New Roman"/>
                <w:color w:val="000000"/>
                <w:sz w:val="20"/>
                <w:szCs w:val="20"/>
              </w:rPr>
            </w:pPr>
          </w:p>
        </w:tc>
        <w:tc>
          <w:tcPr>
            <w:tcW w:w="2551" w:type="dxa"/>
            <w:tcBorders>
              <w:top w:val="nil"/>
              <w:left w:val="nil"/>
              <w:bottom w:val="single" w:color="auto" w:sz="4" w:space="0"/>
              <w:right w:val="single" w:color="auto" w:sz="4" w:space="0"/>
            </w:tcBorders>
            <w:shd w:val="clear" w:color="auto" w:fill="FFFFFF"/>
            <w:vAlign w:val="center"/>
          </w:tcPr>
          <w:p w14:paraId="0955ED37">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&lt;0.001</w:t>
            </w:r>
          </w:p>
        </w:tc>
      </w:tr>
    </w:tbl>
    <w:p w14:paraId="226A8FB2">
      <w:pPr>
        <w:widowControl/>
        <w:spacing w:line="360" w:lineRule="exact"/>
        <w:outlineLvl w:val="9"/>
        <w:rPr>
          <w:rFonts w:ascii="Times New Roman" w:hAnsi="Times New Roman" w:cs="Times New Roman"/>
          <w:b/>
          <w:bCs/>
          <w:sz w:val="24"/>
        </w:rPr>
      </w:pPr>
    </w:p>
    <w:p w14:paraId="53490F8E">
      <w:pPr>
        <w:widowControl/>
        <w:spacing w:line="360" w:lineRule="exact"/>
        <w:outlineLvl w:val="9"/>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p>
    <w:tbl>
      <w:tblPr>
        <w:tblStyle w:val="11"/>
        <w:tblpPr w:leftFromText="180" w:rightFromText="180" w:vertAnchor="page" w:horzAnchor="page" w:tblpXSpec="center" w:tblpY="1653"/>
        <w:tblW w:w="77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99"/>
        <w:gridCol w:w="2280"/>
        <w:gridCol w:w="2856"/>
      </w:tblGrid>
      <w:tr w14:paraId="3E744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735" w:type="dxa"/>
            <w:gridSpan w:val="3"/>
            <w:tcBorders>
              <w:top w:val="single" w:color="auto" w:sz="4" w:space="0"/>
              <w:left w:val="single" w:color="auto" w:sz="4" w:space="0"/>
              <w:bottom w:val="single" w:color="auto" w:sz="12" w:space="0"/>
              <w:right w:val="single" w:color="auto" w:sz="4" w:space="0"/>
            </w:tcBorders>
            <w:shd w:val="clear" w:color="auto" w:fill="FFFCEF"/>
            <w:vAlign w:val="center"/>
          </w:tcPr>
          <w:p w14:paraId="339D25E5">
            <w:pPr>
              <w:jc w:val="left"/>
              <w:rPr>
                <w:rFonts w:ascii="Times New Roman" w:hAnsi="Times New Roman" w:eastAsia="Times New Roman" w:cs="Times New Roman"/>
                <w:color w:val="000000"/>
                <w:sz w:val="22"/>
                <w:szCs w:val="22"/>
              </w:rPr>
            </w:pPr>
            <w:r>
              <w:rPr>
                <w:rFonts w:ascii="Times New Roman" w:hAnsi="Times New Roman" w:eastAsia="Times New Roman" w:cs="Times New Roman"/>
                <w:b/>
                <w:bCs/>
                <w:color w:val="C00000"/>
                <w:sz w:val="22"/>
                <w:szCs w:val="22"/>
              </w:rPr>
              <w:t xml:space="preserve">Table </w:t>
            </w:r>
            <w:r>
              <w:rPr>
                <w:rFonts w:hint="eastAsia" w:ascii="Times New Roman" w:hAnsi="Times New Roman" w:eastAsia="宋体" w:cs="Times New Roman"/>
                <w:b/>
                <w:bCs/>
                <w:color w:val="C00000"/>
                <w:sz w:val="22"/>
                <w:szCs w:val="22"/>
                <w:lang w:val="en-US" w:eastAsia="zh-CN"/>
              </w:rPr>
              <w:t>S6</w:t>
            </w:r>
            <w:r>
              <w:rPr>
                <w:rFonts w:ascii="Times New Roman" w:hAnsi="Times New Roman" w:eastAsia="Times New Roman" w:cs="Times New Roman"/>
                <w:b/>
                <w:bCs/>
                <w:color w:val="C00000"/>
                <w:sz w:val="22"/>
                <w:szCs w:val="22"/>
              </w:rPr>
              <w:t>.</w:t>
            </w:r>
            <w:r>
              <w:rPr>
                <w:rFonts w:ascii="Times New Roman" w:hAnsi="Times New Roman" w:eastAsia="Times New Roman" w:cs="Times New Roman"/>
                <w:b/>
                <w:bCs/>
                <w:sz w:val="22"/>
                <w:szCs w:val="22"/>
              </w:rPr>
              <w:t xml:space="preserve"> </w:t>
            </w:r>
            <w:r>
              <w:rPr>
                <w:rFonts w:hint="eastAsia" w:ascii="Times New Roman" w:hAnsi="Times New Roman" w:eastAsia="Times New Roman" w:cs="Times New Roman"/>
                <w:b/>
                <w:bCs/>
                <w:sz w:val="22"/>
                <w:szCs w:val="22"/>
              </w:rPr>
              <w:t>Subgroup Analysis of the Nomogram's Discriminative Performance</w:t>
            </w:r>
          </w:p>
        </w:tc>
      </w:tr>
      <w:tr w14:paraId="6B15F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single" w:color="auto" w:sz="4" w:space="0"/>
              <w:right w:val="nil"/>
            </w:tcBorders>
            <w:shd w:val="clear" w:color="auto" w:fill="FFFFFF"/>
            <w:vAlign w:val="center"/>
          </w:tcPr>
          <w:p w14:paraId="5F8E771A">
            <w:pPr>
              <w:jc w:val="both"/>
              <w:rPr>
                <w:rFonts w:hint="default" w:ascii="Times New Roman" w:hAnsi="Times New Roman" w:eastAsia="宋体" w:cs="Times New Roman"/>
                <w:color w:val="000000"/>
                <w:sz w:val="20"/>
                <w:szCs w:val="20"/>
                <w:lang w:val="en-US" w:eastAsia="zh-CN"/>
              </w:rPr>
            </w:pPr>
            <w:r>
              <w:rPr>
                <w:rFonts w:hint="default" w:ascii="Times New Roman" w:hAnsi="Times New Roman" w:cs="Times New Roman"/>
                <w:b/>
                <w:bCs/>
                <w:color w:val="000000"/>
                <w:sz w:val="20"/>
                <w:szCs w:val="20"/>
              </w:rPr>
              <w:t>Subgroup</w:t>
            </w:r>
          </w:p>
        </w:tc>
        <w:tc>
          <w:tcPr>
            <w:tcW w:w="2280" w:type="dxa"/>
            <w:tcBorders>
              <w:top w:val="single" w:color="auto" w:sz="12" w:space="0"/>
              <w:left w:val="nil"/>
              <w:right w:val="nil"/>
            </w:tcBorders>
            <w:shd w:val="clear" w:color="auto" w:fill="FFFFFF"/>
            <w:vAlign w:val="center"/>
          </w:tcPr>
          <w:p w14:paraId="154723B5">
            <w:pPr>
              <w:jc w:val="center"/>
              <w:rPr>
                <w:rFonts w:ascii="Times New Roman" w:hAnsi="Times New Roman" w:eastAsia="Times New Roman" w:cs="Times New Roman"/>
                <w:b/>
                <w:bCs/>
                <w:color w:val="000000"/>
                <w:sz w:val="20"/>
                <w:szCs w:val="20"/>
              </w:rPr>
            </w:pPr>
            <w:r>
              <w:rPr>
                <w:rFonts w:hint="eastAsia" w:ascii="Times New Roman" w:hAnsi="Times New Roman" w:eastAsia="宋体" w:cs="Times New Roman"/>
                <w:b/>
                <w:bCs/>
                <w:color w:val="000000"/>
                <w:sz w:val="20"/>
                <w:szCs w:val="20"/>
                <w:lang w:val="en-US" w:eastAsia="zh-CN"/>
              </w:rPr>
              <w:t>No. of Patients / Events</w:t>
            </w:r>
          </w:p>
        </w:tc>
        <w:tc>
          <w:tcPr>
            <w:tcW w:w="2856" w:type="dxa"/>
            <w:tcBorders>
              <w:top w:val="single" w:color="auto" w:sz="12" w:space="0"/>
              <w:left w:val="nil"/>
              <w:right w:val="nil"/>
            </w:tcBorders>
            <w:shd w:val="clear" w:color="auto" w:fill="FFFFFF"/>
            <w:vAlign w:val="center"/>
          </w:tcPr>
          <w:p w14:paraId="17811E05">
            <w:pPr>
              <w:jc w:val="center"/>
              <w:rPr>
                <w:rFonts w:ascii="Times New Roman" w:hAnsi="Times New Roman" w:eastAsia="Times New Roman" w:cs="Times New Roman"/>
                <w:b/>
                <w:bCs/>
                <w:color w:val="000000"/>
                <w:sz w:val="20"/>
                <w:szCs w:val="20"/>
              </w:rPr>
            </w:pPr>
            <w:r>
              <w:rPr>
                <w:rFonts w:hint="eastAsia" w:ascii="Times New Roman" w:hAnsi="Times New Roman" w:eastAsia="Times New Roman" w:cs="Times New Roman"/>
                <w:b/>
                <w:bCs/>
                <w:color w:val="000000"/>
                <w:sz w:val="20"/>
                <w:szCs w:val="20"/>
              </w:rPr>
              <w:t>C-index (95% CI)</w:t>
            </w:r>
          </w:p>
        </w:tc>
      </w:tr>
      <w:tr w14:paraId="0D673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single" w:color="auto" w:sz="4" w:space="0"/>
              <w:left w:val="single" w:color="auto" w:sz="4" w:space="0"/>
              <w:bottom w:val="nil"/>
              <w:right w:val="nil"/>
            </w:tcBorders>
            <w:shd w:val="clear" w:color="auto" w:fill="FFFFFF"/>
            <w:vAlign w:val="center"/>
          </w:tcPr>
          <w:p w14:paraId="6FA8B1D1">
            <w:pPr>
              <w:jc w:val="left"/>
              <w:rPr>
                <w:rFonts w:hint="default" w:ascii="Times New Roman" w:hAnsi="Times New Roman" w:eastAsia="宋体" w:cs="Times New Roman"/>
                <w:b/>
                <w:bCs/>
                <w:color w:val="000000"/>
                <w:sz w:val="20"/>
                <w:szCs w:val="20"/>
                <w:lang w:val="en-US" w:eastAsia="zh-CN"/>
              </w:rPr>
            </w:pPr>
            <w:r>
              <w:rPr>
                <w:rFonts w:hint="eastAsia" w:ascii="Times New Roman" w:hAnsi="Times New Roman" w:eastAsia="宋体" w:cs="Times New Roman"/>
                <w:b/>
                <w:bCs/>
                <w:color w:val="000000"/>
                <w:sz w:val="20"/>
                <w:szCs w:val="20"/>
                <w:lang w:val="en-US" w:eastAsia="zh-CN"/>
              </w:rPr>
              <w:t>Overall</w:t>
            </w:r>
          </w:p>
        </w:tc>
        <w:tc>
          <w:tcPr>
            <w:tcW w:w="2280" w:type="dxa"/>
            <w:tcBorders>
              <w:top w:val="single" w:color="auto" w:sz="4" w:space="0"/>
              <w:left w:val="nil"/>
              <w:bottom w:val="nil"/>
              <w:right w:val="nil"/>
            </w:tcBorders>
            <w:shd w:val="clear" w:color="auto" w:fill="FFFFFF"/>
            <w:vAlign w:val="center"/>
          </w:tcPr>
          <w:p w14:paraId="1C403AEF">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190/59</w:t>
            </w:r>
          </w:p>
        </w:tc>
        <w:tc>
          <w:tcPr>
            <w:tcW w:w="2856" w:type="dxa"/>
            <w:tcBorders>
              <w:top w:val="single" w:color="auto" w:sz="4" w:space="0"/>
              <w:left w:val="nil"/>
              <w:bottom w:val="nil"/>
              <w:right w:val="nil"/>
            </w:tcBorders>
            <w:shd w:val="clear" w:color="auto" w:fill="FFFFFF"/>
            <w:vAlign w:val="center"/>
          </w:tcPr>
          <w:p w14:paraId="3726B818">
            <w:pPr>
              <w:widowControl/>
              <w:spacing w:before="100" w:beforeAutospacing="1" w:after="100" w:afterAutospacing="1"/>
              <w:jc w:val="center"/>
              <w:rPr>
                <w:rFonts w:ascii="Times New Roman" w:hAnsi="Times New Roman" w:eastAsia="Times New Roman" w:cs="Times New Roman"/>
                <w:color w:val="000000"/>
                <w:sz w:val="20"/>
                <w:szCs w:val="20"/>
              </w:rPr>
            </w:pPr>
            <w:r>
              <w:rPr>
                <w:rFonts w:hint="eastAsia" w:ascii="Times New Roman" w:hAnsi="Times New Roman" w:eastAsia="Times New Roman" w:cs="Times New Roman"/>
                <w:color w:val="000000"/>
                <w:sz w:val="20"/>
                <w:szCs w:val="20"/>
              </w:rPr>
              <w:t>0.75 (0.</w:t>
            </w:r>
            <w:r>
              <w:rPr>
                <w:rFonts w:hint="eastAsia" w:ascii="Times New Roman" w:hAnsi="Times New Roman" w:eastAsia="宋体" w:cs="Times New Roman"/>
                <w:color w:val="000000"/>
                <w:sz w:val="20"/>
                <w:szCs w:val="20"/>
                <w:lang w:val="en-US" w:eastAsia="zh-CN"/>
              </w:rPr>
              <w:t>7</w:t>
            </w:r>
            <w:r>
              <w:rPr>
                <w:rFonts w:hint="eastAsia" w:ascii="Times New Roman" w:hAnsi="Times New Roman" w:eastAsia="Times New Roman" w:cs="Times New Roman"/>
                <w:color w:val="000000"/>
                <w:sz w:val="20"/>
                <w:szCs w:val="20"/>
              </w:rPr>
              <w:t>-0.8</w:t>
            </w:r>
            <w:r>
              <w:rPr>
                <w:rFonts w:hint="eastAsia" w:ascii="Times New Roman" w:hAnsi="Times New Roman" w:eastAsia="宋体" w:cs="Times New Roman"/>
                <w:color w:val="000000"/>
                <w:sz w:val="20"/>
                <w:szCs w:val="20"/>
                <w:lang w:val="en-US" w:eastAsia="zh-CN"/>
              </w:rPr>
              <w:t>1</w:t>
            </w:r>
            <w:r>
              <w:rPr>
                <w:rFonts w:hint="eastAsia" w:ascii="Times New Roman" w:hAnsi="Times New Roman" w:eastAsia="Times New Roman" w:cs="Times New Roman"/>
                <w:color w:val="000000"/>
                <w:sz w:val="20"/>
                <w:szCs w:val="20"/>
              </w:rPr>
              <w:t>)</w:t>
            </w:r>
          </w:p>
        </w:tc>
      </w:tr>
      <w:tr w14:paraId="66114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02F37249">
            <w:pPr>
              <w:jc w:val="left"/>
              <w:rPr>
                <w:rFonts w:hint="eastAsia" w:ascii="Times New Roman" w:hAnsi="Times New Roman" w:eastAsia="宋体" w:cs="Times New Roman"/>
                <w:b/>
                <w:bCs/>
                <w:color w:val="000000"/>
                <w:sz w:val="20"/>
                <w:szCs w:val="20"/>
                <w:lang w:val="en-US" w:eastAsia="zh-CN"/>
              </w:rPr>
            </w:pPr>
            <w:r>
              <w:rPr>
                <w:rFonts w:hint="eastAsia" w:ascii="Times New Roman" w:hAnsi="Times New Roman" w:eastAsia="宋体" w:cs="Times New Roman"/>
                <w:b/>
                <w:bCs/>
                <w:color w:val="000000"/>
                <w:sz w:val="20"/>
                <w:szCs w:val="20"/>
                <w:lang w:val="en-US" w:eastAsia="zh-CN"/>
              </w:rPr>
              <w:t>Baseline eGFR​</w:t>
            </w:r>
          </w:p>
        </w:tc>
        <w:tc>
          <w:tcPr>
            <w:tcW w:w="2280" w:type="dxa"/>
            <w:tcBorders>
              <w:top w:val="nil"/>
              <w:left w:val="nil"/>
              <w:bottom w:val="nil"/>
              <w:right w:val="nil"/>
            </w:tcBorders>
            <w:shd w:val="clear" w:color="auto" w:fill="FFFFFF"/>
            <w:vAlign w:val="center"/>
          </w:tcPr>
          <w:p w14:paraId="4C497D6D">
            <w:pPr>
              <w:jc w:val="center"/>
              <w:rPr>
                <w:rFonts w:hint="default" w:ascii="Times New Roman" w:hAnsi="Times New Roman" w:eastAsia="宋体" w:cs="Times New Roman"/>
                <w:color w:val="000000"/>
                <w:sz w:val="20"/>
                <w:szCs w:val="20"/>
                <w:lang w:val="en-US" w:eastAsia="zh-CN"/>
              </w:rPr>
            </w:pPr>
          </w:p>
        </w:tc>
        <w:tc>
          <w:tcPr>
            <w:tcW w:w="2856" w:type="dxa"/>
            <w:tcBorders>
              <w:top w:val="nil"/>
              <w:left w:val="nil"/>
              <w:bottom w:val="nil"/>
              <w:right w:val="nil"/>
            </w:tcBorders>
            <w:shd w:val="clear" w:color="auto" w:fill="FFFFFF"/>
            <w:vAlign w:val="center"/>
          </w:tcPr>
          <w:p w14:paraId="2157BB6A">
            <w:pPr>
              <w:widowControl/>
              <w:spacing w:before="100" w:beforeAutospacing="1" w:after="100" w:afterAutospacing="1"/>
              <w:jc w:val="center"/>
              <w:rPr>
                <w:rFonts w:ascii="Times New Roman" w:hAnsi="Times New Roman" w:eastAsia="Times New Roman" w:cs="Times New Roman"/>
                <w:color w:val="000000"/>
                <w:sz w:val="20"/>
                <w:szCs w:val="20"/>
              </w:rPr>
            </w:pPr>
          </w:p>
        </w:tc>
      </w:tr>
      <w:tr w14:paraId="3AA7D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1BB1DD07">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 xml:space="preserve">eGFR </w:t>
            </w:r>
            <w:r>
              <w:rPr>
                <w:rFonts w:hint="default" w:ascii="Arial" w:hAnsi="Arial" w:eastAsia="宋体" w:cs="Arial"/>
                <w:color w:val="000000"/>
                <w:sz w:val="20"/>
                <w:szCs w:val="20"/>
                <w:lang w:val="en-US" w:eastAsia="zh-CN"/>
              </w:rPr>
              <w:t>≥</w:t>
            </w:r>
            <w:r>
              <w:rPr>
                <w:rFonts w:hint="eastAsia" w:ascii="Arial" w:hAnsi="Arial" w:eastAsia="宋体" w:cs="Arial"/>
                <w:color w:val="000000"/>
                <w:sz w:val="20"/>
                <w:szCs w:val="20"/>
                <w:lang w:val="en-US" w:eastAsia="zh-CN"/>
              </w:rPr>
              <w:t xml:space="preserve"> </w:t>
            </w:r>
            <w:r>
              <w:rPr>
                <w:rFonts w:hint="eastAsia" w:ascii="Times New Roman" w:hAnsi="Times New Roman" w:eastAsia="宋体" w:cs="Times New Roman"/>
                <w:color w:val="000000"/>
                <w:sz w:val="20"/>
                <w:szCs w:val="20"/>
                <w:lang w:val="en-US" w:eastAsia="zh-CN"/>
              </w:rPr>
              <w:t>60 ml/min/1.73m²</w:t>
            </w:r>
          </w:p>
        </w:tc>
        <w:tc>
          <w:tcPr>
            <w:tcW w:w="2280" w:type="dxa"/>
            <w:tcBorders>
              <w:top w:val="nil"/>
              <w:left w:val="nil"/>
              <w:bottom w:val="nil"/>
              <w:right w:val="nil"/>
            </w:tcBorders>
            <w:shd w:val="clear" w:color="auto" w:fill="FFFFFF"/>
            <w:vAlign w:val="center"/>
          </w:tcPr>
          <w:p w14:paraId="4FA1880E">
            <w:pPr>
              <w:widowControl/>
              <w:jc w:val="center"/>
              <w:textAlignment w:val="bottom"/>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145/45</w:t>
            </w:r>
          </w:p>
        </w:tc>
        <w:tc>
          <w:tcPr>
            <w:tcW w:w="2856" w:type="dxa"/>
            <w:tcBorders>
              <w:top w:val="nil"/>
              <w:left w:val="nil"/>
              <w:bottom w:val="nil"/>
              <w:right w:val="nil"/>
            </w:tcBorders>
            <w:shd w:val="clear" w:color="auto" w:fill="FFFFFF"/>
            <w:vAlign w:val="center"/>
          </w:tcPr>
          <w:p w14:paraId="3B717B32">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0.73 (0.67-0.8)</w:t>
            </w:r>
          </w:p>
        </w:tc>
      </w:tr>
      <w:tr w14:paraId="17E59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47B6FB88">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 xml:space="preserve">eGFR </w:t>
            </w:r>
            <w:r>
              <w:t>&lt;</w:t>
            </w:r>
            <w:r>
              <w:rPr>
                <w:rFonts w:hint="eastAsia"/>
                <w:lang w:val="en-US" w:eastAsia="zh-CN"/>
              </w:rPr>
              <w:t xml:space="preserve"> </w:t>
            </w:r>
            <w:r>
              <w:rPr>
                <w:rFonts w:hint="eastAsia" w:ascii="Times New Roman" w:hAnsi="Times New Roman" w:eastAsia="宋体" w:cs="Times New Roman"/>
                <w:color w:val="000000"/>
                <w:sz w:val="20"/>
                <w:szCs w:val="20"/>
                <w:lang w:val="en-US" w:eastAsia="zh-CN"/>
              </w:rPr>
              <w:t>60 ml/min/1.73m²</w:t>
            </w:r>
          </w:p>
        </w:tc>
        <w:tc>
          <w:tcPr>
            <w:tcW w:w="2280" w:type="dxa"/>
            <w:tcBorders>
              <w:top w:val="nil"/>
              <w:left w:val="nil"/>
              <w:bottom w:val="nil"/>
              <w:right w:val="nil"/>
            </w:tcBorders>
            <w:shd w:val="clear" w:color="auto" w:fill="FFFFFF"/>
            <w:vAlign w:val="center"/>
          </w:tcPr>
          <w:p w14:paraId="1804BD31">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45/14</w:t>
            </w:r>
          </w:p>
        </w:tc>
        <w:tc>
          <w:tcPr>
            <w:tcW w:w="2856" w:type="dxa"/>
            <w:tcBorders>
              <w:top w:val="nil"/>
              <w:left w:val="nil"/>
              <w:bottom w:val="nil"/>
              <w:right w:val="nil"/>
            </w:tcBorders>
            <w:shd w:val="clear" w:color="auto" w:fill="FFFFFF"/>
            <w:vAlign w:val="center"/>
          </w:tcPr>
          <w:p w14:paraId="499B64CD">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0.86 (0.77-0.95)</w:t>
            </w:r>
          </w:p>
        </w:tc>
      </w:tr>
      <w:tr w14:paraId="7BC36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05A266EF">
            <w:pPr>
              <w:jc w:val="left"/>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b/>
                <w:bCs/>
                <w:color w:val="000000"/>
                <w:sz w:val="20"/>
                <w:szCs w:val="20"/>
                <w:lang w:val="en-US" w:eastAsia="zh-CN"/>
              </w:rPr>
              <w:t>UPE</w:t>
            </w:r>
          </w:p>
        </w:tc>
        <w:tc>
          <w:tcPr>
            <w:tcW w:w="2280" w:type="dxa"/>
            <w:tcBorders>
              <w:top w:val="nil"/>
              <w:left w:val="nil"/>
              <w:bottom w:val="nil"/>
              <w:right w:val="nil"/>
            </w:tcBorders>
            <w:shd w:val="clear" w:color="auto" w:fill="FFFFFF"/>
            <w:vAlign w:val="center"/>
          </w:tcPr>
          <w:p w14:paraId="47723774">
            <w:pPr>
              <w:jc w:val="center"/>
              <w:rPr>
                <w:rFonts w:hint="eastAsia" w:ascii="Times New Roman" w:hAnsi="Times New Roman" w:eastAsia="宋体" w:cs="Times New Roman"/>
                <w:color w:val="000000"/>
                <w:sz w:val="20"/>
                <w:szCs w:val="20"/>
                <w:lang w:val="en-US" w:eastAsia="zh-CN"/>
              </w:rPr>
            </w:pPr>
          </w:p>
        </w:tc>
        <w:tc>
          <w:tcPr>
            <w:tcW w:w="2856" w:type="dxa"/>
            <w:tcBorders>
              <w:top w:val="nil"/>
              <w:left w:val="nil"/>
              <w:bottom w:val="nil"/>
              <w:right w:val="nil"/>
            </w:tcBorders>
            <w:shd w:val="clear" w:color="auto" w:fill="FFFFFF"/>
            <w:vAlign w:val="center"/>
          </w:tcPr>
          <w:p w14:paraId="22AFA55C">
            <w:pPr>
              <w:jc w:val="center"/>
              <w:rPr>
                <w:rFonts w:ascii="Times New Roman" w:hAnsi="Times New Roman" w:eastAsia="Times New Roman" w:cs="Times New Roman"/>
                <w:color w:val="000000"/>
                <w:sz w:val="20"/>
                <w:szCs w:val="20"/>
              </w:rPr>
            </w:pPr>
          </w:p>
        </w:tc>
      </w:tr>
      <w:tr w14:paraId="00533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6DDCF4E0">
            <w:pPr>
              <w:jc w:val="left"/>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 xml:space="preserve">UPE </w:t>
            </w:r>
            <w:r>
              <w:t>&lt;</w:t>
            </w:r>
            <w:r>
              <w:rPr>
                <w:rFonts w:hint="eastAsia" w:ascii="Times New Roman" w:hAnsi="Times New Roman" w:eastAsia="宋体" w:cs="Times New Roman"/>
                <w:color w:val="000000"/>
                <w:sz w:val="20"/>
                <w:szCs w:val="20"/>
                <w:lang w:val="en-US" w:eastAsia="zh-CN"/>
              </w:rPr>
              <w:t xml:space="preserve"> 1.0 g/day</w:t>
            </w:r>
          </w:p>
        </w:tc>
        <w:tc>
          <w:tcPr>
            <w:tcW w:w="2280" w:type="dxa"/>
            <w:tcBorders>
              <w:top w:val="nil"/>
              <w:left w:val="nil"/>
              <w:bottom w:val="nil"/>
              <w:right w:val="nil"/>
            </w:tcBorders>
            <w:shd w:val="clear" w:color="auto" w:fill="FFFFFF"/>
            <w:vAlign w:val="center"/>
          </w:tcPr>
          <w:p w14:paraId="61BBC742">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87/22</w:t>
            </w:r>
          </w:p>
        </w:tc>
        <w:tc>
          <w:tcPr>
            <w:tcW w:w="2856" w:type="dxa"/>
            <w:tcBorders>
              <w:top w:val="nil"/>
              <w:left w:val="nil"/>
              <w:bottom w:val="nil"/>
              <w:right w:val="nil"/>
            </w:tcBorders>
            <w:shd w:val="clear" w:color="auto" w:fill="FFFFFF"/>
            <w:vAlign w:val="center"/>
          </w:tcPr>
          <w:p w14:paraId="4F515D4F">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0.75 (0.66-0.84)</w:t>
            </w:r>
          </w:p>
        </w:tc>
      </w:tr>
      <w:tr w14:paraId="7EA52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099D7B8C">
            <w:pPr>
              <w:jc w:val="left"/>
              <w:rPr>
                <w:rFonts w:hint="eastAsia"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 xml:space="preserve">UPE </w:t>
            </w:r>
            <w:r>
              <w:rPr>
                <w:rFonts w:hint="default" w:ascii="Arial" w:hAnsi="Arial" w:eastAsia="宋体" w:cs="Arial"/>
                <w:color w:val="000000"/>
                <w:sz w:val="20"/>
                <w:szCs w:val="20"/>
                <w:lang w:val="en-US" w:eastAsia="zh-CN"/>
              </w:rPr>
              <w:t>≥</w:t>
            </w:r>
            <w:r>
              <w:rPr>
                <w:rFonts w:hint="eastAsia" w:ascii="Times New Roman" w:hAnsi="Times New Roman" w:eastAsia="宋体" w:cs="Times New Roman"/>
                <w:color w:val="000000"/>
                <w:sz w:val="20"/>
                <w:szCs w:val="20"/>
                <w:lang w:val="en-US" w:eastAsia="zh-CN"/>
              </w:rPr>
              <w:t xml:space="preserve"> 1.0 g/day</w:t>
            </w:r>
          </w:p>
        </w:tc>
        <w:tc>
          <w:tcPr>
            <w:tcW w:w="2280" w:type="dxa"/>
            <w:tcBorders>
              <w:top w:val="nil"/>
              <w:left w:val="nil"/>
              <w:bottom w:val="nil"/>
              <w:right w:val="nil"/>
            </w:tcBorders>
            <w:shd w:val="clear" w:color="auto" w:fill="FFFFFF"/>
            <w:vAlign w:val="center"/>
          </w:tcPr>
          <w:p w14:paraId="363B1F37">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103/37</w:t>
            </w:r>
          </w:p>
        </w:tc>
        <w:tc>
          <w:tcPr>
            <w:tcW w:w="2856" w:type="dxa"/>
            <w:tcBorders>
              <w:top w:val="nil"/>
              <w:left w:val="nil"/>
              <w:bottom w:val="nil"/>
              <w:right w:val="nil"/>
            </w:tcBorders>
            <w:shd w:val="clear" w:color="auto" w:fill="FFFFFF"/>
            <w:vAlign w:val="center"/>
          </w:tcPr>
          <w:p w14:paraId="3EE076DC">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0.75 (0.68-0.82)</w:t>
            </w:r>
          </w:p>
        </w:tc>
      </w:tr>
      <w:tr w14:paraId="198F6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0679EAF6">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b/>
                <w:bCs/>
                <w:color w:val="000000"/>
                <w:sz w:val="20"/>
                <w:szCs w:val="20"/>
                <w:lang w:val="en-US" w:eastAsia="zh-CN"/>
              </w:rPr>
              <w:t>Immunosuppression</w:t>
            </w:r>
          </w:p>
        </w:tc>
        <w:tc>
          <w:tcPr>
            <w:tcW w:w="2280" w:type="dxa"/>
            <w:tcBorders>
              <w:top w:val="nil"/>
              <w:left w:val="nil"/>
              <w:bottom w:val="nil"/>
              <w:right w:val="nil"/>
            </w:tcBorders>
            <w:shd w:val="clear" w:color="auto" w:fill="FFFFFF"/>
            <w:vAlign w:val="center"/>
          </w:tcPr>
          <w:p w14:paraId="1ED15323">
            <w:pPr>
              <w:jc w:val="center"/>
              <w:rPr>
                <w:rFonts w:hint="eastAsia" w:ascii="Times New Roman" w:hAnsi="Times New Roman" w:eastAsia="宋体" w:cs="Times New Roman"/>
                <w:color w:val="000000"/>
                <w:sz w:val="20"/>
                <w:szCs w:val="20"/>
                <w:lang w:val="en-US" w:eastAsia="zh-CN"/>
              </w:rPr>
            </w:pPr>
          </w:p>
        </w:tc>
        <w:tc>
          <w:tcPr>
            <w:tcW w:w="2856" w:type="dxa"/>
            <w:tcBorders>
              <w:top w:val="nil"/>
              <w:left w:val="nil"/>
              <w:bottom w:val="nil"/>
              <w:right w:val="nil"/>
            </w:tcBorders>
            <w:shd w:val="clear" w:color="auto" w:fill="FFFFFF"/>
            <w:vAlign w:val="center"/>
          </w:tcPr>
          <w:p w14:paraId="1AEDBBA1">
            <w:pPr>
              <w:jc w:val="center"/>
              <w:rPr>
                <w:rFonts w:ascii="Times New Roman" w:hAnsi="Times New Roman" w:eastAsia="Times New Roman" w:cs="Times New Roman"/>
                <w:color w:val="000000"/>
                <w:sz w:val="20"/>
                <w:szCs w:val="20"/>
              </w:rPr>
            </w:pPr>
          </w:p>
        </w:tc>
      </w:tr>
      <w:tr w14:paraId="63481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5B5A3F3A">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Yes</w:t>
            </w:r>
          </w:p>
        </w:tc>
        <w:tc>
          <w:tcPr>
            <w:tcW w:w="2280" w:type="dxa"/>
            <w:tcBorders>
              <w:top w:val="nil"/>
              <w:left w:val="nil"/>
              <w:bottom w:val="nil"/>
              <w:right w:val="nil"/>
            </w:tcBorders>
            <w:shd w:val="clear" w:color="auto" w:fill="FFFFFF"/>
            <w:vAlign w:val="center"/>
          </w:tcPr>
          <w:p w14:paraId="34919304">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103/26</w:t>
            </w:r>
          </w:p>
        </w:tc>
        <w:tc>
          <w:tcPr>
            <w:tcW w:w="2856" w:type="dxa"/>
            <w:tcBorders>
              <w:top w:val="nil"/>
              <w:left w:val="nil"/>
              <w:bottom w:val="nil"/>
              <w:right w:val="nil"/>
            </w:tcBorders>
            <w:shd w:val="clear" w:color="auto" w:fill="FFFFFF"/>
            <w:vAlign w:val="center"/>
          </w:tcPr>
          <w:p w14:paraId="478A200B">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0.79 (0.72-0.87)</w:t>
            </w:r>
          </w:p>
        </w:tc>
      </w:tr>
      <w:tr w14:paraId="0A4A9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161EC951">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No</w:t>
            </w:r>
          </w:p>
        </w:tc>
        <w:tc>
          <w:tcPr>
            <w:tcW w:w="2280" w:type="dxa"/>
            <w:tcBorders>
              <w:top w:val="nil"/>
              <w:left w:val="nil"/>
              <w:bottom w:val="nil"/>
              <w:right w:val="nil"/>
            </w:tcBorders>
            <w:shd w:val="clear" w:color="auto" w:fill="FFFFFF"/>
            <w:vAlign w:val="center"/>
          </w:tcPr>
          <w:p w14:paraId="3A8CD2F3">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87/33</w:t>
            </w:r>
          </w:p>
        </w:tc>
        <w:tc>
          <w:tcPr>
            <w:tcW w:w="2856" w:type="dxa"/>
            <w:tcBorders>
              <w:top w:val="nil"/>
              <w:left w:val="nil"/>
              <w:bottom w:val="nil"/>
              <w:right w:val="nil"/>
            </w:tcBorders>
            <w:shd w:val="clear" w:color="auto" w:fill="FFFFFF"/>
            <w:vAlign w:val="center"/>
          </w:tcPr>
          <w:p w14:paraId="00CA443C">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0.71 (0.64-0.79)</w:t>
            </w:r>
          </w:p>
        </w:tc>
      </w:tr>
      <w:tr w14:paraId="50041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0CCE0504">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b/>
                <w:bCs/>
                <w:color w:val="000000"/>
                <w:sz w:val="20"/>
                <w:szCs w:val="20"/>
                <w:lang w:val="en-US" w:eastAsia="zh-CN"/>
              </w:rPr>
              <w:t>RASI</w:t>
            </w:r>
          </w:p>
        </w:tc>
        <w:tc>
          <w:tcPr>
            <w:tcW w:w="2280" w:type="dxa"/>
            <w:tcBorders>
              <w:top w:val="nil"/>
              <w:left w:val="nil"/>
              <w:bottom w:val="nil"/>
              <w:right w:val="nil"/>
            </w:tcBorders>
            <w:shd w:val="clear" w:color="auto" w:fill="FFFFFF"/>
            <w:vAlign w:val="center"/>
          </w:tcPr>
          <w:p w14:paraId="7D6F41CE">
            <w:pPr>
              <w:jc w:val="center"/>
              <w:rPr>
                <w:rFonts w:hint="eastAsia" w:ascii="Times New Roman" w:hAnsi="Times New Roman" w:eastAsia="宋体" w:cs="Times New Roman"/>
                <w:color w:val="000000"/>
                <w:sz w:val="20"/>
                <w:szCs w:val="20"/>
                <w:lang w:val="en-US" w:eastAsia="zh-CN"/>
              </w:rPr>
            </w:pPr>
          </w:p>
        </w:tc>
        <w:tc>
          <w:tcPr>
            <w:tcW w:w="2856" w:type="dxa"/>
            <w:tcBorders>
              <w:top w:val="nil"/>
              <w:left w:val="nil"/>
              <w:bottom w:val="nil"/>
              <w:right w:val="nil"/>
            </w:tcBorders>
            <w:shd w:val="clear" w:color="auto" w:fill="FFFFFF"/>
            <w:vAlign w:val="center"/>
          </w:tcPr>
          <w:p w14:paraId="3039CCB2">
            <w:pPr>
              <w:jc w:val="center"/>
              <w:rPr>
                <w:rFonts w:hint="eastAsia" w:ascii="Times New Roman" w:hAnsi="Times New Roman" w:eastAsia="宋体" w:cs="Times New Roman"/>
                <w:color w:val="000000"/>
                <w:sz w:val="20"/>
                <w:szCs w:val="20"/>
                <w:lang w:val="en-US" w:eastAsia="zh-CN"/>
              </w:rPr>
            </w:pPr>
          </w:p>
        </w:tc>
      </w:tr>
      <w:tr w14:paraId="0EFEEA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nil"/>
              <w:right w:val="nil"/>
            </w:tcBorders>
            <w:shd w:val="clear" w:color="auto" w:fill="FFFFFF"/>
            <w:vAlign w:val="center"/>
          </w:tcPr>
          <w:p w14:paraId="33299534">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Yes</w:t>
            </w:r>
          </w:p>
        </w:tc>
        <w:tc>
          <w:tcPr>
            <w:tcW w:w="2280" w:type="dxa"/>
            <w:tcBorders>
              <w:top w:val="nil"/>
              <w:left w:val="nil"/>
              <w:bottom w:val="nil"/>
              <w:right w:val="nil"/>
            </w:tcBorders>
            <w:shd w:val="clear" w:color="auto" w:fill="FFFFFF"/>
            <w:vAlign w:val="center"/>
          </w:tcPr>
          <w:p w14:paraId="5BD3BE49">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142/45</w:t>
            </w:r>
          </w:p>
        </w:tc>
        <w:tc>
          <w:tcPr>
            <w:tcW w:w="2856" w:type="dxa"/>
            <w:tcBorders>
              <w:top w:val="nil"/>
              <w:left w:val="nil"/>
              <w:bottom w:val="nil"/>
              <w:right w:val="nil"/>
            </w:tcBorders>
            <w:shd w:val="clear" w:color="auto" w:fill="FFFFFF"/>
            <w:vAlign w:val="center"/>
          </w:tcPr>
          <w:p w14:paraId="7D9DCD3A">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0.73 (0.67-0.80)</w:t>
            </w:r>
          </w:p>
        </w:tc>
      </w:tr>
      <w:tr w14:paraId="52991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599" w:type="dxa"/>
            <w:tcBorders>
              <w:top w:val="nil"/>
              <w:left w:val="single" w:color="auto" w:sz="4" w:space="0"/>
              <w:bottom w:val="single" w:color="auto" w:sz="4" w:space="0"/>
              <w:right w:val="nil"/>
            </w:tcBorders>
            <w:shd w:val="clear" w:color="auto" w:fill="FFFFFF"/>
            <w:vAlign w:val="center"/>
          </w:tcPr>
          <w:p w14:paraId="7472D688">
            <w:pPr>
              <w:jc w:val="left"/>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No</w:t>
            </w:r>
          </w:p>
        </w:tc>
        <w:tc>
          <w:tcPr>
            <w:tcW w:w="2280" w:type="dxa"/>
            <w:tcBorders>
              <w:top w:val="nil"/>
              <w:left w:val="nil"/>
              <w:bottom w:val="single" w:color="auto" w:sz="4" w:space="0"/>
              <w:right w:val="nil"/>
            </w:tcBorders>
            <w:shd w:val="clear" w:color="auto" w:fill="FFFFFF"/>
            <w:vAlign w:val="center"/>
          </w:tcPr>
          <w:p w14:paraId="4F96FC16">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48/14</w:t>
            </w:r>
          </w:p>
        </w:tc>
        <w:tc>
          <w:tcPr>
            <w:tcW w:w="2856" w:type="dxa"/>
            <w:tcBorders>
              <w:top w:val="nil"/>
              <w:left w:val="nil"/>
              <w:bottom w:val="single" w:color="auto" w:sz="4" w:space="0"/>
              <w:right w:val="nil"/>
            </w:tcBorders>
            <w:shd w:val="clear" w:color="auto" w:fill="FFFFFF"/>
            <w:vAlign w:val="center"/>
          </w:tcPr>
          <w:p w14:paraId="658A2A1E">
            <w:pPr>
              <w:jc w:val="center"/>
              <w:rPr>
                <w:rFonts w:hint="default" w:ascii="Times New Roman" w:hAnsi="Times New Roman" w:eastAsia="宋体" w:cs="Times New Roman"/>
                <w:color w:val="000000"/>
                <w:sz w:val="20"/>
                <w:szCs w:val="20"/>
                <w:lang w:val="en-US" w:eastAsia="zh-CN"/>
              </w:rPr>
            </w:pPr>
            <w:r>
              <w:rPr>
                <w:rFonts w:hint="eastAsia" w:ascii="Times New Roman" w:hAnsi="Times New Roman" w:eastAsia="宋体" w:cs="Times New Roman"/>
                <w:color w:val="000000"/>
                <w:sz w:val="20"/>
                <w:szCs w:val="20"/>
                <w:lang w:val="en-US" w:eastAsia="zh-CN"/>
              </w:rPr>
              <w:t>0.77 (0.66-0.87)</w:t>
            </w:r>
          </w:p>
        </w:tc>
      </w:tr>
    </w:tbl>
    <w:p w14:paraId="45BBD728">
      <w:pPr>
        <w:widowControl/>
        <w:spacing w:line="360" w:lineRule="exact"/>
        <w:outlineLvl w:val="0"/>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p>
    <w:p w14:paraId="2793A073">
      <w:pPr>
        <w:widowControl/>
        <w:spacing w:line="360" w:lineRule="exact"/>
        <w:outlineLvl w:val="0"/>
        <w:rPr>
          <w:rFonts w:ascii="Times New Roman" w:hAnsi="Times New Roman" w:eastAsia="等线" w:cs="Times New Roman"/>
          <w:b/>
          <w:bCs/>
          <w:snapToGrid w:val="0"/>
          <w:color w:val="000000"/>
          <w:kern w:val="0"/>
          <w:sz w:val="24"/>
          <w:szCs w:val="36"/>
        </w:rPr>
      </w:pPr>
      <w:r>
        <w:rPr>
          <w:rFonts w:ascii="Times New Roman" w:hAnsi="Times New Roman" w:cs="Times New Roman"/>
          <w:b/>
          <w:bCs/>
          <w:sz w:val="24"/>
        </w:rPr>
        <w:t>Supplementa</w:t>
      </w:r>
      <w:r>
        <w:rPr>
          <w:rFonts w:hint="eastAsia" w:ascii="Times New Roman" w:hAnsi="Times New Roman" w:cs="Times New Roman"/>
          <w:b/>
          <w:bCs/>
          <w:sz w:val="24"/>
        </w:rPr>
        <w:t>l</w:t>
      </w:r>
      <w:r>
        <w:rPr>
          <w:rFonts w:ascii="Times New Roman" w:hAnsi="Times New Roman" w:cs="Times New Roman"/>
          <w:b/>
          <w:bCs/>
          <w:sz w:val="24"/>
        </w:rPr>
        <w:t xml:space="preserve"> References</w:t>
      </w:r>
    </w:p>
    <w:p w14:paraId="6CAF18A9">
      <w:pPr>
        <w:keepNext w:val="0"/>
        <w:keepLines w:val="0"/>
        <w:pageBreakBefore w:val="0"/>
        <w:widowControl w:val="0"/>
        <w:kinsoku/>
        <w:wordWrap/>
        <w:overflowPunct/>
        <w:topLinePunct w:val="0"/>
        <w:autoSpaceDE w:val="0"/>
        <w:autoSpaceDN w:val="0"/>
        <w:bidi w:val="0"/>
        <w:adjustRightInd w:val="0"/>
        <w:snapToGrid/>
        <w:spacing w:line="360" w:lineRule="atLeast"/>
        <w:ind w:left="641" w:hanging="641"/>
        <w:textAlignment w:val="auto"/>
        <w:rPr>
          <w:rFonts w:ascii="Times New Roman" w:hAnsi="Times New Roman" w:cs="Times New Roman"/>
          <w:i w:val="0"/>
          <w:iCs w:val="0"/>
          <w:color w:val="0000FF"/>
          <w:kern w:val="0"/>
          <w:sz w:val="24"/>
        </w:rPr>
      </w:pPr>
      <w:r>
        <w:rPr>
          <w:rFonts w:ascii="Times New Roman" w:hAnsi="Times New Roman" w:cs="Times New Roman"/>
          <w:i w:val="0"/>
          <w:iCs w:val="0"/>
          <w:sz w:val="24"/>
        </w:rPr>
        <w:fldChar w:fldCharType="begin" w:fldLock="1"/>
      </w:r>
      <w:r>
        <w:rPr>
          <w:rFonts w:ascii="Times New Roman" w:hAnsi="Times New Roman" w:cs="Times New Roman"/>
          <w:i w:val="0"/>
          <w:iCs w:val="0"/>
          <w:sz w:val="24"/>
        </w:rPr>
        <w:instrText xml:space="preserve">ADDIN Mendeley Bibliography CSL_BIBLIOGRAPHY </w:instrText>
      </w:r>
      <w:r>
        <w:rPr>
          <w:rFonts w:ascii="Times New Roman" w:hAnsi="Times New Roman" w:cs="Times New Roman"/>
          <w:i w:val="0"/>
          <w:iCs w:val="0"/>
          <w:sz w:val="24"/>
        </w:rPr>
        <w:fldChar w:fldCharType="separate"/>
      </w:r>
      <w:r>
        <w:rPr>
          <w:rFonts w:ascii="Times New Roman" w:hAnsi="Times New Roman" w:cs="Times New Roman"/>
          <w:i w:val="0"/>
          <w:iCs w:val="0"/>
          <w:kern w:val="0"/>
          <w:sz w:val="24"/>
        </w:rPr>
        <w:t>1.</w:t>
      </w:r>
      <w:r>
        <w:rPr>
          <w:rFonts w:ascii="Times New Roman" w:hAnsi="Times New Roman" w:cs="Times New Roman"/>
          <w:i w:val="0"/>
          <w:iCs w:val="0"/>
          <w:kern w:val="0"/>
          <w:sz w:val="24"/>
        </w:rPr>
        <w:tab/>
      </w:r>
      <w:r>
        <w:rPr>
          <w:rFonts w:ascii="Times New Roman" w:hAnsi="Times New Roman" w:cs="Times New Roman"/>
          <w:i w:val="0"/>
          <w:iCs w:val="0"/>
          <w:kern w:val="0"/>
          <w:sz w:val="24"/>
        </w:rPr>
        <w:t>Weibel ER, Gomez DM. A principle for counting tissue structures on random sections. J Appl Physiol. 1962;17:343-348.</w:t>
      </w:r>
    </w:p>
    <w:p w14:paraId="1451EADB">
      <w:pPr>
        <w:keepNext w:val="0"/>
        <w:keepLines w:val="0"/>
        <w:pageBreakBefore w:val="0"/>
        <w:widowControl w:val="0"/>
        <w:kinsoku/>
        <w:wordWrap/>
        <w:overflowPunct/>
        <w:topLinePunct w:val="0"/>
        <w:autoSpaceDE w:val="0"/>
        <w:autoSpaceDN w:val="0"/>
        <w:bidi w:val="0"/>
        <w:adjustRightInd w:val="0"/>
        <w:snapToGrid/>
        <w:spacing w:line="360" w:lineRule="atLeast"/>
        <w:ind w:left="641" w:hanging="641"/>
        <w:textAlignment w:val="auto"/>
        <w:rPr>
          <w:rFonts w:ascii="Times New Roman" w:hAnsi="Times New Roman" w:cs="Times New Roman"/>
          <w:i w:val="0"/>
          <w:iCs w:val="0"/>
          <w:kern w:val="0"/>
          <w:sz w:val="24"/>
        </w:rPr>
      </w:pPr>
      <w:r>
        <w:rPr>
          <w:rFonts w:ascii="Times New Roman" w:hAnsi="Times New Roman" w:cs="Times New Roman"/>
          <w:i w:val="0"/>
          <w:iCs w:val="0"/>
          <w:kern w:val="0"/>
          <w:sz w:val="24"/>
        </w:rPr>
        <w:t>2.</w:t>
      </w:r>
      <w:r>
        <w:rPr>
          <w:rFonts w:ascii="Times New Roman" w:hAnsi="Times New Roman" w:cs="Times New Roman"/>
          <w:i w:val="0"/>
          <w:iCs w:val="0"/>
          <w:kern w:val="0"/>
          <w:sz w:val="24"/>
        </w:rPr>
        <w:tab/>
      </w:r>
      <w:r>
        <w:rPr>
          <w:rFonts w:ascii="Times New Roman" w:hAnsi="Times New Roman" w:cs="Times New Roman"/>
          <w:i w:val="0"/>
          <w:iCs w:val="0"/>
          <w:kern w:val="0"/>
          <w:sz w:val="24"/>
        </w:rPr>
        <w:t>Denic A, Mathew J, Lerman LO, et al. Single-nephron glomerular filtration rate in healthy adults. N Engl J Med. 2017;376(24):2349-2357.</w:t>
      </w:r>
    </w:p>
    <w:p w14:paraId="25AB96EC">
      <w:pPr>
        <w:keepNext w:val="0"/>
        <w:keepLines w:val="0"/>
        <w:pageBreakBefore w:val="0"/>
        <w:widowControl w:val="0"/>
        <w:kinsoku/>
        <w:wordWrap/>
        <w:overflowPunct/>
        <w:topLinePunct w:val="0"/>
        <w:autoSpaceDE w:val="0"/>
        <w:autoSpaceDN w:val="0"/>
        <w:bidi w:val="0"/>
        <w:adjustRightInd w:val="0"/>
        <w:snapToGrid/>
        <w:spacing w:line="360" w:lineRule="atLeast"/>
        <w:ind w:left="641" w:hanging="641"/>
        <w:textAlignment w:val="auto"/>
        <w:rPr>
          <w:rFonts w:ascii="Times New Roman" w:hAnsi="Times New Roman" w:cs="Times New Roman"/>
          <w:i w:val="0"/>
          <w:iCs w:val="0"/>
          <w:kern w:val="0"/>
          <w:sz w:val="24"/>
        </w:rPr>
      </w:pPr>
      <w:r>
        <w:rPr>
          <w:rFonts w:ascii="Times New Roman" w:hAnsi="Times New Roman" w:cs="Times New Roman"/>
          <w:i w:val="0"/>
          <w:iCs w:val="0"/>
          <w:kern w:val="0"/>
          <w:sz w:val="24"/>
        </w:rPr>
        <w:t>3.</w:t>
      </w:r>
      <w:r>
        <w:rPr>
          <w:rFonts w:ascii="Times New Roman" w:hAnsi="Times New Roman" w:cs="Times New Roman"/>
          <w:i w:val="0"/>
          <w:iCs w:val="0"/>
          <w:kern w:val="0"/>
          <w:sz w:val="24"/>
        </w:rPr>
        <w:tab/>
      </w:r>
      <w:r>
        <w:rPr>
          <w:rFonts w:ascii="Times New Roman" w:hAnsi="Times New Roman" w:cs="Times New Roman"/>
          <w:i w:val="0"/>
          <w:iCs w:val="0"/>
          <w:kern w:val="0"/>
          <w:sz w:val="24"/>
        </w:rPr>
        <w:t>Denic A, Mullan AF, Alexander MP, et al. An improved method for estimating nephron number and the association of resulting nephron number estimates with chronic kidney disease outcomes. J Am Soc Nephrol. 2023;34(7):1264-1278.</w:t>
      </w:r>
    </w:p>
    <w:p w14:paraId="42C99A86">
      <w:pPr>
        <w:keepNext w:val="0"/>
        <w:keepLines w:val="0"/>
        <w:pageBreakBefore w:val="0"/>
        <w:widowControl w:val="0"/>
        <w:kinsoku/>
        <w:wordWrap/>
        <w:overflowPunct/>
        <w:topLinePunct w:val="0"/>
        <w:autoSpaceDE w:val="0"/>
        <w:autoSpaceDN w:val="0"/>
        <w:bidi w:val="0"/>
        <w:adjustRightInd w:val="0"/>
        <w:snapToGrid/>
        <w:spacing w:line="360" w:lineRule="atLeast"/>
        <w:ind w:left="641" w:hanging="641"/>
        <w:textAlignment w:val="auto"/>
        <w:rPr>
          <w:rFonts w:ascii="Times New Roman" w:hAnsi="Times New Roman" w:cs="Times New Roman"/>
          <w:i w:val="0"/>
          <w:iCs w:val="0"/>
          <w:sz w:val="24"/>
        </w:rPr>
      </w:pPr>
      <w:r>
        <w:rPr>
          <w:rFonts w:ascii="Times New Roman" w:hAnsi="Times New Roman" w:cs="Times New Roman"/>
          <w:i w:val="0"/>
          <w:iCs w:val="0"/>
          <w:kern w:val="0"/>
          <w:sz w:val="24"/>
        </w:rPr>
        <w:t>4.</w:t>
      </w:r>
      <w:r>
        <w:rPr>
          <w:rFonts w:ascii="Times New Roman" w:hAnsi="Times New Roman" w:cs="Times New Roman"/>
          <w:i w:val="0"/>
          <w:iCs w:val="0"/>
          <w:kern w:val="0"/>
          <w:sz w:val="24"/>
        </w:rPr>
        <w:tab/>
      </w:r>
      <w:r>
        <w:rPr>
          <w:rFonts w:ascii="Times New Roman" w:hAnsi="Times New Roman" w:cs="Times New Roman"/>
          <w:i w:val="0"/>
          <w:iCs w:val="0"/>
          <w:kern w:val="0"/>
          <w:sz w:val="24"/>
        </w:rPr>
        <w:t>Sasaki T, Tsuboi N, Okabayashi Y, et al. Estimation of nephron number in living humans by combining unenhanced computed tomography with biopsy-based stereology. Sci Rep. 2019;9(1):1-10.</w:t>
      </w:r>
    </w:p>
    <w:p w14:paraId="1FF2B1EB">
      <w:pPr>
        <w:keepNext w:val="0"/>
        <w:keepLines w:val="0"/>
        <w:pageBreakBefore w:val="0"/>
        <w:widowControl w:val="0"/>
        <w:kinsoku/>
        <w:wordWrap/>
        <w:overflowPunct/>
        <w:topLinePunct w:val="0"/>
        <w:autoSpaceDE w:val="0"/>
        <w:autoSpaceDN w:val="0"/>
        <w:bidi w:val="0"/>
        <w:adjustRightInd w:val="0"/>
        <w:snapToGrid/>
        <w:spacing w:line="360" w:lineRule="atLeast"/>
        <w:ind w:left="641" w:hanging="641"/>
        <w:jc w:val="left"/>
        <w:textAlignment w:val="auto"/>
        <w:rPr>
          <w:rFonts w:ascii="Times New Roman" w:hAnsi="Times New Roman" w:cs="Times New Roman"/>
          <w:bCs/>
          <w:i w:val="0"/>
          <w:iCs w:val="0"/>
          <w:color w:val="000000"/>
          <w:kern w:val="0"/>
          <w:sz w:val="24"/>
          <w:lang w:bidi="ar"/>
        </w:rPr>
      </w:pPr>
      <w:r>
        <w:rPr>
          <w:rFonts w:ascii="Times New Roman" w:hAnsi="Times New Roman" w:cs="Times New Roman"/>
          <w:i w:val="0"/>
          <w:iCs w:val="0"/>
          <w:sz w:val="24"/>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default"/>
    <w:sig w:usb0="E00006FF" w:usb1="420024FF" w:usb2="02000000" w:usb3="00000000" w:csb0="2000019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6EED63">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11A1C2">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F11A1C2">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D5DF96"/>
    <w:multiLevelType w:val="multilevel"/>
    <w:tmpl w:val="93D5DF96"/>
    <w:lvl w:ilvl="0" w:tentative="0">
      <w:start w:val="1"/>
      <w:numFmt w:val="decimal"/>
      <w:suff w:val="space"/>
      <w:lvlText w:val="%1."/>
      <w:lvlJc w:val="left"/>
    </w:lvl>
    <w:lvl w:ilvl="1" w:tentative="0">
      <w:start w:val="1"/>
      <w:numFmt w:val="decimal"/>
      <w:suff w:val="space"/>
      <w:lvlText w:val="%1.%2"/>
      <w:lvlJc w:val="left"/>
      <w:pPr>
        <w:ind w:left="0" w:firstLine="0"/>
      </w:pPr>
      <w:rPr>
        <w:rFonts w:hint="default"/>
      </w:rPr>
    </w:lvl>
    <w:lvl w:ilvl="2" w:tentative="0">
      <w:start w:val="1"/>
      <w:numFmt w:val="decimal"/>
      <w:suff w:val="space"/>
      <w:lvlText w:val="%1.%2.%3"/>
      <w:lvlJc w:val="left"/>
      <w:pPr>
        <w:ind w:left="0" w:firstLine="0"/>
      </w:pPr>
      <w:rPr>
        <w:rFonts w:hint="default"/>
      </w:rPr>
    </w:lvl>
    <w:lvl w:ilvl="3" w:tentative="0">
      <w:start w:val="1"/>
      <w:numFmt w:val="decimal"/>
      <w:suff w:val="space"/>
      <w:lvlText w:val="%1.%2.%3.%4"/>
      <w:lvlJc w:val="left"/>
      <w:pPr>
        <w:ind w:left="0" w:firstLine="0"/>
      </w:pPr>
      <w:rPr>
        <w:rFonts w:hint="default"/>
      </w:rPr>
    </w:lvl>
    <w:lvl w:ilvl="4" w:tentative="0">
      <w:start w:val="1"/>
      <w:numFmt w:val="decimal"/>
      <w:suff w:val="space"/>
      <w:lvlText w:val="%1.%2.%3.%4.%5"/>
      <w:lvlJc w:val="left"/>
      <w:pPr>
        <w:ind w:left="0" w:firstLine="0"/>
      </w:pPr>
      <w:rPr>
        <w:rFonts w:hint="default"/>
      </w:rPr>
    </w:lvl>
    <w:lvl w:ilvl="5" w:tentative="0">
      <w:start w:val="1"/>
      <w:numFmt w:val="decimal"/>
      <w:suff w:val="space"/>
      <w:lvlText w:val="%1.%2.%3.%4.%5.%6"/>
      <w:lvlJc w:val="left"/>
      <w:pPr>
        <w:ind w:left="0" w:firstLine="0"/>
      </w:pPr>
      <w:rPr>
        <w:rFonts w:hint="default"/>
      </w:rPr>
    </w:lvl>
    <w:lvl w:ilvl="6" w:tentative="0">
      <w:start w:val="1"/>
      <w:numFmt w:val="decimal"/>
      <w:suff w:val="space"/>
      <w:lvlText w:val="%1.%2.%3.%4.%5.%6.%7"/>
      <w:lvlJc w:val="left"/>
      <w:pPr>
        <w:ind w:left="0" w:firstLine="0"/>
      </w:pPr>
      <w:rPr>
        <w:rFonts w:hint="default"/>
      </w:rPr>
    </w:lvl>
    <w:lvl w:ilvl="7" w:tentative="0">
      <w:start w:val="1"/>
      <w:numFmt w:val="decimal"/>
      <w:suff w:val="space"/>
      <w:lvlText w:val="%1.%2.%3.%4.%5.%6.%7.%8"/>
      <w:lvlJc w:val="left"/>
      <w:pPr>
        <w:ind w:left="0" w:firstLine="0"/>
      </w:pPr>
      <w:rPr>
        <w:rFonts w:hint="default"/>
      </w:rPr>
    </w:lvl>
    <w:lvl w:ilvl="8" w:tentative="0">
      <w:start w:val="1"/>
      <w:numFmt w:val="decimal"/>
      <w:suff w:val="space"/>
      <w:lvlText w:val="%1.%2.%3.%4.%5.%6.%7.%8.%9"/>
      <w:lvlJc w:val="left"/>
      <w:pPr>
        <w:ind w:left="0" w:firstLine="0"/>
      </w:pPr>
      <w:rPr>
        <w:rFonts w:hint="default"/>
      </w:rPr>
    </w:lvl>
  </w:abstractNum>
  <w:abstractNum w:abstractNumId="1">
    <w:nsid w:val="C0D6251B"/>
    <w:multiLevelType w:val="singleLevel"/>
    <w:tmpl w:val="C0D6251B"/>
    <w:lvl w:ilvl="0" w:tentative="0">
      <w:start w:val="1"/>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A0MDI2MzVlMjJlZDkyZjUyNWU3MTExY2NlNGE1NzcifQ=="/>
  </w:docVars>
  <w:rsids>
    <w:rsidRoot w:val="7F2F0359"/>
    <w:rsid w:val="00041144"/>
    <w:rsid w:val="001359E8"/>
    <w:rsid w:val="001364E3"/>
    <w:rsid w:val="00185073"/>
    <w:rsid w:val="001D1A80"/>
    <w:rsid w:val="001D2B33"/>
    <w:rsid w:val="001F7FCF"/>
    <w:rsid w:val="0020128F"/>
    <w:rsid w:val="00204D9B"/>
    <w:rsid w:val="00222B9B"/>
    <w:rsid w:val="00230860"/>
    <w:rsid w:val="002546F0"/>
    <w:rsid w:val="00266862"/>
    <w:rsid w:val="00281963"/>
    <w:rsid w:val="0028779D"/>
    <w:rsid w:val="002C3EFE"/>
    <w:rsid w:val="002C5F37"/>
    <w:rsid w:val="00321BEE"/>
    <w:rsid w:val="00361053"/>
    <w:rsid w:val="003F1504"/>
    <w:rsid w:val="00482200"/>
    <w:rsid w:val="004E7A60"/>
    <w:rsid w:val="004F23E2"/>
    <w:rsid w:val="005816CE"/>
    <w:rsid w:val="005E131B"/>
    <w:rsid w:val="006E75B1"/>
    <w:rsid w:val="007041CA"/>
    <w:rsid w:val="007A5EE2"/>
    <w:rsid w:val="007F1911"/>
    <w:rsid w:val="008C4FFE"/>
    <w:rsid w:val="00937107"/>
    <w:rsid w:val="009639E0"/>
    <w:rsid w:val="009C037C"/>
    <w:rsid w:val="009F5336"/>
    <w:rsid w:val="00A43682"/>
    <w:rsid w:val="00A44B11"/>
    <w:rsid w:val="00A8432F"/>
    <w:rsid w:val="00AD4DF1"/>
    <w:rsid w:val="00B2375C"/>
    <w:rsid w:val="00BB3A7F"/>
    <w:rsid w:val="00C41700"/>
    <w:rsid w:val="00C91D7E"/>
    <w:rsid w:val="00CC5DF9"/>
    <w:rsid w:val="00D051F8"/>
    <w:rsid w:val="00D70EE0"/>
    <w:rsid w:val="00D77E66"/>
    <w:rsid w:val="00DF6697"/>
    <w:rsid w:val="00EC3756"/>
    <w:rsid w:val="00EE1F1A"/>
    <w:rsid w:val="00F02D38"/>
    <w:rsid w:val="00F5433F"/>
    <w:rsid w:val="00FA734B"/>
    <w:rsid w:val="00FD372D"/>
    <w:rsid w:val="06481F5C"/>
    <w:rsid w:val="0A2B176D"/>
    <w:rsid w:val="0A54477F"/>
    <w:rsid w:val="0B391F36"/>
    <w:rsid w:val="0B580B9E"/>
    <w:rsid w:val="10AC4D07"/>
    <w:rsid w:val="118C50B2"/>
    <w:rsid w:val="11E64458"/>
    <w:rsid w:val="14501AE1"/>
    <w:rsid w:val="16AF66B2"/>
    <w:rsid w:val="18095344"/>
    <w:rsid w:val="18DA6B90"/>
    <w:rsid w:val="1ECD7334"/>
    <w:rsid w:val="22F759C7"/>
    <w:rsid w:val="25306F8F"/>
    <w:rsid w:val="27BC6714"/>
    <w:rsid w:val="27EE55B3"/>
    <w:rsid w:val="2B7B1E2F"/>
    <w:rsid w:val="2F1156C3"/>
    <w:rsid w:val="34975C7C"/>
    <w:rsid w:val="39F4144B"/>
    <w:rsid w:val="3ACC1BCA"/>
    <w:rsid w:val="3CD05166"/>
    <w:rsid w:val="3CDC48D0"/>
    <w:rsid w:val="405C33B4"/>
    <w:rsid w:val="43560A24"/>
    <w:rsid w:val="47EC7D13"/>
    <w:rsid w:val="485570EE"/>
    <w:rsid w:val="48E01B3C"/>
    <w:rsid w:val="49262468"/>
    <w:rsid w:val="523B00F0"/>
    <w:rsid w:val="526128F6"/>
    <w:rsid w:val="53112B15"/>
    <w:rsid w:val="555667CB"/>
    <w:rsid w:val="5D0E7667"/>
    <w:rsid w:val="60521CFC"/>
    <w:rsid w:val="65DF4CCB"/>
    <w:rsid w:val="67C23DE2"/>
    <w:rsid w:val="6B0E59E7"/>
    <w:rsid w:val="6C5A2256"/>
    <w:rsid w:val="6FB45625"/>
    <w:rsid w:val="72B86969"/>
    <w:rsid w:val="79BF70DB"/>
    <w:rsid w:val="7A6E5A56"/>
    <w:rsid w:val="7C324FED"/>
    <w:rsid w:val="7F2F03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table" w:customStyle="1" w:styleId="11">
    <w:name w:val="网格型1"/>
    <w:basedOn w:val="7"/>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tiff"/><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AE3A85E-7271-4796-8805-EFAB9135FB09}">
  <ds:schemaRefs/>
</ds:datastoreItem>
</file>

<file path=docProps/app.xml><?xml version="1.0" encoding="utf-8"?>
<Properties xmlns="http://schemas.openxmlformats.org/officeDocument/2006/extended-properties" xmlns:vt="http://schemas.openxmlformats.org/officeDocument/2006/docPropsVTypes">
  <Template>Normal</Template>
  <Pages>12</Pages>
  <Words>1000</Words>
  <Characters>5502</Characters>
  <Lines>506</Lines>
  <Paragraphs>340</Paragraphs>
  <TotalTime>0</TotalTime>
  <ScaleCrop>false</ScaleCrop>
  <LinksUpToDate>false</LinksUpToDate>
  <CharactersWithSpaces>6260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2024-09-03T08:32:00Z</dcterms:created>
  <dc:creator>杨晨</dc:creator>
  <cp:lastModifiedBy>杨晨</cp:lastModifiedBy>
  <dcterms:modified xsi:type="dcterms:W3CDTF">2025-09-18T17:02:43Z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2D70D04BCFE546FF82655893E96E524C_13</vt:lpwstr>
  </property>
  <property fmtid="{D5CDD505-2E9C-101B-9397-08002B2CF9AE}" pid="4" name="Mendeley Document_1">
    <vt:lpwstr>True</vt:lpwstr>
  </property>
  <property fmtid="{D5CDD505-2E9C-101B-9397-08002B2CF9AE}" pid="5" name="Mendeley Citation Style_1">
    <vt:lpwstr>http://csl.mendeley.com/styles/768944291/555-2</vt:lpwstr>
  </property>
  <property fmtid="{D5CDD505-2E9C-101B-9397-08002B2CF9AE}" pid="6" name="Mendeley Unique User Id_1">
    <vt:lpwstr>ab024127-1965-32fb-8704-e4e87498dc9c</vt:lpwstr>
  </property>
  <property fmtid="{D5CDD505-2E9C-101B-9397-08002B2CF9AE}" pid="7" name="Mendeley Recent Style Id 0_1">
    <vt:lpwstr>http://www.zotero.org/styles/american-journal-of-nephrology</vt:lpwstr>
  </property>
  <property fmtid="{D5CDD505-2E9C-101B-9397-08002B2CF9AE}" pid="8" name="Mendeley Recent Style Name 0_1">
    <vt:lpwstr>American Journal of Nephrology</vt:lpwstr>
  </property>
  <property fmtid="{D5CDD505-2E9C-101B-9397-08002B2CF9AE}" pid="9" name="Mendeley Recent Style Id 1_1">
    <vt:lpwstr>http://csl.mendeley.com/styles/768944291/american-medical-association-8</vt:lpwstr>
  </property>
  <property fmtid="{D5CDD505-2E9C-101B-9397-08002B2CF9AE}" pid="10" name="Mendeley Recent Style Name 1_1">
    <vt:lpwstr>American Medical Association 11th edition - chen  yang</vt:lpwstr>
  </property>
  <property fmtid="{D5CDD505-2E9C-101B-9397-08002B2CF9AE}" pid="11" name="Mendeley Recent Style Id 2_1">
    <vt:lpwstr>http://csl.mendeley.com/styles/768944291/Yang1-2</vt:lpwstr>
  </property>
  <property fmtid="{D5CDD505-2E9C-101B-9397-08002B2CF9AE}" pid="12" name="Mendeley Recent Style Name 2_1">
    <vt:lpwstr>American Medical Association 11th edition - chen  yang</vt:lpwstr>
  </property>
  <property fmtid="{D5CDD505-2E9C-101B-9397-08002B2CF9AE}" pid="13" name="Mendeley Recent Style Id 3_1">
    <vt:lpwstr>http://csl.mendeley.com/styles/768944291/american-medical-association-3</vt:lpwstr>
  </property>
  <property fmtid="{D5CDD505-2E9C-101B-9397-08002B2CF9AE}" pid="14" name="Mendeley Recent Style Name 3_1">
    <vt:lpwstr>American Medical Association 11th edition - chen  yang</vt:lpwstr>
  </property>
  <property fmtid="{D5CDD505-2E9C-101B-9397-08002B2CF9AE}" pid="15" name="Mendeley Recent Style Id 4_1">
    <vt:lpwstr>http://csl.mendeley.com/styles/768944291/2025-3</vt:lpwstr>
  </property>
  <property fmtid="{D5CDD505-2E9C-101B-9397-08002B2CF9AE}" pid="16" name="Mendeley Recent Style Name 4_1">
    <vt:lpwstr>American Medical Association 11th edition - chen  yang</vt:lpwstr>
  </property>
  <property fmtid="{D5CDD505-2E9C-101B-9397-08002B2CF9AE}" pid="17" name="Mendeley Recent Style Id 5_1">
    <vt:lpwstr>http://csl.mendeley.com/styles/768944291/555-2</vt:lpwstr>
  </property>
  <property fmtid="{D5CDD505-2E9C-101B-9397-08002B2CF9AE}" pid="18" name="Mendeley Recent Style Name 5_1">
    <vt:lpwstr>American Medical Association 11th edition - chen  yang</vt:lpwstr>
  </property>
  <property fmtid="{D5CDD505-2E9C-101B-9397-08002B2CF9AE}" pid="19" name="Mendeley Recent Style Id 6_1">
    <vt:lpwstr>http://www.zotero.org/styles/international-journal-of-medical-sciences</vt:lpwstr>
  </property>
  <property fmtid="{D5CDD505-2E9C-101B-9397-08002B2CF9AE}" pid="20" name="Mendeley Recent Style Name 6_1">
    <vt:lpwstr>International Journal of Medical Sciences</vt:lpwstr>
  </property>
  <property fmtid="{D5CDD505-2E9C-101B-9397-08002B2CF9AE}" pid="21" name="Mendeley Recent Style Id 7_1">
    <vt:lpwstr>http://www.zotero.org/styles/kidney-international-supplements</vt:lpwstr>
  </property>
  <property fmtid="{D5CDD505-2E9C-101B-9397-08002B2CF9AE}" pid="22" name="Mendeley Recent Style Name 7_1">
    <vt:lpwstr>Kidney International Supplements</vt:lpwstr>
  </property>
  <property fmtid="{D5CDD505-2E9C-101B-9397-08002B2CF9AE}" pid="23" name="Mendeley Recent Style Id 8_1">
    <vt:lpwstr>http://www.zotero.org/styles/the-new-england-journal-of-medicine</vt:lpwstr>
  </property>
  <property fmtid="{D5CDD505-2E9C-101B-9397-08002B2CF9AE}" pid="24" name="Mendeley Recent Style Name 8_1">
    <vt:lpwstr>The New England Journal of Medicine</vt:lpwstr>
  </property>
  <property fmtid="{D5CDD505-2E9C-101B-9397-08002B2CF9AE}" pid="25" name="Mendeley Recent Style Id 9_1">
    <vt:lpwstr>http://www.zotero.org/styles/transportation-research-part-c</vt:lpwstr>
  </property>
  <property fmtid="{D5CDD505-2E9C-101B-9397-08002B2CF9AE}" pid="26" name="Mendeley Recent Style Name 9_1">
    <vt:lpwstr>Transportation Research Part C</vt:lpwstr>
  </property>
  <property fmtid="{D5CDD505-2E9C-101B-9397-08002B2CF9AE}" pid="27" name="KSOTemplateDocerSaveRecord">
    <vt:lpwstr>eyJoZGlkIjoiMjA0MDI2MzVlMjJlZDkyZjUyNWU3MTExY2NlNGE1NzciLCJ1c2VySWQiOiI5OTYwMjk0ODUifQ==</vt:lpwstr>
  </property>
</Properties>
</file>