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9DDE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 w:eastAsiaTheme="minorEastAsia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Table S1. E-value analysis for the robustness of the association between S100A12 and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SA-AKI</w:t>
      </w:r>
    </w:p>
    <w:tbl>
      <w:tblPr>
        <w:tblStyle w:val="2"/>
        <w:tblW w:w="8519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5"/>
        <w:gridCol w:w="2633"/>
        <w:gridCol w:w="2633"/>
        <w:gridCol w:w="1888"/>
      </w:tblGrid>
      <w:tr w14:paraId="3613313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365" w:type="dxa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E5959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Item</w:t>
            </w:r>
          </w:p>
        </w:tc>
        <w:tc>
          <w:tcPr>
            <w:tcW w:w="2633" w:type="dxa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5CA8D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point</w:t>
            </w:r>
          </w:p>
        </w:tc>
        <w:tc>
          <w:tcPr>
            <w:tcW w:w="2633" w:type="dxa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396EA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lower</w:t>
            </w:r>
          </w:p>
        </w:tc>
        <w:tc>
          <w:tcPr>
            <w:tcW w:w="1888" w:type="dxa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D873D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upper</w:t>
            </w:r>
          </w:p>
        </w:tc>
      </w:tr>
      <w:tr w14:paraId="63CAF02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65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7FE55F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RR</w:t>
            </w:r>
          </w:p>
        </w:tc>
        <w:tc>
          <w:tcPr>
            <w:tcW w:w="2633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70CF22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1.0816653826392</w:t>
            </w:r>
          </w:p>
        </w:tc>
        <w:tc>
          <w:tcPr>
            <w:tcW w:w="2633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094B18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1.05356537528527</w:t>
            </w:r>
          </w:p>
        </w:tc>
        <w:tc>
          <w:tcPr>
            <w:tcW w:w="1888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66D2B1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1.113552873</w:t>
            </w:r>
          </w:p>
        </w:tc>
      </w:tr>
      <w:tr w14:paraId="6FBAA51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6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EEE4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E-values</w:t>
            </w:r>
          </w:p>
        </w:tc>
        <w:tc>
          <w:tcPr>
            <w:tcW w:w="26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BBEA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1.37887678444068</w:t>
            </w:r>
          </w:p>
        </w:tc>
        <w:tc>
          <w:tcPr>
            <w:tcW w:w="26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E252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1.29112510401623</w:t>
            </w:r>
          </w:p>
        </w:tc>
        <w:tc>
          <w:tcPr>
            <w:tcW w:w="18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206C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</w:tr>
    </w:tbl>
    <w:p w14:paraId="55DC62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Table footnote</w:t>
      </w:r>
    </w:p>
    <w:p w14:paraId="303D5F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The E-value quantifies the minimum strength of association that an unmeasured confounder would need to have with bothS100 calcium-binding protein A12 (S100A12)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and sepsis-associated acute kidney injury (SA-AKI) to fully explain the observed association, conditional on measured covariates.</w:t>
      </w:r>
    </w:p>
    <w:p w14:paraId="460AF7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The adjusted relative risk (RR) of 1.08 corresponds to an E-value of 1.38 for the point estimate and 1.29 for the lower bound of its 95% confidence interval (CI).</w:t>
      </w:r>
    </w:p>
    <w:p w14:paraId="17B883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Calculations followed the method of VanderWeele and Ding (Ann Intern Med, 2017).</w:t>
      </w:r>
    </w:p>
    <w:p w14:paraId="1347B2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Abbreviations:</w:t>
      </w:r>
      <w:r>
        <w:rPr>
          <w:rFonts w:hint="default" w:ascii="Times New Roman" w:hAnsi="Times New Roman" w:cs="Times New Roman"/>
          <w:sz w:val="24"/>
          <w:szCs w:val="24"/>
        </w:rPr>
        <w:t xml:space="preserve"> S100A12, S100 calcium-binding protein A12; RR, relative risk; CI, confidence interval; SA-AKI, sepsis-associated acute kidney injury.</w:t>
      </w:r>
    </w:p>
    <w:p w14:paraId="60B8C4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7B404B9F"/>
    <w:p w14:paraId="550C4DA8"/>
    <w:p w14:paraId="45CCC068"/>
    <w:p w14:paraId="55911C76"/>
    <w:p w14:paraId="4DE65B89"/>
    <w:p w14:paraId="21B6530D"/>
    <w:p w14:paraId="04A44025"/>
    <w:p w14:paraId="0B7593DB"/>
    <w:p w14:paraId="695B675A"/>
    <w:p w14:paraId="77EAEBE3"/>
    <w:p w14:paraId="01DB2E6A"/>
    <w:p w14:paraId="6AC54760"/>
    <w:p w14:paraId="2DEB6880"/>
    <w:p w14:paraId="20F3C7A8"/>
    <w:p w14:paraId="1B9614C7"/>
    <w:p w14:paraId="2E3B2684"/>
    <w:p w14:paraId="32D58F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b/>
          <w:bCs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Table S2. Multivariable logistic regression evaluating the independent association between plasma S100A12 and SA-AKI.</w:t>
      </w:r>
    </w:p>
    <w:p w14:paraId="06F8BA88"/>
    <w:tbl>
      <w:tblPr>
        <w:tblStyle w:val="2"/>
        <w:tblW w:w="8519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8"/>
        <w:gridCol w:w="1246"/>
        <w:gridCol w:w="2706"/>
        <w:gridCol w:w="2489"/>
      </w:tblGrid>
      <w:tr w14:paraId="3851E23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078" w:type="dxa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F42E3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Variable</w:t>
            </w:r>
          </w:p>
        </w:tc>
        <w:tc>
          <w:tcPr>
            <w:tcW w:w="1246" w:type="dxa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6DED3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n.event_%</w:t>
            </w:r>
          </w:p>
        </w:tc>
        <w:tc>
          <w:tcPr>
            <w:tcW w:w="2706" w:type="dxa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A6CF2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crude.OR (95%CI)</w:t>
            </w:r>
            <w:r>
              <w:rPr>
                <w:rStyle w:val="4"/>
                <w:rFonts w:hint="default" w:ascii="Times New Roman" w:hAnsi="Times New Roman" w:cs="Times New Roman"/>
                <w:b/>
                <w:sz w:val="20"/>
                <w:szCs w:val="20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value</w:t>
            </w:r>
          </w:p>
        </w:tc>
        <w:tc>
          <w:tcPr>
            <w:tcW w:w="2489" w:type="dxa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73B09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adj.OR (95%CI)</w:t>
            </w:r>
            <w:r>
              <w:rPr>
                <w:rStyle w:val="4"/>
                <w:rFonts w:hint="default" w:ascii="Times New Roman" w:hAnsi="Times New Roman" w:cs="Times New Roman"/>
                <w:b/>
                <w:sz w:val="20"/>
                <w:szCs w:val="20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value</w:t>
            </w:r>
          </w:p>
        </w:tc>
      </w:tr>
      <w:tr w14:paraId="4FE64B7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7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2540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S100A12 (ng/mL)</w:t>
            </w:r>
          </w:p>
        </w:tc>
        <w:tc>
          <w:tcPr>
            <w:tcW w:w="124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5A63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 (59.9)</w:t>
            </w:r>
          </w:p>
        </w:tc>
        <w:tc>
          <w:tcPr>
            <w:tcW w:w="27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7705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1.18 (1.13~1.23)</w:t>
            </w:r>
          </w:p>
          <w:p w14:paraId="44699F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48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F036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1.16 (1.09~1.23)</w:t>
            </w:r>
          </w:p>
          <w:p w14:paraId="38C201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60210C2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7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4856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Tertiles of S100A12</w:t>
            </w:r>
          </w:p>
        </w:tc>
        <w:tc>
          <w:tcPr>
            <w:tcW w:w="124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6EC2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7FDD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8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D5BD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73C991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7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D0F4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T1 (low)</w:t>
            </w:r>
          </w:p>
        </w:tc>
        <w:tc>
          <w:tcPr>
            <w:tcW w:w="124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9E32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 (23.9)</w:t>
            </w:r>
          </w:p>
        </w:tc>
        <w:tc>
          <w:tcPr>
            <w:tcW w:w="27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387A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1(Ref)</w:t>
            </w:r>
          </w:p>
        </w:tc>
        <w:tc>
          <w:tcPr>
            <w:tcW w:w="248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2D8D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1(Ref)</w:t>
            </w:r>
          </w:p>
        </w:tc>
      </w:tr>
      <w:tr w14:paraId="5315510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7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DD36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T2 (middle)</w:t>
            </w:r>
          </w:p>
        </w:tc>
        <w:tc>
          <w:tcPr>
            <w:tcW w:w="124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F203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 (64.2)</w:t>
            </w:r>
          </w:p>
        </w:tc>
        <w:tc>
          <w:tcPr>
            <w:tcW w:w="27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30AF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5.71 (2.69~12.11)</w:t>
            </w:r>
          </w:p>
          <w:p w14:paraId="5BF8C7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48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9A1D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3.51 (1.23~9.98)</w:t>
            </w:r>
          </w:p>
          <w:p w14:paraId="48B938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</w:t>
            </w:r>
          </w:p>
        </w:tc>
      </w:tr>
      <w:tr w14:paraId="62C8E81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7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484B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 (high)</w:t>
            </w:r>
          </w:p>
        </w:tc>
        <w:tc>
          <w:tcPr>
            <w:tcW w:w="124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51F9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 (91.2)</w:t>
            </w:r>
          </w:p>
        </w:tc>
        <w:tc>
          <w:tcPr>
            <w:tcW w:w="27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9BF2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32.94 (12.01~90.32)</w:t>
            </w:r>
          </w:p>
          <w:p w14:paraId="782A58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48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E645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 (5.92~97.3)</w:t>
            </w:r>
          </w:p>
          <w:p w14:paraId="47E971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4F2659D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7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B530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 for trend</w:t>
            </w:r>
          </w:p>
        </w:tc>
        <w:tc>
          <w:tcPr>
            <w:tcW w:w="124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229C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 (59.9)</w:t>
            </w:r>
          </w:p>
        </w:tc>
        <w:tc>
          <w:tcPr>
            <w:tcW w:w="27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46AE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5.73 (3.53~9.32)</w:t>
            </w:r>
          </w:p>
          <w:p w14:paraId="3B3C7A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48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90EF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4.67 (2.38~9.15)</w:t>
            </w:r>
          </w:p>
          <w:p w14:paraId="205E2E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</w:tbl>
    <w:p w14:paraId="784EB2D2"/>
    <w:p w14:paraId="67CB45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Table footnote</w:t>
      </w:r>
    </w:p>
    <w:p w14:paraId="0C6886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The adjusted model (Model 4) was controlled for age,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gender</w:t>
      </w:r>
      <w:r>
        <w:rPr>
          <w:rFonts w:hint="default" w:ascii="Times New Roman" w:hAnsi="Times New Roman" w:cs="Times New Roman"/>
          <w:sz w:val="24"/>
          <w:szCs w:val="24"/>
        </w:rPr>
        <w:t>, body mass index (BMI), hypertension (HBP), Sequential Organ Failure Assessment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(</w:t>
      </w:r>
      <w:r>
        <w:rPr>
          <w:rFonts w:hint="default" w:ascii="Times New Roman" w:hAnsi="Times New Roman" w:cs="Times New Roman"/>
          <w:sz w:val="24"/>
          <w:szCs w:val="24"/>
        </w:rPr>
        <w:t>SOFA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)</w:t>
      </w:r>
      <w:r>
        <w:rPr>
          <w:rFonts w:hint="default" w:ascii="Times New Roman" w:hAnsi="Times New Roman" w:cs="Times New Roman"/>
          <w:sz w:val="24"/>
          <w:szCs w:val="24"/>
        </w:rPr>
        <w:t xml:space="preserve"> score, C-reactive protein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(</w:t>
      </w:r>
      <w:r>
        <w:rPr>
          <w:rFonts w:hint="default" w:ascii="Times New Roman" w:hAnsi="Times New Roman" w:cs="Times New Roman"/>
          <w:sz w:val="24"/>
          <w:szCs w:val="24"/>
        </w:rPr>
        <w:t>CRP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)</w:t>
      </w:r>
      <w:r>
        <w:rPr>
          <w:rFonts w:hint="default" w:ascii="Times New Roman" w:hAnsi="Times New Roman" w:cs="Times New Roman"/>
          <w:sz w:val="24"/>
          <w:szCs w:val="24"/>
        </w:rPr>
        <w:t xml:space="preserve">, lactate, mean arterial pressure (MAP), highly nephrotoxic antibiotic exposure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before AKI </w:t>
      </w:r>
      <w:r>
        <w:rPr>
          <w:rFonts w:hint="default" w:ascii="Times New Roman" w:hAnsi="Times New Roman" w:cs="Times New Roman"/>
          <w:sz w:val="24"/>
          <w:szCs w:val="24"/>
        </w:rPr>
        <w:t>(H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A</w:t>
      </w:r>
      <w:r>
        <w:rPr>
          <w:rFonts w:hint="default" w:ascii="Times New Roman" w:hAnsi="Times New Roman" w:cs="Times New Roman"/>
          <w:sz w:val="24"/>
          <w:szCs w:val="24"/>
        </w:rPr>
        <w:t>AKI), serum albumin, baseline creatinine (Cr), and 7-day cumulative fluid balance.</w:t>
      </w:r>
    </w:p>
    <w:p w14:paraId="770B0A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Abbreviations: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S100A12, S100 calcium-binding protein A12; SA-AKI, sepsis-associated acute kidney injury; OR, odds ratio; CI, confidence interval; BMI, body mass index; HBP, hypertension; SOFA, Sequential Organ Failure Assessment; CRP, C-reactive protein; MAP, mean arterial pressure; H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A</w:t>
      </w:r>
      <w:r>
        <w:rPr>
          <w:rFonts w:hint="default" w:ascii="Times New Roman" w:hAnsi="Times New Roman" w:cs="Times New Roman"/>
          <w:sz w:val="24"/>
          <w:szCs w:val="24"/>
        </w:rPr>
        <w:t>AKI, highly nephrotoxic antibiotic exposure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before AKI</w:t>
      </w:r>
      <w:r>
        <w:rPr>
          <w:rFonts w:hint="default" w:ascii="Times New Roman" w:hAnsi="Times New Roman" w:cs="Times New Roman"/>
          <w:sz w:val="24"/>
          <w:szCs w:val="24"/>
        </w:rPr>
        <w:t>; Cr, creatinine.</w:t>
      </w:r>
    </w:p>
    <w:p w14:paraId="0AC895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035354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6B9DBF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3A0B9F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4DF314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Table S3. Subgroup analysis by infection site (abdominal vs. non-abdominal)</w:t>
      </w:r>
    </w:p>
    <w:tbl>
      <w:tblPr>
        <w:tblStyle w:val="2"/>
        <w:tblW w:w="8519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8"/>
        <w:gridCol w:w="810"/>
        <w:gridCol w:w="936"/>
        <w:gridCol w:w="1286"/>
        <w:gridCol w:w="1135"/>
        <w:gridCol w:w="1270"/>
        <w:gridCol w:w="1017"/>
        <w:gridCol w:w="1267"/>
      </w:tblGrid>
      <w:tr w14:paraId="77BF9CE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98" w:type="dxa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AFFCB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Subgroup</w:t>
            </w:r>
          </w:p>
        </w:tc>
        <w:tc>
          <w:tcPr>
            <w:tcW w:w="810" w:type="dxa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D2D4D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n.total</w:t>
            </w:r>
          </w:p>
        </w:tc>
        <w:tc>
          <w:tcPr>
            <w:tcW w:w="936" w:type="dxa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21937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n.event_%</w:t>
            </w:r>
          </w:p>
        </w:tc>
        <w:tc>
          <w:tcPr>
            <w:tcW w:w="1286" w:type="dxa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A8B90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crude.OR_95CI</w:t>
            </w:r>
          </w:p>
        </w:tc>
        <w:tc>
          <w:tcPr>
            <w:tcW w:w="1135" w:type="dxa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1E205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crude.P_value</w:t>
            </w:r>
          </w:p>
        </w:tc>
        <w:tc>
          <w:tcPr>
            <w:tcW w:w="1270" w:type="dxa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2B5D5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adj.OR_95CI</w:t>
            </w:r>
          </w:p>
        </w:tc>
        <w:tc>
          <w:tcPr>
            <w:tcW w:w="1017" w:type="dxa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363C1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adj.P_value</w:t>
            </w:r>
          </w:p>
        </w:tc>
        <w:tc>
          <w:tcPr>
            <w:tcW w:w="1267" w:type="dxa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DD576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P.for.interaction</w:t>
            </w:r>
          </w:p>
        </w:tc>
      </w:tr>
      <w:tr w14:paraId="429E706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98" w:type="dxa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45489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AI</w:t>
            </w:r>
          </w:p>
        </w:tc>
        <w:tc>
          <w:tcPr>
            <w:tcW w:w="810" w:type="dxa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5DD04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36" w:type="dxa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7F304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86" w:type="dxa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A7E76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5" w:type="dxa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13723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70" w:type="dxa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8918B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17" w:type="dxa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23EB7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67" w:type="dxa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D81D5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AD8B06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98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5479A4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</w:t>
            </w:r>
          </w:p>
        </w:tc>
        <w:tc>
          <w:tcPr>
            <w:tcW w:w="810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07712C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936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39E5DD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 (59)</w:t>
            </w:r>
          </w:p>
        </w:tc>
        <w:tc>
          <w:tcPr>
            <w:tcW w:w="1286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7B87CA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1.15 (1.09~1.22)</w:t>
            </w:r>
          </w:p>
        </w:tc>
        <w:tc>
          <w:tcPr>
            <w:tcW w:w="1135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1AB2CF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270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3C5831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 (1.08~1.32)</w:t>
            </w:r>
          </w:p>
        </w:tc>
        <w:tc>
          <w:tcPr>
            <w:tcW w:w="1017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70F5EB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267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735EA0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0.219</w:t>
            </w:r>
          </w:p>
        </w:tc>
      </w:tr>
      <w:tr w14:paraId="397901C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480E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Yes</w:t>
            </w:r>
          </w:p>
        </w:tc>
        <w:tc>
          <w:tcPr>
            <w:tcW w:w="81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C9EA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93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D43E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 (60.8)</w:t>
            </w:r>
          </w:p>
        </w:tc>
        <w:tc>
          <w:tcPr>
            <w:tcW w:w="12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F900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1.21 (1.13~1.3)</w:t>
            </w:r>
          </w:p>
        </w:tc>
        <w:tc>
          <w:tcPr>
            <w:tcW w:w="11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A459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2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98AE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1.53 (1.19~1.98)</w:t>
            </w:r>
          </w:p>
        </w:tc>
        <w:tc>
          <w:tcPr>
            <w:tcW w:w="10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2D20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FB62B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2CE664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Table footnote</w:t>
      </w:r>
    </w:p>
    <w:p w14:paraId="7BBEF3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Subgroup logistic regression of S100A12 for predicting sepsis-associated acute kidney injury (SA-AKI) by infection site. The interaction term between S100A12 and abdominal infection status (AI) tested effect modification.</w:t>
      </w:r>
    </w:p>
    <w:p w14:paraId="006DB1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Abbreviations:</w:t>
      </w:r>
      <w:r>
        <w:rPr>
          <w:rFonts w:hint="default" w:ascii="Times New Roman" w:hAnsi="Times New Roman" w:cs="Times New Roman"/>
          <w:sz w:val="24"/>
          <w:szCs w:val="24"/>
        </w:rPr>
        <w:t xml:space="preserve"> S100A12, S100 calcium-binding protein A12; SA-AKI, sepsis-associated acute kidney injury; OR, odds ratio; CI, confidence interval.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AI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, abdominal infection.</w:t>
      </w:r>
    </w:p>
    <w:p w14:paraId="7529FB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 w14:paraId="5BCBCB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 w14:paraId="11E5EF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 w14:paraId="5B147F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 w14:paraId="6FEA64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 w14:paraId="2B49F7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 w14:paraId="72E217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 w14:paraId="6F17F5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 w14:paraId="241EF9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 w14:paraId="68EAAF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 w14:paraId="3626F1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 w14:paraId="413E11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Table S4. Association between plasma S100A12 and time to SA-AKI in the Cox proportional hazards model</w:t>
      </w:r>
    </w:p>
    <w:tbl>
      <w:tblPr>
        <w:tblStyle w:val="2"/>
        <w:tblW w:w="942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734"/>
        <w:gridCol w:w="1162"/>
        <w:gridCol w:w="696"/>
        <w:gridCol w:w="1199"/>
        <w:gridCol w:w="733"/>
        <w:gridCol w:w="1219"/>
        <w:gridCol w:w="676"/>
        <w:gridCol w:w="1181"/>
        <w:gridCol w:w="688"/>
      </w:tblGrid>
      <w:tr w14:paraId="48ADB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35" w:type="dxa"/>
            <w:vMerge w:val="restart"/>
            <w:tcBorders>
              <w:top w:val="single" w:color="auto" w:sz="12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7BA92C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Variable</w:t>
            </w:r>
          </w:p>
        </w:tc>
        <w:tc>
          <w:tcPr>
            <w:tcW w:w="734" w:type="dxa"/>
            <w:vMerge w:val="restart"/>
            <w:tcBorders>
              <w:top w:val="single" w:color="auto" w:sz="12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33DC37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n.event_%</w:t>
            </w:r>
          </w:p>
        </w:tc>
        <w:tc>
          <w:tcPr>
            <w:tcW w:w="1858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0915D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crude </w:t>
            </w:r>
          </w:p>
        </w:tc>
        <w:tc>
          <w:tcPr>
            <w:tcW w:w="1932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06703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Model 1 </w:t>
            </w:r>
          </w:p>
        </w:tc>
        <w:tc>
          <w:tcPr>
            <w:tcW w:w="1895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3FF8B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Model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869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07FAA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4"/>
                <w:rFonts w:hint="default" w:ascii="Times New Roman" w:hAnsi="Times New Roman" w:eastAsia="宋体" w:cs="Times New Roman"/>
                <w:b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Model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3</w:t>
            </w:r>
          </w:p>
        </w:tc>
      </w:tr>
      <w:tr w14:paraId="398DD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35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7BBA8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Times New Roman" w:eastAsia="宋体"/>
                <w:b/>
                <w:sz w:val="20"/>
              </w:rPr>
            </w:pPr>
          </w:p>
        </w:tc>
        <w:tc>
          <w:tcPr>
            <w:tcW w:w="734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A9B75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Times New Roman" w:eastAsia="宋体"/>
                <w:b/>
                <w:sz w:val="20"/>
              </w:rPr>
            </w:pPr>
          </w:p>
        </w:tc>
        <w:tc>
          <w:tcPr>
            <w:tcW w:w="18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707CF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Style w:val="4"/>
                <w:rFonts w:hint="default" w:ascii="Times New Roman" w:hAnsi="Times New Roman" w:eastAsia="宋体" w:cs="Times New Roman"/>
                <w:b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HR(95%CI)</w:t>
            </w:r>
            <w:r>
              <w:rPr>
                <w:rStyle w:val="4"/>
                <w:rFonts w:hint="default" w:ascii="Times New Roman" w:hAnsi="Times New Roman" w:eastAsia="宋体" w:cs="Times New Roman"/>
                <w:b/>
                <w:sz w:val="20"/>
                <w:szCs w:val="20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value</w:t>
            </w:r>
          </w:p>
        </w:tc>
        <w:tc>
          <w:tcPr>
            <w:tcW w:w="19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16FE0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Style w:val="4"/>
                <w:rFonts w:hint="default" w:ascii="Times New Roman" w:hAnsi="Times New Roman" w:eastAsia="宋体" w:cs="Times New Roman"/>
                <w:b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HR(95%CI)</w:t>
            </w:r>
            <w:r>
              <w:rPr>
                <w:rFonts w:hint="eastAsia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Style w:val="4"/>
                <w:rFonts w:hint="default" w:ascii="Times New Roman" w:hAnsi="Times New Roman" w:eastAsia="宋体" w:cs="Times New Roman"/>
                <w:b/>
                <w:sz w:val="20"/>
                <w:szCs w:val="20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value</w:t>
            </w:r>
          </w:p>
        </w:tc>
        <w:tc>
          <w:tcPr>
            <w:tcW w:w="18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CB174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Style w:val="4"/>
                <w:rFonts w:hint="default" w:ascii="Times New Roman" w:hAnsi="Times New Roman" w:eastAsia="宋体" w:cs="Times New Roman"/>
                <w:b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HR(95%CI)</w:t>
            </w:r>
            <w:r>
              <w:rPr>
                <w:rStyle w:val="4"/>
                <w:rFonts w:hint="default" w:ascii="Times New Roman" w:hAnsi="Times New Roman" w:eastAsia="宋体" w:cs="Times New Roman"/>
                <w:b/>
                <w:sz w:val="20"/>
                <w:szCs w:val="20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value</w:t>
            </w:r>
          </w:p>
        </w:tc>
        <w:tc>
          <w:tcPr>
            <w:tcW w:w="18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9FB35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Style w:val="4"/>
                <w:rFonts w:hint="default" w:ascii="Times New Roman" w:hAnsi="Times New Roman" w:eastAsia="宋体" w:cs="Times New Roman"/>
                <w:b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HR(95%CI)</w:t>
            </w:r>
            <w:r>
              <w:rPr>
                <w:rStyle w:val="4"/>
                <w:rFonts w:hint="default" w:ascii="Times New Roman" w:hAnsi="Times New Roman" w:eastAsia="宋体" w:cs="Times New Roman"/>
                <w:b/>
                <w:sz w:val="20"/>
                <w:szCs w:val="20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value</w:t>
            </w:r>
          </w:p>
        </w:tc>
      </w:tr>
      <w:tr w14:paraId="1C62B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72F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S100A12 (ng/mL)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ADD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 (59.9)</w:t>
            </w:r>
          </w:p>
        </w:tc>
        <w:tc>
          <w:tcPr>
            <w:tcW w:w="116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005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1.12 (1.09~1.15)</w:t>
            </w:r>
          </w:p>
        </w:tc>
        <w:tc>
          <w:tcPr>
            <w:tcW w:w="69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4CB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19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5C3D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1.12 (1.09~1.15)</w:t>
            </w:r>
          </w:p>
        </w:tc>
        <w:tc>
          <w:tcPr>
            <w:tcW w:w="73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5E4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</w:t>
            </w:r>
          </w:p>
          <w:p w14:paraId="6C8EAE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</w:t>
            </w:r>
          </w:p>
        </w:tc>
        <w:tc>
          <w:tcPr>
            <w:tcW w:w="121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768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 (1.07~1.13)</w:t>
            </w:r>
          </w:p>
        </w:tc>
        <w:tc>
          <w:tcPr>
            <w:tcW w:w="67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B55D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</w:t>
            </w:r>
          </w:p>
          <w:p w14:paraId="239124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</w:t>
            </w:r>
          </w:p>
        </w:tc>
        <w:tc>
          <w:tcPr>
            <w:tcW w:w="118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B19D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 (1.07~1.14)</w:t>
            </w:r>
          </w:p>
        </w:tc>
        <w:tc>
          <w:tcPr>
            <w:tcW w:w="68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57C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</w:t>
            </w:r>
          </w:p>
          <w:p w14:paraId="064C94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</w:t>
            </w:r>
          </w:p>
        </w:tc>
      </w:tr>
      <w:tr w14:paraId="71FE4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042B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Tertiles of S100A12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37C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D65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B04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779F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38B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95C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DFE7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C61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4F7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DCCE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055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T1 (low)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E63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 (23.9)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0B2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1(Ref)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BC5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BCF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1(Ref)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BA1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104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1(Ref)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9D7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469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1(Ref)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DCB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FE7F9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1F0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T2 (middle)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73B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 (64.2)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AD6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3.84 (2.16~6.83)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DB1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8E7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3.82 (2.13~6.85)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78B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</w:t>
            </w:r>
          </w:p>
          <w:p w14:paraId="63AD33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E72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  <w:t>2.87 (1.57~5.23)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0D7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24479A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CD2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宋体" w:eastAsia="宋体" w:cs="宋体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宋体" w:eastAsia="宋体" w:cs="宋体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2.72 (1.46~5.08)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A74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宋体" w:eastAsia="宋体" w:cs="宋体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宋体" w:eastAsia="宋体" w:cs="宋体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0.002</w:t>
            </w:r>
          </w:p>
        </w:tc>
      </w:tr>
      <w:tr w14:paraId="6A7B6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60C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 (high)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44F1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 (91.2)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BDA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10.49 (5.96~18.47)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684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E88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10.64 (5.9~19.18)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B0E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</w:t>
            </w:r>
          </w:p>
          <w:p w14:paraId="2F08C8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F5D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  <w:t>7.69 (4.18~14.13)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241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</w:t>
            </w:r>
          </w:p>
          <w:p w14:paraId="605EEC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53B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宋体" w:eastAsia="宋体" w:cs="宋体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宋体" w:eastAsia="宋体" w:cs="宋体"/>
                <w:i w:val="0"/>
                <w:iCs w:val="0"/>
                <w:color w:val="000000"/>
                <w:kern w:val="0"/>
                <w:sz w:val="20"/>
                <w:szCs w:val="22"/>
                <w:u w:val="none"/>
                <w:lang w:val="en-US" w:eastAsia="zh-CN" w:bidi="ar"/>
              </w:rPr>
              <w:t>8.09 (4.17~15.69)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5ED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</w:t>
            </w:r>
          </w:p>
          <w:p w14:paraId="30D91A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</w:t>
            </w:r>
          </w:p>
        </w:tc>
      </w:tr>
      <w:tr w14:paraId="48C4C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3046DE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 for trend</w:t>
            </w:r>
          </w:p>
        </w:tc>
        <w:tc>
          <w:tcPr>
            <w:tcW w:w="73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509E5B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5B6908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(2.41~4.01)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4FDA5B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6A13EE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3.14 (2.4~4.1)</w:t>
            </w:r>
          </w:p>
        </w:tc>
        <w:tc>
          <w:tcPr>
            <w:tcW w:w="73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3F426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</w:t>
            </w:r>
          </w:p>
          <w:p w14:paraId="5E9E1B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67474B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  <w:t>2.75 (2.07~3.65)</w:t>
            </w:r>
          </w:p>
        </w:tc>
        <w:tc>
          <w:tcPr>
            <w:tcW w:w="67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F319B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</w:t>
            </w:r>
          </w:p>
          <w:p w14:paraId="558C4E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</w:t>
            </w:r>
          </w:p>
        </w:tc>
        <w:tc>
          <w:tcPr>
            <w:tcW w:w="118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643384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2.88 (2.1~3.94)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C07DA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</w:t>
            </w:r>
          </w:p>
          <w:p w14:paraId="4A294F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</w:t>
            </w:r>
          </w:p>
        </w:tc>
      </w:tr>
    </w:tbl>
    <w:p w14:paraId="5A4364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Table footnote</w:t>
      </w:r>
    </w:p>
    <w:p w14:paraId="65A801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Model 1: adjusted for age, gender, body mass index (BMI), and hypertension (HBP).</w:t>
      </w:r>
    </w:p>
    <w:p w14:paraId="356F89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Model 2: adjusted for Model 1 plus Sequential Organ Failure Assessment (SOFA) score, Acute Physiology and Chronic Health Evaluation II (APACHE II) score, C-reactive protein (CRP), neutrophil count, procalcitonin (PCT), coagulation disorder, N-terminal pro-brain natriuretic peptide (NT-proBNP), arterial oxygen pressure (PaO₂), blood lactate, and blood glucose.</w:t>
      </w:r>
    </w:p>
    <w:p w14:paraId="4FAB4A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Model 3: adjusted for Model 2 plus mechanical ventilation (MV), vasopressor therapy, mean arterial pressure (MAP), septic shock, highly nephrotoxic antibiotic exposure before AKI, and 7-day cumulative fluid balance.</w:t>
      </w:r>
    </w:p>
    <w:p w14:paraId="15C889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Results are presented as odds ratios (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H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Rs) with 95 % confidence intervals (CIs). Boldface indicates statistical significance (p &lt; 0.05).</w:t>
      </w:r>
    </w:p>
    <w:p w14:paraId="303FED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Abbreviations: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APACHE II, Acute Physiology and Chronic Health Evaluation II; ARDS, acute respiratory distress syndrome; BMI, body mass index; CI, confidence interval; CRP, C-reactive protein; HBP, hypertension; HR, hazard ratio;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MAP, mean arterial pressure; MV, mechanical ventilation; NT-proBNP, N-terminal pro-brain natriuretic peptide; PaO₂, arterial oxygen pressure; PCT, procalcitonin; Ref, reference; SA-AKI, sepsis-associated acute kidney injury; SOFA, Sequential Organ Failure Assessment; S100A12, S100 calcium-binding protein A12.</w:t>
      </w:r>
    </w:p>
    <w:p w14:paraId="096967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748EBD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4B3B95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4F8F99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3E9299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02236D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00FBDB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3B4D4D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410E08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2A28F3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14C520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2FC45D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531FC7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747DFE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5B9E82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6F2F42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20A515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05154C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Table S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. Logistic regression analysis after excluding extreme plasma S100A12 values (1st and 99th percentiles)</w:t>
      </w:r>
    </w:p>
    <w:tbl>
      <w:tblPr>
        <w:tblStyle w:val="2"/>
        <w:tblW w:w="921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7"/>
        <w:gridCol w:w="757"/>
        <w:gridCol w:w="1185"/>
        <w:gridCol w:w="898"/>
        <w:gridCol w:w="1185"/>
        <w:gridCol w:w="786"/>
        <w:gridCol w:w="857"/>
        <w:gridCol w:w="786"/>
        <w:gridCol w:w="857"/>
        <w:gridCol w:w="786"/>
      </w:tblGrid>
      <w:tr w14:paraId="4CB2D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207" w:type="dxa"/>
            <w:vMerge w:val="restart"/>
            <w:tcBorders>
              <w:top w:val="single" w:color="auto" w:sz="12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51276B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Variable</w:t>
            </w:r>
          </w:p>
        </w:tc>
        <w:tc>
          <w:tcPr>
            <w:tcW w:w="757" w:type="dxa"/>
            <w:vMerge w:val="restart"/>
            <w:tcBorders>
              <w:top w:val="single" w:color="auto" w:sz="12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644797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n.event_%</w:t>
            </w:r>
          </w:p>
        </w:tc>
        <w:tc>
          <w:tcPr>
            <w:tcW w:w="898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3759D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crude </w:t>
            </w:r>
          </w:p>
        </w:tc>
        <w:tc>
          <w:tcPr>
            <w:tcW w:w="786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0865C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Model 1 </w:t>
            </w:r>
          </w:p>
        </w:tc>
        <w:tc>
          <w:tcPr>
            <w:tcW w:w="786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21EE7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Model 2</w:t>
            </w:r>
          </w:p>
        </w:tc>
        <w:tc>
          <w:tcPr>
            <w:tcW w:w="786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F337D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4"/>
                <w:rFonts w:hint="default" w:ascii="Times New Roman" w:hAnsi="Times New Roman" w:eastAsia="宋体" w:cs="Times New Roman"/>
                <w:b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Model 3</w:t>
            </w:r>
          </w:p>
        </w:tc>
      </w:tr>
      <w:tr w14:paraId="30C94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207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21A95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757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1ECF8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8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B269C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4"/>
                <w:rFonts w:hint="default" w:ascii="Times New Roman" w:hAnsi="Times New Roman" w:eastAsia="宋体" w:cs="Times New Roman"/>
                <w:b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OR(95%CI) </w:t>
            </w:r>
            <w:r>
              <w:rPr>
                <w:rStyle w:val="4"/>
                <w:rFonts w:hint="default" w:ascii="Times New Roman" w:hAnsi="Times New Roman" w:eastAsia="宋体" w:cs="Times New Roman"/>
                <w:b/>
                <w:sz w:val="20"/>
                <w:szCs w:val="20"/>
                <w:lang w:val="en-US" w:eastAsia="zh-CN" w:bidi="ar"/>
              </w:rPr>
              <w:t xml:space="preserve">p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value</w:t>
            </w:r>
          </w:p>
        </w:tc>
        <w:tc>
          <w:tcPr>
            <w:tcW w:w="78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0C990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4"/>
                <w:rFonts w:hint="default" w:ascii="Times New Roman" w:hAnsi="Times New Roman" w:eastAsia="宋体" w:cs="Times New Roman"/>
                <w:b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OR(95%CI) </w:t>
            </w:r>
            <w:r>
              <w:rPr>
                <w:rStyle w:val="4"/>
                <w:rFonts w:hint="default" w:ascii="Times New Roman" w:hAnsi="Times New Roman" w:eastAsia="宋体" w:cs="Times New Roman"/>
                <w:b/>
                <w:sz w:val="20"/>
                <w:szCs w:val="20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value</w:t>
            </w:r>
          </w:p>
        </w:tc>
        <w:tc>
          <w:tcPr>
            <w:tcW w:w="78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7A502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4"/>
                <w:rFonts w:hint="default" w:ascii="Times New Roman" w:hAnsi="Times New Roman" w:eastAsia="宋体" w:cs="Times New Roman"/>
                <w:b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OR(95%CI)</w:t>
            </w:r>
            <w:r>
              <w:rPr>
                <w:rStyle w:val="4"/>
                <w:rFonts w:hint="default" w:ascii="Times New Roman" w:hAnsi="Times New Roman" w:eastAsia="宋体" w:cs="Times New Roman"/>
                <w:b/>
                <w:sz w:val="20"/>
                <w:szCs w:val="20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value</w:t>
            </w:r>
          </w:p>
        </w:tc>
        <w:tc>
          <w:tcPr>
            <w:tcW w:w="78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15FAE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4"/>
                <w:rFonts w:hint="default" w:ascii="Times New Roman" w:hAnsi="Times New Roman" w:eastAsia="宋体" w:cs="Times New Roman"/>
                <w:b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OR(95%CI)</w:t>
            </w:r>
            <w:r>
              <w:rPr>
                <w:rStyle w:val="4"/>
                <w:rFonts w:hint="default" w:ascii="Times New Roman" w:hAnsi="Times New Roman" w:eastAsia="宋体" w:cs="Times New Roman"/>
                <w:b/>
                <w:sz w:val="20"/>
                <w:szCs w:val="20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value</w:t>
            </w:r>
          </w:p>
        </w:tc>
      </w:tr>
      <w:tr w14:paraId="633E0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B56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S100A12 (ng/mL)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BDC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 (59.7)</w:t>
            </w:r>
          </w:p>
        </w:tc>
        <w:tc>
          <w:tcPr>
            <w:tcW w:w="118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98D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1.18 (1.13~1.23)</w:t>
            </w:r>
          </w:p>
        </w:tc>
        <w:tc>
          <w:tcPr>
            <w:tcW w:w="89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6F7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18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CD96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1.19 (1.13~1.25)</w:t>
            </w:r>
          </w:p>
        </w:tc>
        <w:tc>
          <w:tcPr>
            <w:tcW w:w="78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BC8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</w:t>
            </w:r>
          </w:p>
          <w:p w14:paraId="5965C2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</w:t>
            </w:r>
          </w:p>
        </w:tc>
        <w:tc>
          <w:tcPr>
            <w:tcW w:w="85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E72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1.18 (1.11~1.24)</w:t>
            </w:r>
          </w:p>
        </w:tc>
        <w:tc>
          <w:tcPr>
            <w:tcW w:w="78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AFF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</w:t>
            </w:r>
          </w:p>
          <w:p w14:paraId="1F1749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</w:t>
            </w:r>
          </w:p>
        </w:tc>
        <w:tc>
          <w:tcPr>
            <w:tcW w:w="85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5AC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1.18 (1.11~1.25)</w:t>
            </w:r>
          </w:p>
        </w:tc>
        <w:tc>
          <w:tcPr>
            <w:tcW w:w="78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0BF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</w:t>
            </w:r>
          </w:p>
          <w:p w14:paraId="2D326C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</w:t>
            </w:r>
          </w:p>
        </w:tc>
      </w:tr>
      <w:tr w14:paraId="307A8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B845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Tertiles of S100A12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59E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015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672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DA5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8BB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EC6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895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67B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672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17D6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4D3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T1 (low)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473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 (24.6)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126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1(Ref)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299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9FC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1(Ref)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8B67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F65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1(Ref)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92A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091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1(Ref)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C32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E72A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EE7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T2 (middle)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F6D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 (63.1)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434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5.23 (2.46~11.15)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3AC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116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5.02 (2.27~11.08)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200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</w:t>
            </w:r>
          </w:p>
          <w:p w14:paraId="25080F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028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3.79 (1.46~9.82)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E2A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0.006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97E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3.65 (1.36~9.83)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6F9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</w:t>
            </w:r>
          </w:p>
        </w:tc>
      </w:tr>
      <w:tr w14:paraId="542E6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CD8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 (high)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961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 (90.9)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91D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30.62 (11.14~84.18)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356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E22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32.58 (11.22~94.64)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84A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</w:t>
            </w:r>
          </w:p>
          <w:p w14:paraId="1F951B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87C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27.14 (7.98~92.25)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2A0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</w:t>
            </w:r>
          </w:p>
          <w:p w14:paraId="4D29B2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087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24.22 (6.69~87.7)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FFD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</w:t>
            </w:r>
          </w:p>
          <w:p w14:paraId="60F8B3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</w:t>
            </w:r>
          </w:p>
        </w:tc>
      </w:tr>
      <w:tr w14:paraId="28EB5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0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A2C51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 for trend</w:t>
            </w:r>
          </w:p>
        </w:tc>
        <w:tc>
          <w:tcPr>
            <w:tcW w:w="75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54378A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78894F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5.48 (3.37~8.89)</w:t>
            </w:r>
          </w:p>
        </w:tc>
        <w:tc>
          <w:tcPr>
            <w:tcW w:w="89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1F6FF7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D8550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5.59 (3.35~9.32)</w:t>
            </w:r>
          </w:p>
        </w:tc>
        <w:tc>
          <w:tcPr>
            <w:tcW w:w="78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DB0E0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</w:t>
            </w:r>
          </w:p>
          <w:p w14:paraId="668E41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2117E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5.02 (2.78~9.06)</w:t>
            </w:r>
          </w:p>
        </w:tc>
        <w:tc>
          <w:tcPr>
            <w:tcW w:w="78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D9E8C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</w:t>
            </w:r>
          </w:p>
          <w:p w14:paraId="1C7372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47E718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4.75 (2.55~8.88)</w:t>
            </w:r>
          </w:p>
        </w:tc>
        <w:tc>
          <w:tcPr>
            <w:tcW w:w="78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2A6038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</w:t>
            </w:r>
          </w:p>
          <w:p w14:paraId="434FD8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</w:t>
            </w:r>
          </w:p>
        </w:tc>
      </w:tr>
    </w:tbl>
    <w:p w14:paraId="72BEE2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0486993D"/>
    <w:p w14:paraId="63E35003"/>
    <w:p w14:paraId="23580E4B"/>
    <w:p w14:paraId="0C2541AD"/>
    <w:p w14:paraId="5515D119"/>
    <w:p w14:paraId="189C71D2"/>
    <w:p w14:paraId="16469768"/>
    <w:p w14:paraId="151C02F8"/>
    <w:p w14:paraId="6A726F69"/>
    <w:p w14:paraId="1AC5DB40"/>
    <w:p w14:paraId="0EE493DE"/>
    <w:p w14:paraId="4B4B2D58"/>
    <w:p w14:paraId="321FCA57"/>
    <w:p w14:paraId="41FC2BBE"/>
    <w:p w14:paraId="55A720E9"/>
    <w:p w14:paraId="50EB477D"/>
    <w:p w14:paraId="67A8DB65"/>
    <w:p w14:paraId="7DA88C79"/>
    <w:p w14:paraId="6AE5052A"/>
    <w:p w14:paraId="38CBB7B7"/>
    <w:p w14:paraId="0D20C504"/>
    <w:p w14:paraId="469C747A"/>
    <w:p w14:paraId="4F15DBB4"/>
    <w:p w14:paraId="23C2169A"/>
    <w:p w14:paraId="4C153E89"/>
    <w:p w14:paraId="6545C8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 xml:space="preserve">Table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>S6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. Association between standardized plasma S100A12 (per 1 SD) and risk of SA-AKI</w:t>
      </w:r>
    </w:p>
    <w:p w14:paraId="0CB350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</w:p>
    <w:tbl>
      <w:tblPr>
        <w:tblStyle w:val="2"/>
        <w:tblW w:w="844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3"/>
        <w:gridCol w:w="679"/>
        <w:gridCol w:w="1337"/>
        <w:gridCol w:w="1466"/>
        <w:gridCol w:w="1013"/>
        <w:gridCol w:w="1473"/>
        <w:gridCol w:w="1001"/>
      </w:tblGrid>
      <w:tr w14:paraId="23B74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554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98320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Variable</w:t>
            </w:r>
          </w:p>
        </w:tc>
        <w:tc>
          <w:tcPr>
            <w:tcW w:w="67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80FA0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N</w:t>
            </w:r>
          </w:p>
        </w:tc>
        <w:tc>
          <w:tcPr>
            <w:tcW w:w="133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756E4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n.event_%</w:t>
            </w:r>
          </w:p>
        </w:tc>
        <w:tc>
          <w:tcPr>
            <w:tcW w:w="146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114BD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Crude OR </w:t>
            </w:r>
          </w:p>
          <w:p w14:paraId="0B31CC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(95%CI)</w:t>
            </w:r>
          </w:p>
        </w:tc>
        <w:tc>
          <w:tcPr>
            <w:tcW w:w="1013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70032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 value</w:t>
            </w:r>
          </w:p>
        </w:tc>
        <w:tc>
          <w:tcPr>
            <w:tcW w:w="1473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EAF91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0"/>
                <w:szCs w:val="20"/>
              </w:rPr>
              <w:t>Adjusted OR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  <w:p w14:paraId="04304C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(95%CI)</w:t>
            </w:r>
          </w:p>
        </w:tc>
        <w:tc>
          <w:tcPr>
            <w:tcW w:w="100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B46B8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 value</w:t>
            </w:r>
          </w:p>
        </w:tc>
      </w:tr>
      <w:tr w14:paraId="172FA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54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4A1F3C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S100A12 (per 1 SD, z-score)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28A497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</w:t>
            </w:r>
          </w:p>
        </w:tc>
        <w:tc>
          <w:tcPr>
            <w:tcW w:w="1337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01668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 (59.9)</w:t>
            </w:r>
          </w:p>
        </w:tc>
        <w:tc>
          <w:tcPr>
            <w:tcW w:w="1466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398988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4.62 (3.08~6.91)</w:t>
            </w:r>
          </w:p>
        </w:tc>
        <w:tc>
          <w:tcPr>
            <w:tcW w:w="1013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154053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473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76DFEC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4.38 (2.55~7.52)</w:t>
            </w:r>
          </w:p>
        </w:tc>
        <w:tc>
          <w:tcPr>
            <w:tcW w:w="1001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7F9C15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</w:tbl>
    <w:p w14:paraId="38D16A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Table footnote</w:t>
      </w:r>
    </w:p>
    <w:p w14:paraId="4B6AD7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>Odds ratios (ORs) were derived from logistic regression analyses. The adjusted model corresponds to Model 3, which included the following covariates: age, gender, BMI, hypertension, SOFA, APACHE II, CRP, neutrophil count, PCT, coagulation disorder, NT-proBNP, PaO₂, lactate, glucose, mechanical ventilation, vasopressor therapy, MAP, septic shock, HAAKI, and 7-day cumulative fluid balance.</w:t>
      </w:r>
    </w:p>
    <w:p w14:paraId="7B86EE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>S100A12 was standardized to a z-score; odds ratios (ORs) are expressed per one standard deviation (SD) increase in plasma S100A12 concentration.</w:t>
      </w:r>
    </w:p>
    <w:p w14:paraId="375EE4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Abbreviations:</w:t>
      </w:r>
    </w:p>
    <w:p w14:paraId="1513C4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>AKI, acute kidney injury; APACHE II, Acute Physiology and Chronic Health Evaluation II; BMI, body mass index; CRP, C-reactive protein; HAAKI, highly nephrotoxic antibiotic exposure before AKI; MAP, mean arterial pressure; NT-proBNP, N-terminal pro-brain natriuretic peptide; OR, odds ratio; PaO₂, arterial oxygen pressure; PCT, procalcitonin; SA-AKI, sepsis-associated acute kidney injury; SD, standard deviation; SOFA, Sequential Organ Failure Assessment.</w:t>
      </w:r>
    </w:p>
    <w:p w14:paraId="46F4E7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</w:p>
    <w:p w14:paraId="7F3059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</w:p>
    <w:p w14:paraId="2030D3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Table S7. Association between plasma S100A12 and SA-AKI in the matched cohort</w:t>
      </w:r>
    </w:p>
    <w:tbl>
      <w:tblPr>
        <w:tblStyle w:val="2"/>
        <w:tblW w:w="864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3"/>
        <w:gridCol w:w="1210"/>
        <w:gridCol w:w="1877"/>
        <w:gridCol w:w="786"/>
        <w:gridCol w:w="1977"/>
        <w:gridCol w:w="786"/>
      </w:tblGrid>
      <w:tr w14:paraId="29B55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013" w:type="dxa"/>
            <w:vMerge w:val="restart"/>
            <w:tcBorders>
              <w:top w:val="single" w:color="auto" w:sz="12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6CD95B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Variable</w:t>
            </w:r>
          </w:p>
        </w:tc>
        <w:tc>
          <w:tcPr>
            <w:tcW w:w="1210" w:type="dxa"/>
            <w:vMerge w:val="restart"/>
            <w:tcBorders>
              <w:top w:val="single" w:color="auto" w:sz="12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535AC8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n.event_%</w:t>
            </w:r>
          </w:p>
        </w:tc>
        <w:tc>
          <w:tcPr>
            <w:tcW w:w="786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576F9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  <w:t>Matched model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786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BB1CB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  <w:t>Adjusted matched model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</w:tr>
      <w:tr w14:paraId="1E983D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013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1619F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1210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D2A22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0"/>
                <w:szCs w:val="20"/>
              </w:rPr>
            </w:pPr>
          </w:p>
        </w:tc>
        <w:tc>
          <w:tcPr>
            <w:tcW w:w="78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75294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4"/>
                <w:rFonts w:hint="default" w:ascii="Times New Roman" w:hAnsi="Times New Roman" w:eastAsia="宋体" w:cs="Times New Roman"/>
                <w:b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OR(95%CI) </w:t>
            </w:r>
            <w:r>
              <w:rPr>
                <w:rStyle w:val="4"/>
                <w:rFonts w:hint="default" w:ascii="Times New Roman" w:hAnsi="Times New Roman" w:eastAsia="宋体" w:cs="Times New Roman"/>
                <w:b/>
                <w:sz w:val="20"/>
                <w:szCs w:val="20"/>
                <w:lang w:val="en-US" w:eastAsia="zh-CN" w:bidi="ar"/>
              </w:rPr>
              <w:t xml:space="preserve">p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value</w:t>
            </w:r>
          </w:p>
        </w:tc>
        <w:tc>
          <w:tcPr>
            <w:tcW w:w="78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AAFA6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Style w:val="4"/>
                <w:rFonts w:hint="default" w:ascii="Times New Roman" w:hAnsi="Times New Roman" w:eastAsia="宋体" w:cs="Times New Roman"/>
                <w:b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OR(95%CI) </w:t>
            </w:r>
            <w:r>
              <w:rPr>
                <w:rStyle w:val="4"/>
                <w:rFonts w:hint="default" w:ascii="Times New Roman" w:hAnsi="Times New Roman" w:eastAsia="宋体" w:cs="Times New Roman"/>
                <w:b/>
                <w:sz w:val="20"/>
                <w:szCs w:val="20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value</w:t>
            </w:r>
          </w:p>
        </w:tc>
      </w:tr>
      <w:tr w14:paraId="6C843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5EA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S100A12 (ng/mL)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9DE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 (50)</w:t>
            </w:r>
          </w:p>
        </w:tc>
        <w:tc>
          <w:tcPr>
            <w:tcW w:w="187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AED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1.18 (1.07~1.29)</w:t>
            </w:r>
          </w:p>
        </w:tc>
        <w:tc>
          <w:tcPr>
            <w:tcW w:w="78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01B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</w:t>
            </w:r>
          </w:p>
        </w:tc>
        <w:tc>
          <w:tcPr>
            <w:tcW w:w="197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094B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1.19 (1.06~1.33)</w:t>
            </w:r>
          </w:p>
        </w:tc>
        <w:tc>
          <w:tcPr>
            <w:tcW w:w="78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934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0.002</w:t>
            </w:r>
          </w:p>
        </w:tc>
      </w:tr>
      <w:tr w14:paraId="4F755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809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Tertiles of S100A12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507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EF4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6A0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5DF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340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A75E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5A6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T1 (low)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99A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 (25)</w:t>
            </w: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3E3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1(Ref)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996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548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1(Ref)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661C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35EA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348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T2 (middle)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B73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 (54.1)</w:t>
            </w: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362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6.76 (1.46~31.23)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C9D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0.014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46F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9.98 (1.78~55.83)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B8E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0.009</w:t>
            </w:r>
          </w:p>
        </w:tc>
      </w:tr>
      <w:tr w14:paraId="53C2C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26C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T3 (high)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91C2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 (82.6)</w:t>
            </w: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0BD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15.86 (3.07~81.95)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0AD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0E1C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23.41 (3.38~162.14)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70B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</w:t>
            </w:r>
          </w:p>
        </w:tc>
      </w:tr>
      <w:tr w14:paraId="16C9B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1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5061E3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 for trend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5A16C2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1BEB1D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3.76 (1.74~8.13)</w:t>
            </w:r>
          </w:p>
        </w:tc>
        <w:tc>
          <w:tcPr>
            <w:tcW w:w="78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332598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</w:t>
            </w:r>
          </w:p>
        </w:tc>
        <w:tc>
          <w:tcPr>
            <w:tcW w:w="197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6D0A9A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4.42 (1.81~10.79)</w:t>
            </w:r>
          </w:p>
        </w:tc>
        <w:tc>
          <w:tcPr>
            <w:tcW w:w="78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453CA1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</w:t>
            </w:r>
          </w:p>
        </w:tc>
      </w:tr>
    </w:tbl>
    <w:p w14:paraId="580F62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Table footnote</w:t>
      </w:r>
    </w:p>
    <w:p w14:paraId="3EFE1D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>Conditional logistic regression analyses were performed in the matched cohort (n = 96).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>Matching was conducted using a 1:1 nearest-neighbor algorithm with a caliper width of 0.2 to balance baseline characteristics between SA-AKI and non–SA-AKI patients.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>The matched model represents conditional logistic regression accounting for the matched design. The adjusted matched model further adjusted for covariates with residual imbalance after matching (age, SOFA score, and NT-proBNP).</w:t>
      </w:r>
    </w:p>
    <w:p w14:paraId="6FB19B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>P for trend was calculated across S100A12 tertiles.</w:t>
      </w:r>
    </w:p>
    <w:p w14:paraId="273AED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Abbreviations: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 xml:space="preserve">OR, odds ratio; CI, confidence interval; </w:t>
      </w:r>
      <w:bookmarkStart w:id="0" w:name="_GoBack"/>
      <w:bookmarkEnd w:id="0"/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>SOFA, Sequential Organ Failure Assessment; NT-proBNP, N-terminal pro–B-type natriuretic peptide.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A4DB8"/>
    <w:rsid w:val="05045994"/>
    <w:rsid w:val="05D00473"/>
    <w:rsid w:val="06624721"/>
    <w:rsid w:val="06D11A21"/>
    <w:rsid w:val="088B1FB1"/>
    <w:rsid w:val="08F71A98"/>
    <w:rsid w:val="09012917"/>
    <w:rsid w:val="09A10C72"/>
    <w:rsid w:val="0C476893"/>
    <w:rsid w:val="0CED3576"/>
    <w:rsid w:val="10EA5A3E"/>
    <w:rsid w:val="11DA2675"/>
    <w:rsid w:val="142E658A"/>
    <w:rsid w:val="15922F2F"/>
    <w:rsid w:val="15C60E1B"/>
    <w:rsid w:val="15EF27DF"/>
    <w:rsid w:val="161A0B74"/>
    <w:rsid w:val="172A648E"/>
    <w:rsid w:val="172F475C"/>
    <w:rsid w:val="1785421E"/>
    <w:rsid w:val="1BE428CB"/>
    <w:rsid w:val="1DDC7839"/>
    <w:rsid w:val="1DFA4ABA"/>
    <w:rsid w:val="20745325"/>
    <w:rsid w:val="23675615"/>
    <w:rsid w:val="239C52BE"/>
    <w:rsid w:val="24AD1BA4"/>
    <w:rsid w:val="25C24D84"/>
    <w:rsid w:val="26BB48FD"/>
    <w:rsid w:val="26F466F0"/>
    <w:rsid w:val="27B23BF4"/>
    <w:rsid w:val="27E13C65"/>
    <w:rsid w:val="29B175E9"/>
    <w:rsid w:val="29BA2259"/>
    <w:rsid w:val="2B163F34"/>
    <w:rsid w:val="2C574478"/>
    <w:rsid w:val="2C595F37"/>
    <w:rsid w:val="2CC97DA0"/>
    <w:rsid w:val="2D067C4C"/>
    <w:rsid w:val="2E156399"/>
    <w:rsid w:val="2ED45555"/>
    <w:rsid w:val="31E21AC1"/>
    <w:rsid w:val="31FC33CC"/>
    <w:rsid w:val="349F4DAC"/>
    <w:rsid w:val="355359F9"/>
    <w:rsid w:val="37877DCA"/>
    <w:rsid w:val="3882118F"/>
    <w:rsid w:val="3A145757"/>
    <w:rsid w:val="3B163D76"/>
    <w:rsid w:val="3C527456"/>
    <w:rsid w:val="3C7052F6"/>
    <w:rsid w:val="3D2178C5"/>
    <w:rsid w:val="3E9C5D1B"/>
    <w:rsid w:val="3F517030"/>
    <w:rsid w:val="3FF43934"/>
    <w:rsid w:val="40796351"/>
    <w:rsid w:val="41BB295C"/>
    <w:rsid w:val="42186857"/>
    <w:rsid w:val="42270710"/>
    <w:rsid w:val="438C0A54"/>
    <w:rsid w:val="446E4D4C"/>
    <w:rsid w:val="45521829"/>
    <w:rsid w:val="45B75274"/>
    <w:rsid w:val="46F4724E"/>
    <w:rsid w:val="4A4A6F73"/>
    <w:rsid w:val="4A7162AD"/>
    <w:rsid w:val="4AA81486"/>
    <w:rsid w:val="4B146DED"/>
    <w:rsid w:val="4E047D47"/>
    <w:rsid w:val="4E8560C7"/>
    <w:rsid w:val="4F7B673F"/>
    <w:rsid w:val="4FA81C53"/>
    <w:rsid w:val="5133250E"/>
    <w:rsid w:val="52096F54"/>
    <w:rsid w:val="52933A77"/>
    <w:rsid w:val="52EA30A1"/>
    <w:rsid w:val="535B27FA"/>
    <w:rsid w:val="53DC2205"/>
    <w:rsid w:val="55284354"/>
    <w:rsid w:val="57CA524F"/>
    <w:rsid w:val="59305B14"/>
    <w:rsid w:val="596547EF"/>
    <w:rsid w:val="5B231846"/>
    <w:rsid w:val="5DD961EC"/>
    <w:rsid w:val="5E754C1F"/>
    <w:rsid w:val="5F3D27AA"/>
    <w:rsid w:val="5F894360"/>
    <w:rsid w:val="5FE15F4A"/>
    <w:rsid w:val="60FF3C8B"/>
    <w:rsid w:val="62794CD3"/>
    <w:rsid w:val="642E0910"/>
    <w:rsid w:val="64C6142D"/>
    <w:rsid w:val="656D09C3"/>
    <w:rsid w:val="66012783"/>
    <w:rsid w:val="69A262CD"/>
    <w:rsid w:val="69D41F5D"/>
    <w:rsid w:val="6AFE1987"/>
    <w:rsid w:val="6DFE6809"/>
    <w:rsid w:val="6E62679B"/>
    <w:rsid w:val="6EE40E94"/>
    <w:rsid w:val="70AD65C3"/>
    <w:rsid w:val="73224A7E"/>
    <w:rsid w:val="734463A5"/>
    <w:rsid w:val="736A709B"/>
    <w:rsid w:val="746E2011"/>
    <w:rsid w:val="764741E2"/>
    <w:rsid w:val="77163E1A"/>
    <w:rsid w:val="78E35099"/>
    <w:rsid w:val="7A042C0A"/>
    <w:rsid w:val="7B8552CC"/>
    <w:rsid w:val="7C707B9F"/>
    <w:rsid w:val="7CB81302"/>
    <w:rsid w:val="7D43322A"/>
    <w:rsid w:val="7ED37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uiPriority w:val="0"/>
    <w:rPr>
      <w:rFonts w:hint="eastAsia" w:ascii="宋体" w:hAnsi="宋体" w:eastAsia="宋体" w:cs="宋体"/>
      <w:b/>
      <w:bCs/>
      <w:i/>
      <w:i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1108</Words>
  <Characters>6989</Characters>
  <Lines>0</Lines>
  <Paragraphs>0</Paragraphs>
  <TotalTime>2</TotalTime>
  <ScaleCrop>false</ScaleCrop>
  <LinksUpToDate>false</LinksUpToDate>
  <CharactersWithSpaces>7819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2025-12-02T03:44:00Z</dcterms:created>
  <dc:creator>weixing</dc:creator>
  <cp:lastModifiedBy>刘环芹</cp:lastModifiedBy>
  <dcterms:modified xsi:type="dcterms:W3CDTF">2025-12-28T03:01:43Z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eyJoZGlkIjoiNzI4NGZjZTRmODk3NGY0ZTI3NDljNTA3OGRhZjYyMTMiLCJ1c2VySWQiOiI0MTUwNDUzOTQifQ==</vt:lpwstr>
  </property>
  <property fmtid="{D5CDD505-2E9C-101B-9397-08002B2CF9AE}" pid="4" name="ICV">
    <vt:lpwstr>82600F90EA644B0D98022A96A02BE1B7_12</vt:lpwstr>
  </property>
</Properties>
</file>