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9844B7" w14:textId="77777777" w:rsidR="00D3004A" w:rsidRPr="00C44361" w:rsidRDefault="00D3004A" w:rsidP="005B2386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C44361">
        <w:rPr>
          <w:rFonts w:ascii="Times New Roman" w:hAnsi="Times New Roman"/>
          <w:b/>
          <w:sz w:val="24"/>
          <w:szCs w:val="24"/>
        </w:rPr>
        <w:t>Supplementary materials</w:t>
      </w:r>
    </w:p>
    <w:p w14:paraId="34910CD4" w14:textId="77777777" w:rsidR="00D3004A" w:rsidRPr="00C44361" w:rsidRDefault="00D3004A" w:rsidP="005B2386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C44361">
        <w:rPr>
          <w:rFonts w:ascii="Times New Roman" w:hAnsi="Times New Roman"/>
          <w:b/>
          <w:sz w:val="24"/>
          <w:szCs w:val="24"/>
        </w:rPr>
        <w:t>Patient selection criteria</w:t>
      </w:r>
    </w:p>
    <w:p w14:paraId="3BA5ED85" w14:textId="77777777" w:rsidR="00D3004A" w:rsidRPr="00C44361" w:rsidRDefault="00D3004A" w:rsidP="005B2386">
      <w:pPr>
        <w:spacing w:line="360" w:lineRule="auto"/>
        <w:rPr>
          <w:rFonts w:ascii="Times New Roman" w:hAnsi="Times New Roman"/>
          <w:sz w:val="24"/>
          <w:szCs w:val="24"/>
        </w:rPr>
      </w:pPr>
      <w:r w:rsidRPr="00C44361">
        <w:rPr>
          <w:rFonts w:ascii="Times New Roman" w:hAnsi="Times New Roman"/>
          <w:b/>
          <w:sz w:val="24"/>
          <w:szCs w:val="24"/>
        </w:rPr>
        <w:t>Inclusion criteri</w:t>
      </w:r>
      <w:r w:rsidRPr="00C44361">
        <w:rPr>
          <w:rFonts w:ascii="Times New Roman" w:hAnsi="Times New Roman"/>
          <w:sz w:val="24"/>
          <w:szCs w:val="24"/>
        </w:rPr>
        <w:t>a</w:t>
      </w:r>
    </w:p>
    <w:p w14:paraId="6795CC40" w14:textId="77777777" w:rsidR="00D3004A" w:rsidRPr="00C44361" w:rsidRDefault="00D3004A" w:rsidP="005B2386">
      <w:pPr>
        <w:spacing w:line="360" w:lineRule="auto"/>
        <w:ind w:firstLineChars="200" w:firstLine="480"/>
        <w:rPr>
          <w:rFonts w:ascii="Times New Roman" w:hAnsi="Times New Roman"/>
          <w:sz w:val="24"/>
          <w:szCs w:val="24"/>
        </w:rPr>
      </w:pPr>
      <w:r w:rsidRPr="00C44361">
        <w:rPr>
          <w:rFonts w:ascii="Times New Roman" w:hAnsi="Times New Roman"/>
          <w:sz w:val="24"/>
          <w:szCs w:val="24"/>
        </w:rPr>
        <w:t>All patients must meet the following inclusion criteria to be eligible for participation:</w:t>
      </w:r>
    </w:p>
    <w:p w14:paraId="78C99148" w14:textId="77777777" w:rsidR="00D3004A" w:rsidRPr="00C44361" w:rsidRDefault="00D3004A" w:rsidP="005B2386">
      <w:pPr>
        <w:pStyle w:val="1"/>
        <w:numPr>
          <w:ilvl w:val="0"/>
          <w:numId w:val="3"/>
        </w:numPr>
        <w:spacing w:line="360" w:lineRule="auto"/>
        <w:ind w:firstLineChars="0"/>
        <w:rPr>
          <w:rFonts w:ascii="Times New Roman" w:hAnsi="Times New Roman"/>
          <w:sz w:val="24"/>
          <w:szCs w:val="24"/>
        </w:rPr>
      </w:pPr>
      <w:r w:rsidRPr="00C44361">
        <w:rPr>
          <w:rFonts w:ascii="Times New Roman" w:hAnsi="Times New Roman"/>
          <w:sz w:val="24"/>
          <w:szCs w:val="24"/>
        </w:rPr>
        <w:t>Age ≥18 years at the time of informed consent signing.</w:t>
      </w:r>
    </w:p>
    <w:p w14:paraId="67D775C8" w14:textId="77777777" w:rsidR="00D3004A" w:rsidRPr="00C44361" w:rsidRDefault="00D3004A" w:rsidP="005B2386">
      <w:pPr>
        <w:pStyle w:val="1"/>
        <w:numPr>
          <w:ilvl w:val="0"/>
          <w:numId w:val="3"/>
        </w:numPr>
        <w:spacing w:line="360" w:lineRule="auto"/>
        <w:ind w:firstLineChars="0"/>
        <w:rPr>
          <w:rFonts w:ascii="Times New Roman" w:hAnsi="Times New Roman"/>
          <w:sz w:val="24"/>
          <w:szCs w:val="24"/>
        </w:rPr>
      </w:pPr>
      <w:r w:rsidRPr="00C44361">
        <w:rPr>
          <w:rFonts w:ascii="Times New Roman" w:hAnsi="Times New Roman"/>
          <w:sz w:val="24"/>
          <w:szCs w:val="24"/>
        </w:rPr>
        <w:t>Hyperkalemia (serum K</w:t>
      </w:r>
      <w:r w:rsidRPr="00C44361">
        <w:rPr>
          <w:rFonts w:ascii="Times New Roman" w:hAnsi="Times New Roman"/>
          <w:sz w:val="24"/>
          <w:szCs w:val="24"/>
          <w:vertAlign w:val="superscript"/>
        </w:rPr>
        <w:t>+</w:t>
      </w:r>
      <w:r w:rsidRPr="00C44361">
        <w:rPr>
          <w:rFonts w:ascii="Times New Roman" w:hAnsi="Times New Roman"/>
          <w:sz w:val="24"/>
          <w:szCs w:val="24"/>
        </w:rPr>
        <w:t xml:space="preserve"> &gt; 5.0 mmol/L) within 48 h before enrolment.</w:t>
      </w:r>
    </w:p>
    <w:p w14:paraId="4FCE78F5" w14:textId="77777777" w:rsidR="00D3004A" w:rsidRPr="00C44361" w:rsidRDefault="00D3004A" w:rsidP="005B2386">
      <w:pPr>
        <w:pStyle w:val="1"/>
        <w:numPr>
          <w:ilvl w:val="0"/>
          <w:numId w:val="3"/>
        </w:numPr>
        <w:spacing w:line="360" w:lineRule="auto"/>
        <w:ind w:firstLineChars="0"/>
        <w:rPr>
          <w:rFonts w:ascii="Times New Roman" w:hAnsi="Times New Roman"/>
          <w:sz w:val="24"/>
          <w:szCs w:val="24"/>
        </w:rPr>
      </w:pPr>
      <w:r w:rsidRPr="00C44361">
        <w:rPr>
          <w:rFonts w:ascii="Times New Roman" w:hAnsi="Times New Roman"/>
          <w:sz w:val="24"/>
          <w:szCs w:val="24"/>
        </w:rPr>
        <w:t xml:space="preserve">Patients diagnosed with chronic kidney disease with </w:t>
      </w:r>
      <w:r w:rsidRPr="00C44361">
        <w:rPr>
          <w:rFonts w:ascii="Times New Roman" w:hAnsi="Times New Roman"/>
          <w:color w:val="000000"/>
          <w:sz w:val="24"/>
          <w:szCs w:val="24"/>
        </w:rPr>
        <w:t>estimated glomerular filtration rate</w:t>
      </w:r>
      <w:r w:rsidRPr="00C44361">
        <w:rPr>
          <w:rFonts w:ascii="Times New Roman" w:hAnsi="Times New Roman"/>
          <w:sz w:val="24"/>
          <w:szCs w:val="24"/>
        </w:rPr>
        <w:t xml:space="preserve"> (eGFR) &gt;10 ml/min/1.73 m</w:t>
      </w:r>
      <w:r w:rsidRPr="00C44361">
        <w:rPr>
          <w:rFonts w:ascii="Times New Roman" w:hAnsi="Times New Roman"/>
          <w:sz w:val="24"/>
          <w:szCs w:val="24"/>
          <w:vertAlign w:val="superscript"/>
        </w:rPr>
        <w:t>2</w:t>
      </w:r>
      <w:r w:rsidRPr="00C44361">
        <w:rPr>
          <w:rFonts w:ascii="Times New Roman" w:hAnsi="Times New Roman"/>
          <w:sz w:val="24"/>
          <w:szCs w:val="24"/>
        </w:rPr>
        <w:t xml:space="preserve"> based on the Chronic Kidney Disease Epidemiology Collaboration (CKD-EPI) Creatinine Equation (2021).</w:t>
      </w:r>
    </w:p>
    <w:p w14:paraId="3F034025" w14:textId="77777777" w:rsidR="00D3004A" w:rsidRPr="00C44361" w:rsidRDefault="00D3004A" w:rsidP="005B2386">
      <w:pPr>
        <w:pStyle w:val="1"/>
        <w:numPr>
          <w:ilvl w:val="0"/>
          <w:numId w:val="3"/>
        </w:numPr>
        <w:spacing w:line="360" w:lineRule="auto"/>
        <w:ind w:firstLineChars="0"/>
        <w:rPr>
          <w:rFonts w:ascii="Times New Roman" w:hAnsi="Times New Roman"/>
          <w:sz w:val="24"/>
          <w:szCs w:val="24"/>
        </w:rPr>
      </w:pPr>
      <w:r w:rsidRPr="00C44361">
        <w:rPr>
          <w:rFonts w:ascii="Times New Roman" w:hAnsi="Times New Roman"/>
          <w:sz w:val="24"/>
          <w:szCs w:val="24"/>
        </w:rPr>
        <w:t>Ability of giving signed informed consent which includes compliance with the requirements and restrictions listed in the ICF and in this protocol</w:t>
      </w:r>
    </w:p>
    <w:p w14:paraId="7AC0AFEB" w14:textId="77777777" w:rsidR="00D3004A" w:rsidRPr="00C44361" w:rsidRDefault="00D3004A" w:rsidP="005B2386">
      <w:pPr>
        <w:pStyle w:val="1"/>
        <w:spacing w:line="360" w:lineRule="auto"/>
        <w:ind w:firstLineChars="0" w:firstLine="0"/>
        <w:rPr>
          <w:rFonts w:ascii="Times New Roman" w:hAnsi="Times New Roman"/>
          <w:b/>
          <w:sz w:val="24"/>
          <w:szCs w:val="24"/>
        </w:rPr>
      </w:pPr>
      <w:r w:rsidRPr="00C44361">
        <w:rPr>
          <w:rFonts w:ascii="Times New Roman" w:hAnsi="Times New Roman"/>
          <w:b/>
          <w:sz w:val="24"/>
          <w:szCs w:val="24"/>
        </w:rPr>
        <w:t>Exclusion criteria</w:t>
      </w:r>
    </w:p>
    <w:p w14:paraId="4D29BA77" w14:textId="77777777" w:rsidR="00D3004A" w:rsidRPr="00C44361" w:rsidRDefault="00D3004A" w:rsidP="005B2386">
      <w:pPr>
        <w:spacing w:line="360" w:lineRule="auto"/>
        <w:ind w:leftChars="200" w:left="420"/>
        <w:rPr>
          <w:rFonts w:ascii="Times New Roman" w:hAnsi="Times New Roman"/>
          <w:sz w:val="24"/>
          <w:szCs w:val="24"/>
        </w:rPr>
      </w:pPr>
      <w:r w:rsidRPr="00C44361">
        <w:rPr>
          <w:rFonts w:ascii="Times New Roman" w:hAnsi="Times New Roman"/>
          <w:sz w:val="24"/>
          <w:szCs w:val="24"/>
        </w:rPr>
        <w:t>Patients will be excluded from the study if they meet any of the following criteria:</w:t>
      </w:r>
    </w:p>
    <w:p w14:paraId="54E336E1" w14:textId="77777777" w:rsidR="00D3004A" w:rsidRPr="00C44361" w:rsidRDefault="00D3004A" w:rsidP="005B2386">
      <w:pPr>
        <w:pStyle w:val="a0"/>
        <w:widowControl w:val="0"/>
        <w:numPr>
          <w:ilvl w:val="0"/>
          <w:numId w:val="4"/>
        </w:numPr>
        <w:adjustRightInd w:val="0"/>
        <w:snapToGrid w:val="0"/>
        <w:spacing w:beforeLines="50" w:before="156" w:after="0" w:line="360" w:lineRule="auto"/>
        <w:rPr>
          <w:rFonts w:ascii="Times New Roman" w:eastAsia="宋体" w:hAnsi="Times New Roman"/>
        </w:rPr>
      </w:pPr>
      <w:r w:rsidRPr="00C44361">
        <w:rPr>
          <w:rFonts w:ascii="Times New Roman" w:hAnsi="Times New Roman"/>
        </w:rPr>
        <w:t>On dialysis.</w:t>
      </w:r>
    </w:p>
    <w:p w14:paraId="2BBD32CD" w14:textId="77777777" w:rsidR="00D3004A" w:rsidRPr="00C44361" w:rsidRDefault="00D3004A" w:rsidP="005B2386">
      <w:pPr>
        <w:pStyle w:val="a0"/>
        <w:widowControl w:val="0"/>
        <w:numPr>
          <w:ilvl w:val="0"/>
          <w:numId w:val="4"/>
        </w:numPr>
        <w:adjustRightInd w:val="0"/>
        <w:snapToGrid w:val="0"/>
        <w:spacing w:beforeLines="50" w:before="156" w:after="0" w:line="360" w:lineRule="auto"/>
        <w:rPr>
          <w:rFonts w:ascii="Times New Roman" w:eastAsia="宋体" w:hAnsi="Times New Roman"/>
        </w:rPr>
      </w:pPr>
      <w:r w:rsidRPr="00C44361">
        <w:rPr>
          <w:rFonts w:ascii="Times New Roman" w:hAnsi="Times New Roman"/>
        </w:rPr>
        <w:t>Pseudo</w:t>
      </w:r>
      <w:r w:rsidRPr="00C44361">
        <w:rPr>
          <w:rFonts w:ascii="Times New Roman" w:eastAsia="等线" w:hAnsi="Times New Roman"/>
        </w:rPr>
        <w:t>-</w:t>
      </w:r>
      <w:r w:rsidRPr="00C44361">
        <w:rPr>
          <w:rFonts w:ascii="Times New Roman" w:hAnsi="Times New Roman"/>
        </w:rPr>
        <w:t xml:space="preserve">hyperkalemia signs and symptoms, including </w:t>
      </w:r>
      <w:r w:rsidRPr="00C44361">
        <w:rPr>
          <w:rFonts w:ascii="Times New Roman" w:hAnsi="Times New Roman"/>
          <w:lang w:val="en-US"/>
        </w:rPr>
        <w:t>hemolyzed</w:t>
      </w:r>
      <w:r w:rsidRPr="00C44361">
        <w:rPr>
          <w:rFonts w:ascii="Times New Roman" w:hAnsi="Times New Roman"/>
        </w:rPr>
        <w:t xml:space="preserve"> blood specimen due</w:t>
      </w:r>
      <w:r w:rsidRPr="00C44361">
        <w:rPr>
          <w:rFonts w:ascii="Times New Roman" w:eastAsia="宋体" w:hAnsi="Times New Roman"/>
        </w:rPr>
        <w:t xml:space="preserve"> </w:t>
      </w:r>
      <w:r w:rsidRPr="00C44361">
        <w:rPr>
          <w:rFonts w:ascii="Times New Roman" w:hAnsi="Times New Roman"/>
        </w:rPr>
        <w:t>to excessive fist clenching to make veins prominent, difficult or traumatic</w:t>
      </w:r>
      <w:r w:rsidRPr="00C44361">
        <w:rPr>
          <w:rFonts w:ascii="Times New Roman" w:eastAsia="宋体" w:hAnsi="Times New Roman"/>
        </w:rPr>
        <w:t xml:space="preserve"> </w:t>
      </w:r>
      <w:r w:rsidRPr="00C44361">
        <w:rPr>
          <w:rFonts w:ascii="Times New Roman" w:hAnsi="Times New Roman"/>
        </w:rPr>
        <w:t>venipuncture, or a history of severe leucocytosis or thrombocytosis.</w:t>
      </w:r>
    </w:p>
    <w:p w14:paraId="1452ACE1" w14:textId="77777777" w:rsidR="00D3004A" w:rsidRPr="00C44361" w:rsidRDefault="00D3004A" w:rsidP="005B2386">
      <w:pPr>
        <w:pStyle w:val="a0"/>
        <w:widowControl w:val="0"/>
        <w:numPr>
          <w:ilvl w:val="0"/>
          <w:numId w:val="4"/>
        </w:numPr>
        <w:adjustRightInd w:val="0"/>
        <w:snapToGrid w:val="0"/>
        <w:spacing w:beforeLines="50" w:before="156" w:after="0" w:line="360" w:lineRule="auto"/>
        <w:rPr>
          <w:rFonts w:ascii="Times New Roman" w:eastAsia="宋体" w:hAnsi="Times New Roman"/>
        </w:rPr>
      </w:pPr>
      <w:r w:rsidRPr="00C44361">
        <w:rPr>
          <w:rFonts w:ascii="Times New Roman" w:eastAsia="宋体" w:hAnsi="Times New Roman"/>
        </w:rPr>
        <w:t>A</w:t>
      </w:r>
      <w:r w:rsidRPr="00C44361">
        <w:rPr>
          <w:rFonts w:ascii="Times New Roman" w:hAnsi="Times New Roman"/>
        </w:rPr>
        <w:t xml:space="preserve">cute kidney injury </w:t>
      </w:r>
      <w:r w:rsidRPr="00C44361">
        <w:rPr>
          <w:rFonts w:ascii="Times New Roman" w:eastAsia="宋体" w:hAnsi="Times New Roman"/>
        </w:rPr>
        <w:t>(</w:t>
      </w:r>
      <w:r w:rsidRPr="00C44361">
        <w:rPr>
          <w:rFonts w:ascii="Times New Roman" w:hAnsi="Times New Roman"/>
        </w:rPr>
        <w:t>AKI</w:t>
      </w:r>
      <w:r w:rsidRPr="00C44361">
        <w:rPr>
          <w:rFonts w:ascii="Times New Roman" w:eastAsia="宋体" w:hAnsi="Times New Roman"/>
        </w:rPr>
        <w:t>)</w:t>
      </w:r>
      <w:r w:rsidRPr="00C44361">
        <w:rPr>
          <w:rFonts w:ascii="Times New Roman" w:hAnsi="Times New Roman"/>
        </w:rPr>
        <w:t xml:space="preserve"> or diabetic ketoacidosis </w:t>
      </w:r>
      <w:r w:rsidRPr="00C44361">
        <w:rPr>
          <w:rFonts w:ascii="Times New Roman" w:eastAsia="宋体" w:hAnsi="Times New Roman"/>
        </w:rPr>
        <w:t>(</w:t>
      </w:r>
      <w:r w:rsidRPr="00C44361">
        <w:rPr>
          <w:rFonts w:ascii="Times New Roman" w:hAnsi="Times New Roman"/>
        </w:rPr>
        <w:t>DKA</w:t>
      </w:r>
      <w:r w:rsidRPr="00C44361">
        <w:rPr>
          <w:rFonts w:ascii="Times New Roman" w:eastAsia="宋体" w:hAnsi="Times New Roman"/>
        </w:rPr>
        <w:t>).</w:t>
      </w:r>
    </w:p>
    <w:p w14:paraId="42BEF560" w14:textId="77777777" w:rsidR="00D3004A" w:rsidRPr="00C44361" w:rsidRDefault="00D3004A" w:rsidP="005B2386">
      <w:pPr>
        <w:pStyle w:val="a0"/>
        <w:widowControl w:val="0"/>
        <w:numPr>
          <w:ilvl w:val="0"/>
          <w:numId w:val="4"/>
        </w:numPr>
        <w:adjustRightInd w:val="0"/>
        <w:snapToGrid w:val="0"/>
        <w:spacing w:beforeLines="50" w:before="156" w:after="0" w:line="360" w:lineRule="auto"/>
        <w:rPr>
          <w:rFonts w:ascii="Times New Roman" w:eastAsia="宋体" w:hAnsi="Times New Roman"/>
        </w:rPr>
      </w:pPr>
      <w:r w:rsidRPr="00C44361">
        <w:rPr>
          <w:rFonts w:ascii="Times New Roman" w:hAnsi="Times New Roman"/>
        </w:rPr>
        <w:t>Cardiac arrhythmias that require immediate treatment.</w:t>
      </w:r>
    </w:p>
    <w:p w14:paraId="32D84236" w14:textId="77777777" w:rsidR="00D3004A" w:rsidRPr="00C44361" w:rsidRDefault="00D3004A" w:rsidP="005B2386">
      <w:pPr>
        <w:pStyle w:val="a0"/>
        <w:widowControl w:val="0"/>
        <w:numPr>
          <w:ilvl w:val="0"/>
          <w:numId w:val="4"/>
        </w:numPr>
        <w:adjustRightInd w:val="0"/>
        <w:snapToGrid w:val="0"/>
        <w:spacing w:beforeLines="50" w:before="156" w:after="0" w:line="360" w:lineRule="auto"/>
        <w:rPr>
          <w:rFonts w:ascii="Times New Roman" w:eastAsia="宋体" w:hAnsi="Times New Roman"/>
        </w:rPr>
      </w:pPr>
      <w:r w:rsidRPr="00C44361">
        <w:rPr>
          <w:rFonts w:ascii="Times New Roman" w:hAnsi="Times New Roman"/>
        </w:rPr>
        <w:t>Scheduled renal transplant or a history of</w:t>
      </w:r>
      <w:r w:rsidRPr="00C44361">
        <w:rPr>
          <w:rFonts w:ascii="Times New Roman" w:eastAsia="TimesNewRoman" w:hAnsi="Times New Roman"/>
          <w:lang w:val="en-US"/>
        </w:rPr>
        <w:t xml:space="preserve"> </w:t>
      </w:r>
      <w:r w:rsidRPr="00C44361">
        <w:rPr>
          <w:rFonts w:ascii="Times New Roman" w:hAnsi="Times New Roman"/>
          <w:lang w:val="en-US"/>
        </w:rPr>
        <w:t>renal transplant.</w:t>
      </w:r>
    </w:p>
    <w:p w14:paraId="2D70DF65" w14:textId="77777777" w:rsidR="00D3004A" w:rsidRPr="00C44361" w:rsidRDefault="00D3004A" w:rsidP="005B2386">
      <w:pPr>
        <w:pStyle w:val="a0"/>
        <w:widowControl w:val="0"/>
        <w:numPr>
          <w:ilvl w:val="0"/>
          <w:numId w:val="4"/>
        </w:numPr>
        <w:adjustRightInd w:val="0"/>
        <w:snapToGrid w:val="0"/>
        <w:spacing w:beforeLines="50" w:before="156" w:after="0" w:line="360" w:lineRule="auto"/>
        <w:rPr>
          <w:rFonts w:ascii="Times New Roman" w:eastAsia="宋体" w:hAnsi="Times New Roman"/>
        </w:rPr>
      </w:pPr>
      <w:r w:rsidRPr="00C44361">
        <w:rPr>
          <w:rFonts w:ascii="Times New Roman" w:hAnsi="Times New Roman"/>
        </w:rPr>
        <w:t>Life expectancy &lt; 48 weeks.</w:t>
      </w:r>
    </w:p>
    <w:p w14:paraId="5E36EDFF" w14:textId="77777777" w:rsidR="00D3004A" w:rsidRPr="00C44361" w:rsidRDefault="00D3004A" w:rsidP="005B2386">
      <w:pPr>
        <w:pStyle w:val="a0"/>
        <w:widowControl w:val="0"/>
        <w:numPr>
          <w:ilvl w:val="0"/>
          <w:numId w:val="4"/>
        </w:numPr>
        <w:adjustRightInd w:val="0"/>
        <w:snapToGrid w:val="0"/>
        <w:spacing w:beforeLines="50" w:before="156" w:after="0" w:line="360" w:lineRule="auto"/>
        <w:rPr>
          <w:rFonts w:ascii="Times New Roman" w:eastAsia="宋体" w:hAnsi="Times New Roman"/>
        </w:rPr>
      </w:pPr>
      <w:r w:rsidRPr="00C44361">
        <w:rPr>
          <w:rFonts w:ascii="Times New Roman" w:hAnsi="Times New Roman"/>
          <w:lang w:bidi="en-US"/>
        </w:rPr>
        <w:t>A history of malignancy except for:</w:t>
      </w:r>
    </w:p>
    <w:p w14:paraId="7C553456" w14:textId="77777777" w:rsidR="00D3004A" w:rsidRPr="00C44361" w:rsidRDefault="00D3004A" w:rsidP="005B2386">
      <w:pPr>
        <w:pStyle w:val="2"/>
        <w:widowControl w:val="0"/>
        <w:numPr>
          <w:ilvl w:val="1"/>
          <w:numId w:val="4"/>
        </w:numPr>
        <w:adjustRightInd w:val="0"/>
        <w:snapToGrid w:val="0"/>
        <w:spacing w:beforeLines="50" w:before="156" w:after="0" w:line="360" w:lineRule="auto"/>
        <w:rPr>
          <w:rFonts w:ascii="Times New Roman" w:eastAsia="宋体" w:hAnsi="Times New Roman"/>
        </w:rPr>
      </w:pPr>
      <w:r w:rsidRPr="00C44361">
        <w:rPr>
          <w:rFonts w:ascii="Times New Roman" w:hAnsi="Times New Roman"/>
          <w:lang w:bidi="en-US"/>
        </w:rPr>
        <w:t>Malignancy treated with curative intent and no known active disease within 3 years before the enrolment and of low potential risk for recurrence.</w:t>
      </w:r>
    </w:p>
    <w:p w14:paraId="6BC5CC3D" w14:textId="77777777" w:rsidR="00D3004A" w:rsidRPr="00C44361" w:rsidRDefault="00D3004A" w:rsidP="005B2386">
      <w:pPr>
        <w:pStyle w:val="2"/>
        <w:widowControl w:val="0"/>
        <w:numPr>
          <w:ilvl w:val="1"/>
          <w:numId w:val="4"/>
        </w:numPr>
        <w:adjustRightInd w:val="0"/>
        <w:snapToGrid w:val="0"/>
        <w:spacing w:beforeLines="50" w:before="156" w:after="0" w:line="360" w:lineRule="auto"/>
        <w:rPr>
          <w:rFonts w:ascii="Times New Roman" w:eastAsia="宋体" w:hAnsi="Times New Roman"/>
        </w:rPr>
      </w:pPr>
      <w:r w:rsidRPr="00C44361">
        <w:rPr>
          <w:rFonts w:ascii="Times New Roman" w:hAnsi="Times New Roman"/>
          <w:lang w:bidi="en-US"/>
        </w:rPr>
        <w:t>Adequately treated non-melanoma skin cancer or lentigo malignancy without evidence of disease.</w:t>
      </w:r>
    </w:p>
    <w:p w14:paraId="1E3929E3" w14:textId="77777777" w:rsidR="00D3004A" w:rsidRPr="00C44361" w:rsidRDefault="00D3004A" w:rsidP="005B2386">
      <w:pPr>
        <w:pStyle w:val="2"/>
        <w:widowControl w:val="0"/>
        <w:numPr>
          <w:ilvl w:val="1"/>
          <w:numId w:val="4"/>
        </w:numPr>
        <w:adjustRightInd w:val="0"/>
        <w:snapToGrid w:val="0"/>
        <w:spacing w:beforeLines="50" w:before="156" w:after="0" w:line="360" w:lineRule="auto"/>
        <w:rPr>
          <w:rFonts w:ascii="Times New Roman" w:eastAsia="宋体" w:hAnsi="Times New Roman"/>
        </w:rPr>
      </w:pPr>
      <w:r w:rsidRPr="00C44361">
        <w:rPr>
          <w:rFonts w:ascii="Times New Roman" w:hAnsi="Times New Roman"/>
          <w:lang w:bidi="en-US"/>
        </w:rPr>
        <w:t>Adequately treated carcinoma in situ without evidence of disease.</w:t>
      </w:r>
    </w:p>
    <w:p w14:paraId="1208A855" w14:textId="77777777" w:rsidR="00D3004A" w:rsidRPr="00C44361" w:rsidRDefault="00D3004A" w:rsidP="005B2386">
      <w:pPr>
        <w:pStyle w:val="a0"/>
        <w:widowControl w:val="0"/>
        <w:numPr>
          <w:ilvl w:val="0"/>
          <w:numId w:val="4"/>
        </w:numPr>
        <w:adjustRightInd w:val="0"/>
        <w:snapToGrid w:val="0"/>
        <w:spacing w:beforeLines="50" w:before="156" w:after="0" w:line="360" w:lineRule="auto"/>
        <w:rPr>
          <w:rFonts w:ascii="Times New Roman" w:eastAsia="宋体" w:hAnsi="Times New Roman"/>
        </w:rPr>
      </w:pPr>
      <w:r w:rsidRPr="00C44361">
        <w:rPr>
          <w:rFonts w:ascii="Times New Roman" w:hAnsi="Times New Roman"/>
        </w:rPr>
        <w:lastRenderedPageBreak/>
        <w:t>Participation in other intervention clinical trials</w:t>
      </w:r>
    </w:p>
    <w:p w14:paraId="712E8790" w14:textId="77777777" w:rsidR="00D3004A" w:rsidRPr="00C44361" w:rsidRDefault="00D3004A" w:rsidP="005B2386">
      <w:pPr>
        <w:pStyle w:val="a0"/>
        <w:widowControl w:val="0"/>
        <w:numPr>
          <w:ilvl w:val="0"/>
          <w:numId w:val="4"/>
        </w:numPr>
        <w:adjustRightInd w:val="0"/>
        <w:snapToGrid w:val="0"/>
        <w:spacing w:beforeLines="50" w:before="156" w:after="0" w:line="360" w:lineRule="auto"/>
        <w:rPr>
          <w:rStyle w:val="CPTVariable"/>
          <w:rFonts w:ascii="Times New Roman" w:eastAsia="宋体" w:hAnsi="Times New Roman"/>
          <w:color w:val="000000"/>
        </w:rPr>
      </w:pPr>
      <w:r w:rsidRPr="00C44361">
        <w:rPr>
          <w:rStyle w:val="CPTVariable"/>
          <w:rFonts w:ascii="Times New Roman" w:hAnsi="Times New Roman"/>
          <w:color w:val="000000"/>
        </w:rPr>
        <w:t xml:space="preserve">Judgment by the </w:t>
      </w:r>
      <w:r w:rsidRPr="00C44361">
        <w:rPr>
          <w:rStyle w:val="CPTVariable"/>
          <w:rFonts w:ascii="Times New Roman" w:eastAsia="宋体" w:hAnsi="Times New Roman"/>
          <w:color w:val="000000"/>
        </w:rPr>
        <w:t>health care professional</w:t>
      </w:r>
      <w:r w:rsidRPr="00C44361">
        <w:rPr>
          <w:rStyle w:val="CPTVariable"/>
          <w:rFonts w:ascii="Times New Roman" w:hAnsi="Times New Roman"/>
          <w:color w:val="000000"/>
        </w:rPr>
        <w:t xml:space="preserve"> (HCP) that the patient should not participate in the study if the</w:t>
      </w:r>
      <w:r w:rsidRPr="00C44361">
        <w:rPr>
          <w:rStyle w:val="CPTVariable"/>
          <w:rFonts w:ascii="Times New Roman" w:eastAsia="宋体" w:hAnsi="Times New Roman"/>
          <w:color w:val="000000"/>
        </w:rPr>
        <w:t xml:space="preserve"> </w:t>
      </w:r>
      <w:r w:rsidRPr="00C44361">
        <w:rPr>
          <w:rStyle w:val="CPTVariable"/>
          <w:rFonts w:ascii="Times New Roman" w:hAnsi="Times New Roman"/>
          <w:color w:val="000000"/>
        </w:rPr>
        <w:t>patient is unlikely to comply with study procedures, restrictions, and requirements</w:t>
      </w:r>
    </w:p>
    <w:p w14:paraId="2113927B" w14:textId="77777777" w:rsidR="00D3004A" w:rsidRPr="00C44361" w:rsidRDefault="00D3004A" w:rsidP="005B2386">
      <w:pPr>
        <w:spacing w:line="360" w:lineRule="auto"/>
        <w:jc w:val="left"/>
        <w:rPr>
          <w:rFonts w:ascii="Times New Roman" w:hAnsi="Times New Roman"/>
          <w:b/>
          <w:sz w:val="24"/>
          <w:szCs w:val="24"/>
          <w:lang w:val="en-GB"/>
        </w:rPr>
      </w:pPr>
    </w:p>
    <w:p w14:paraId="06E73335" w14:textId="77777777" w:rsidR="00D3004A" w:rsidRPr="00C44361" w:rsidRDefault="00D3004A" w:rsidP="005B2386">
      <w:pPr>
        <w:spacing w:line="360" w:lineRule="auto"/>
        <w:jc w:val="left"/>
        <w:rPr>
          <w:rFonts w:ascii="Times New Roman" w:hAnsi="Times New Roman"/>
          <w:b/>
          <w:sz w:val="24"/>
          <w:szCs w:val="24"/>
          <w:lang w:val="en-GB"/>
        </w:rPr>
        <w:sectPr w:rsidR="00D3004A" w:rsidRPr="00C44361" w:rsidSect="00FE6FA3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EA42668" w14:textId="77777777" w:rsidR="00D3004A" w:rsidRPr="00C44361" w:rsidRDefault="00D3004A" w:rsidP="005B2386">
      <w:pPr>
        <w:spacing w:line="360" w:lineRule="auto"/>
        <w:jc w:val="left"/>
        <w:rPr>
          <w:rFonts w:ascii="Times New Roman" w:hAnsi="Times New Roman"/>
          <w:sz w:val="24"/>
          <w:szCs w:val="24"/>
          <w:lang w:val="en-GB"/>
        </w:rPr>
      </w:pPr>
      <w:r w:rsidRPr="00C44361">
        <w:rPr>
          <w:rFonts w:ascii="Times New Roman" w:hAnsi="Times New Roman"/>
          <w:b/>
          <w:sz w:val="24"/>
          <w:szCs w:val="24"/>
          <w:lang w:val="en-GB"/>
        </w:rPr>
        <w:lastRenderedPageBreak/>
        <w:t xml:space="preserve">Table S1. </w:t>
      </w:r>
      <w:r w:rsidRPr="00C44361">
        <w:rPr>
          <w:rFonts w:ascii="Times New Roman" w:hAnsi="Times New Roman"/>
          <w:sz w:val="24"/>
          <w:szCs w:val="24"/>
          <w:lang w:val="en-GB"/>
        </w:rPr>
        <w:t>Contents of core slides for comprehensive and intensive training</w:t>
      </w:r>
    </w:p>
    <w:tbl>
      <w:tblPr>
        <w:tblStyle w:val="a5"/>
        <w:tblW w:w="1402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11340"/>
      </w:tblGrid>
      <w:tr w:rsidR="00D3004A" w:rsidRPr="00C44361" w14:paraId="2685CFBB" w14:textId="77777777" w:rsidTr="00D3004A">
        <w:tc>
          <w:tcPr>
            <w:tcW w:w="2689" w:type="dxa"/>
            <w:tcBorders>
              <w:top w:val="single" w:sz="4" w:space="0" w:color="auto"/>
              <w:bottom w:val="single" w:sz="4" w:space="0" w:color="auto"/>
            </w:tcBorders>
          </w:tcPr>
          <w:p w14:paraId="2A625FCA" w14:textId="77777777" w:rsidR="00D3004A" w:rsidRPr="00C44361" w:rsidRDefault="00D3004A" w:rsidP="005B2386">
            <w:pPr>
              <w:spacing w:line="36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C44361">
              <w:rPr>
                <w:rFonts w:ascii="Times New Roman" w:hAnsi="Times New Roman"/>
                <w:b/>
                <w:sz w:val="24"/>
                <w:szCs w:val="24"/>
              </w:rPr>
              <w:t>Items</w:t>
            </w:r>
          </w:p>
        </w:tc>
        <w:tc>
          <w:tcPr>
            <w:tcW w:w="11340" w:type="dxa"/>
            <w:tcBorders>
              <w:top w:val="single" w:sz="4" w:space="0" w:color="auto"/>
              <w:bottom w:val="single" w:sz="4" w:space="0" w:color="auto"/>
            </w:tcBorders>
          </w:tcPr>
          <w:p w14:paraId="1B01938A" w14:textId="77777777" w:rsidR="00D3004A" w:rsidRPr="00C44361" w:rsidRDefault="00D3004A" w:rsidP="005B2386">
            <w:pPr>
              <w:spacing w:line="36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C44361">
              <w:rPr>
                <w:rFonts w:ascii="Times New Roman" w:hAnsi="Times New Roman"/>
                <w:b/>
                <w:sz w:val="24"/>
                <w:szCs w:val="24"/>
              </w:rPr>
              <w:t>Highlights</w:t>
            </w:r>
          </w:p>
        </w:tc>
      </w:tr>
      <w:tr w:rsidR="00D3004A" w:rsidRPr="00C44361" w14:paraId="45EAF7EA" w14:textId="77777777" w:rsidTr="00D3004A">
        <w:tc>
          <w:tcPr>
            <w:tcW w:w="2689" w:type="dxa"/>
            <w:tcBorders>
              <w:top w:val="single" w:sz="4" w:space="0" w:color="auto"/>
            </w:tcBorders>
          </w:tcPr>
          <w:p w14:paraId="767EEE0E" w14:textId="77777777" w:rsidR="00D3004A" w:rsidRPr="00C44361" w:rsidRDefault="00D3004A" w:rsidP="005B2386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44361">
              <w:rPr>
                <w:rFonts w:ascii="Times New Roman" w:hAnsi="Times New Roman"/>
                <w:sz w:val="24"/>
                <w:szCs w:val="24"/>
              </w:rPr>
              <w:t>Disease education on hyperkalemia</w:t>
            </w:r>
          </w:p>
        </w:tc>
        <w:tc>
          <w:tcPr>
            <w:tcW w:w="11340" w:type="dxa"/>
            <w:tcBorders>
              <w:top w:val="single" w:sz="4" w:space="0" w:color="auto"/>
            </w:tcBorders>
          </w:tcPr>
          <w:p w14:paraId="7E7F86F8" w14:textId="77777777" w:rsidR="00D3004A" w:rsidRPr="00C44361" w:rsidRDefault="00D3004A" w:rsidP="005B2386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44361">
              <w:rPr>
                <w:rFonts w:ascii="Times New Roman" w:hAnsi="Times New Roman"/>
                <w:sz w:val="24"/>
                <w:szCs w:val="24"/>
              </w:rPr>
              <w:t xml:space="preserve">Definition/Diagnosis/Initiation of Intervention: </w:t>
            </w:r>
          </w:p>
          <w:p w14:paraId="7D69C9E8" w14:textId="77777777" w:rsidR="00D3004A" w:rsidRPr="00C44361" w:rsidRDefault="00D3004A" w:rsidP="005B2386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44361">
              <w:rPr>
                <w:rFonts w:ascii="Times New Roman" w:hAnsi="Times New Roman"/>
                <w:sz w:val="24"/>
                <w:szCs w:val="24"/>
              </w:rPr>
              <w:t>• Hyperkalemia: sK</w:t>
            </w:r>
            <w:r w:rsidRPr="00C44361">
              <w:rPr>
                <w:rFonts w:ascii="Times New Roman" w:hAnsi="Times New Roman"/>
                <w:sz w:val="24"/>
                <w:szCs w:val="24"/>
                <w:vertAlign w:val="superscript"/>
              </w:rPr>
              <w:t>+</w:t>
            </w:r>
            <w:r w:rsidRPr="00C44361">
              <w:rPr>
                <w:rFonts w:ascii="Times New Roman" w:hAnsi="Times New Roman"/>
                <w:sz w:val="24"/>
                <w:szCs w:val="24"/>
              </w:rPr>
              <w:t xml:space="preserve">&gt;5.0 mmol/L </w:t>
            </w:r>
          </w:p>
          <w:p w14:paraId="5E73C62F" w14:textId="77777777" w:rsidR="00D3004A" w:rsidRPr="00C44361" w:rsidRDefault="00D3004A" w:rsidP="005B2386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44361">
              <w:rPr>
                <w:rFonts w:ascii="Times New Roman" w:hAnsi="Times New Roman"/>
                <w:sz w:val="24"/>
                <w:szCs w:val="24"/>
              </w:rPr>
              <w:t xml:space="preserve">HK management goals for CKD-ND patients: </w:t>
            </w:r>
          </w:p>
          <w:p w14:paraId="1A86F17D" w14:textId="77777777" w:rsidR="00D3004A" w:rsidRPr="00C44361" w:rsidRDefault="00D3004A" w:rsidP="005B2386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44361">
              <w:rPr>
                <w:rFonts w:ascii="Times New Roman" w:hAnsi="Times New Roman"/>
                <w:sz w:val="24"/>
                <w:szCs w:val="24"/>
              </w:rPr>
              <w:t>• Reduce deaths; Ensure RAASi use to improve cardiorenal endpoint events (CKD patients who cut off RAASi therapy because of hyperkalemia have up to a 74% increased risk of ESKD progression)</w:t>
            </w:r>
          </w:p>
        </w:tc>
      </w:tr>
      <w:tr w:rsidR="00D3004A" w:rsidRPr="00C44361" w14:paraId="3211493A" w14:textId="77777777" w:rsidTr="00D3004A">
        <w:tc>
          <w:tcPr>
            <w:tcW w:w="2689" w:type="dxa"/>
          </w:tcPr>
          <w:p w14:paraId="6235ABFD" w14:textId="77777777" w:rsidR="00D3004A" w:rsidRPr="00C44361" w:rsidRDefault="00D3004A" w:rsidP="005B2386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44361">
              <w:rPr>
                <w:rFonts w:ascii="Times New Roman" w:hAnsi="Times New Roman"/>
                <w:sz w:val="24"/>
                <w:szCs w:val="24"/>
              </w:rPr>
              <w:t>Hyperkalemia follow-up and monitoring frequency</w:t>
            </w:r>
          </w:p>
        </w:tc>
        <w:tc>
          <w:tcPr>
            <w:tcW w:w="11340" w:type="dxa"/>
          </w:tcPr>
          <w:p w14:paraId="4013FCE6" w14:textId="77777777" w:rsidR="00D3004A" w:rsidRPr="00C44361" w:rsidRDefault="00D3004A" w:rsidP="005B2386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44361">
              <w:rPr>
                <w:rFonts w:ascii="Times New Roman" w:hAnsi="Times New Roman"/>
                <w:sz w:val="24"/>
                <w:szCs w:val="24"/>
              </w:rPr>
              <w:t xml:space="preserve">• Patients with CKD should have their potassium monitored at the initial diagnosis and at each subsequent review; </w:t>
            </w:r>
          </w:p>
          <w:p w14:paraId="59D9E449" w14:textId="77777777" w:rsidR="00D3004A" w:rsidRPr="00C44361" w:rsidRDefault="00D3004A" w:rsidP="005B2386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44361">
              <w:rPr>
                <w:rFonts w:ascii="Times New Roman" w:hAnsi="Times New Roman"/>
                <w:sz w:val="24"/>
                <w:szCs w:val="24"/>
              </w:rPr>
              <w:t xml:space="preserve">• In high-risk patients*, after the first potassium abnormality, the frequency of potassium monitoring should be increased (at least once a month) until the predisposing factor has been identified and addressed; </w:t>
            </w:r>
          </w:p>
          <w:p w14:paraId="1717B178" w14:textId="77777777" w:rsidR="00D3004A" w:rsidRPr="00C44361" w:rsidRDefault="00D3004A" w:rsidP="005B2386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44361">
              <w:rPr>
                <w:rFonts w:ascii="Times New Roman" w:hAnsi="Times New Roman"/>
                <w:sz w:val="24"/>
                <w:szCs w:val="24"/>
              </w:rPr>
              <w:t>• Review sK</w:t>
            </w:r>
            <w:r w:rsidRPr="00C44361">
              <w:rPr>
                <w:rFonts w:ascii="Times New Roman" w:hAnsi="Times New Roman"/>
                <w:sz w:val="24"/>
                <w:szCs w:val="24"/>
                <w:vertAlign w:val="superscript"/>
              </w:rPr>
              <w:t>+</w:t>
            </w:r>
            <w:r w:rsidRPr="00C44361">
              <w:rPr>
                <w:rFonts w:ascii="Times New Roman" w:hAnsi="Times New Roman"/>
                <w:sz w:val="24"/>
                <w:szCs w:val="24"/>
              </w:rPr>
              <w:t xml:space="preserve"> to prevent hyperkalemia in CKD patients before and 1 to 2 weeks after starting RAASi administration or dose increases; </w:t>
            </w:r>
          </w:p>
          <w:p w14:paraId="0300001F" w14:textId="77777777" w:rsidR="00D3004A" w:rsidRPr="00C44361" w:rsidRDefault="00D3004A" w:rsidP="005B2386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44361">
              <w:rPr>
                <w:rFonts w:ascii="Times New Roman" w:hAnsi="Times New Roman"/>
                <w:sz w:val="24"/>
                <w:szCs w:val="24"/>
              </w:rPr>
              <w:t>• (Hemodialysis and peritoneal dialysis patients should routinely have their sK</w:t>
            </w:r>
            <w:r w:rsidRPr="00C44361">
              <w:rPr>
                <w:rFonts w:ascii="Times New Roman" w:hAnsi="Times New Roman"/>
                <w:sz w:val="24"/>
                <w:szCs w:val="24"/>
                <w:vertAlign w:val="superscript"/>
              </w:rPr>
              <w:t>+</w:t>
            </w:r>
            <w:r w:rsidRPr="00C44361">
              <w:rPr>
                <w:rFonts w:ascii="Times New Roman" w:hAnsi="Times New Roman"/>
                <w:sz w:val="24"/>
                <w:szCs w:val="24"/>
              </w:rPr>
              <w:t xml:space="preserve"> checked every 1-3 months, and more frequent monitoring (at least monthly) is recommended if there is a history of hypokalemia or hyperkalemia).</w:t>
            </w:r>
          </w:p>
        </w:tc>
      </w:tr>
      <w:tr w:rsidR="00D3004A" w:rsidRPr="00C44361" w14:paraId="0BB4A30E" w14:textId="77777777" w:rsidTr="00D3004A">
        <w:tc>
          <w:tcPr>
            <w:tcW w:w="2689" w:type="dxa"/>
          </w:tcPr>
          <w:p w14:paraId="5C33171A" w14:textId="77777777" w:rsidR="00D3004A" w:rsidRPr="00C44361" w:rsidRDefault="00D3004A" w:rsidP="005B2386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44361">
              <w:rPr>
                <w:rFonts w:ascii="Times New Roman" w:hAnsi="Times New Roman"/>
                <w:sz w:val="24"/>
                <w:szCs w:val="24"/>
              </w:rPr>
              <w:t xml:space="preserve">Improvement for RAASi use in CKD patients via long-term management </w:t>
            </w:r>
            <w:r w:rsidRPr="00C44361">
              <w:rPr>
                <w:rFonts w:ascii="Times New Roman" w:hAnsi="Times New Roman"/>
                <w:sz w:val="24"/>
                <w:szCs w:val="24"/>
              </w:rPr>
              <w:lastRenderedPageBreak/>
              <w:t>of hyperkalemia</w:t>
            </w:r>
          </w:p>
        </w:tc>
        <w:tc>
          <w:tcPr>
            <w:tcW w:w="11340" w:type="dxa"/>
          </w:tcPr>
          <w:p w14:paraId="2F0A39E8" w14:textId="77777777" w:rsidR="00D3004A" w:rsidRPr="00C44361" w:rsidRDefault="00D3004A" w:rsidP="005B2386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44361">
              <w:rPr>
                <w:rFonts w:ascii="Times New Roman" w:hAnsi="Times New Roman"/>
                <w:sz w:val="24"/>
                <w:szCs w:val="24"/>
              </w:rPr>
              <w:lastRenderedPageBreak/>
              <w:t>• KDIGO CKD guidelines recommendations for RASi/MRA use;</w:t>
            </w:r>
          </w:p>
          <w:p w14:paraId="365C3D9E" w14:textId="77777777" w:rsidR="00D3004A" w:rsidRPr="00C44361" w:rsidRDefault="00D3004A" w:rsidP="005B2386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44361">
              <w:rPr>
                <w:rFonts w:ascii="Times New Roman" w:hAnsi="Times New Roman"/>
                <w:sz w:val="24"/>
                <w:szCs w:val="24"/>
              </w:rPr>
              <w:t xml:space="preserve">• KDIGO CKD guidelines for response and management of the development of hyperkalemia after RASi/MRA: dose reduction and discontinuation of RAASi should be considered as a last resort, with first consideration given to </w:t>
            </w:r>
            <w:r w:rsidRPr="00C44361">
              <w:rPr>
                <w:rFonts w:ascii="Times New Roman" w:hAnsi="Times New Roman"/>
                <w:sz w:val="24"/>
                <w:szCs w:val="24"/>
              </w:rPr>
              <w:lastRenderedPageBreak/>
              <w:t>correction of correctable factors and the use of potassium-lowering agents (e.g. novel K</w:t>
            </w:r>
            <w:r w:rsidRPr="00C44361">
              <w:rPr>
                <w:rFonts w:ascii="Times New Roman" w:hAnsi="Times New Roman"/>
                <w:sz w:val="24"/>
                <w:szCs w:val="24"/>
                <w:vertAlign w:val="superscript"/>
              </w:rPr>
              <w:t>+</w:t>
            </w:r>
            <w:r w:rsidRPr="00C44361">
              <w:rPr>
                <w:rFonts w:ascii="Times New Roman" w:hAnsi="Times New Roman"/>
                <w:sz w:val="24"/>
                <w:szCs w:val="24"/>
              </w:rPr>
              <w:t xml:space="preserve"> binders)</w:t>
            </w:r>
          </w:p>
        </w:tc>
      </w:tr>
      <w:tr w:rsidR="00D3004A" w:rsidRPr="00C44361" w14:paraId="2D16B305" w14:textId="77777777" w:rsidTr="00D3004A">
        <w:tc>
          <w:tcPr>
            <w:tcW w:w="2689" w:type="dxa"/>
          </w:tcPr>
          <w:p w14:paraId="2BDFFC98" w14:textId="77777777" w:rsidR="00D3004A" w:rsidRPr="00C44361" w:rsidRDefault="00D3004A" w:rsidP="005B2386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44361">
              <w:rPr>
                <w:rFonts w:ascii="Times New Roman" w:hAnsi="Times New Roman"/>
                <w:sz w:val="24"/>
                <w:szCs w:val="24"/>
              </w:rPr>
              <w:lastRenderedPageBreak/>
              <w:t>Treatment of hyperkalemia</w:t>
            </w:r>
          </w:p>
        </w:tc>
        <w:tc>
          <w:tcPr>
            <w:tcW w:w="11340" w:type="dxa"/>
          </w:tcPr>
          <w:p w14:paraId="4AEA2903" w14:textId="77777777" w:rsidR="00D3004A" w:rsidRPr="00C44361" w:rsidRDefault="00D3004A" w:rsidP="005B2386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44361">
              <w:rPr>
                <w:rFonts w:ascii="Times New Roman" w:hAnsi="Times New Roman"/>
                <w:sz w:val="24"/>
                <w:szCs w:val="24"/>
              </w:rPr>
              <w:t xml:space="preserve">• Dietary management: common hyperkalemic foods; </w:t>
            </w:r>
          </w:p>
          <w:p w14:paraId="1434311C" w14:textId="77777777" w:rsidR="00D3004A" w:rsidRPr="00C44361" w:rsidRDefault="00D3004A" w:rsidP="005B2386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44361">
              <w:rPr>
                <w:rFonts w:ascii="Times New Roman" w:hAnsi="Times New Roman"/>
                <w:sz w:val="24"/>
                <w:szCs w:val="24"/>
              </w:rPr>
              <w:t xml:space="preserve">• Medication review: common drugs causing hyperkalemia and mechanisms </w:t>
            </w:r>
          </w:p>
          <w:p w14:paraId="314CAA8E" w14:textId="77777777" w:rsidR="00D3004A" w:rsidRPr="00C44361" w:rsidRDefault="00D3004A" w:rsidP="005B2386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44361">
              <w:rPr>
                <w:rFonts w:ascii="Times New Roman" w:hAnsi="Times New Roman"/>
                <w:sz w:val="24"/>
                <w:szCs w:val="24"/>
              </w:rPr>
              <w:t>• Timing of initiation of non-pharmacological and pharmacological treatments, respectively (serum K</w:t>
            </w:r>
            <w:r w:rsidRPr="00C44361">
              <w:rPr>
                <w:rFonts w:ascii="Times New Roman" w:hAnsi="Times New Roman"/>
                <w:sz w:val="24"/>
                <w:szCs w:val="24"/>
                <w:vertAlign w:val="superscript"/>
              </w:rPr>
              <w:t>+</w:t>
            </w:r>
            <w:r w:rsidRPr="00C44361">
              <w:rPr>
                <w:rFonts w:ascii="Times New Roman" w:hAnsi="Times New Roman"/>
                <w:sz w:val="24"/>
                <w:szCs w:val="24"/>
              </w:rPr>
              <w:t xml:space="preserve"> levels) </w:t>
            </w:r>
          </w:p>
          <w:p w14:paraId="6537E9F1" w14:textId="77777777" w:rsidR="00D3004A" w:rsidRPr="00C44361" w:rsidRDefault="00D3004A" w:rsidP="005B2386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44361">
              <w:rPr>
                <w:rFonts w:ascii="Times New Roman" w:hAnsi="Times New Roman"/>
                <w:sz w:val="24"/>
                <w:szCs w:val="24"/>
              </w:rPr>
              <w:t>• Characteristics and dosage of major potassium-lowering agents, etc.</w:t>
            </w:r>
          </w:p>
        </w:tc>
      </w:tr>
    </w:tbl>
    <w:p w14:paraId="5ADE92F1" w14:textId="3A815064" w:rsidR="00D3004A" w:rsidRPr="00C44361" w:rsidRDefault="00D3004A" w:rsidP="005B2386">
      <w:pPr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C44361">
        <w:rPr>
          <w:rFonts w:ascii="Times New Roman" w:hAnsi="Times New Roman"/>
          <w:sz w:val="24"/>
          <w:szCs w:val="24"/>
        </w:rPr>
        <w:t xml:space="preserve">CKD-ND, non–dialysis chronic kidney disease; CKD, chronic kidney disease; RAASi, renin-angiotensin-aldosterone system inhibitor; ESKD, </w:t>
      </w:r>
      <w:r w:rsidR="00A9738E" w:rsidRPr="00C44361">
        <w:rPr>
          <w:rFonts w:ascii="Times New Roman" w:hAnsi="Times New Roman"/>
          <w:sz w:val="24"/>
          <w:szCs w:val="24"/>
        </w:rPr>
        <w:t>end-stage kidney disease</w:t>
      </w:r>
      <w:r w:rsidRPr="00C44361">
        <w:rPr>
          <w:rFonts w:ascii="Times New Roman" w:hAnsi="Times New Roman"/>
          <w:sz w:val="24"/>
          <w:szCs w:val="24"/>
        </w:rPr>
        <w:t xml:space="preserve">; RASi, renin-angiotensin system inhibitor; MRA, mineralocorticoid receptor antagonist. </w:t>
      </w:r>
    </w:p>
    <w:p w14:paraId="27B8165F" w14:textId="77777777" w:rsidR="00D3004A" w:rsidRPr="00C44361" w:rsidRDefault="00D3004A" w:rsidP="005B2386">
      <w:pPr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C44361">
        <w:rPr>
          <w:rFonts w:ascii="Times New Roman" w:hAnsi="Times New Roman"/>
          <w:sz w:val="24"/>
          <w:szCs w:val="24"/>
        </w:rPr>
        <w:t>*High risk of hyperkalemia: CKD combined with DKD; CKD combined with HF, CKD with RAASi initiation or up titration</w:t>
      </w:r>
    </w:p>
    <w:p w14:paraId="5C3F06CA" w14:textId="77777777" w:rsidR="00D3004A" w:rsidRPr="00C44361" w:rsidRDefault="00D3004A" w:rsidP="005B2386">
      <w:pPr>
        <w:spacing w:line="360" w:lineRule="auto"/>
        <w:jc w:val="left"/>
        <w:rPr>
          <w:rFonts w:ascii="Times New Roman" w:hAnsi="Times New Roman"/>
          <w:sz w:val="24"/>
          <w:szCs w:val="24"/>
        </w:rPr>
      </w:pPr>
    </w:p>
    <w:p w14:paraId="78F449C6" w14:textId="77777777" w:rsidR="00D3004A" w:rsidRPr="00C44361" w:rsidRDefault="00D3004A" w:rsidP="005B2386">
      <w:pPr>
        <w:spacing w:line="360" w:lineRule="auto"/>
        <w:jc w:val="left"/>
        <w:rPr>
          <w:rFonts w:ascii="Times New Roman" w:hAnsi="Times New Roman"/>
          <w:b/>
          <w:sz w:val="24"/>
          <w:szCs w:val="24"/>
          <w:lang w:val="en-GB"/>
        </w:rPr>
        <w:sectPr w:rsidR="00D3004A" w:rsidRPr="00C44361" w:rsidSect="00E80DF8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4EBF1B54" w14:textId="0D8CD5CE" w:rsidR="00D3004A" w:rsidRPr="00C44361" w:rsidRDefault="00D3004A" w:rsidP="005B2386">
      <w:pPr>
        <w:spacing w:line="360" w:lineRule="auto"/>
        <w:jc w:val="left"/>
        <w:rPr>
          <w:rFonts w:ascii="Times New Roman" w:hAnsi="Times New Roman"/>
          <w:b/>
          <w:sz w:val="24"/>
          <w:szCs w:val="24"/>
          <w:lang w:val="en-GB"/>
        </w:rPr>
      </w:pPr>
      <w:r w:rsidRPr="00C44361">
        <w:rPr>
          <w:rFonts w:ascii="Times New Roman" w:hAnsi="Times New Roman"/>
          <w:b/>
          <w:sz w:val="24"/>
          <w:szCs w:val="24"/>
          <w:lang w:val="en-GB"/>
        </w:rPr>
        <w:lastRenderedPageBreak/>
        <w:t>Figure S1. Clinical pathway of non–dialysis chronic kidney disease patients with hyperkalemia</w:t>
      </w:r>
      <w:r w:rsidR="00691E40" w:rsidRPr="00C44361">
        <w:rPr>
          <w:rFonts w:ascii="Times New Roman" w:hAnsi="Times New Roman"/>
          <w:b/>
          <w:sz w:val="24"/>
          <w:szCs w:val="24"/>
          <w:lang w:val="en-GB"/>
        </w:rPr>
        <w:t>.</w:t>
      </w:r>
    </w:p>
    <w:p w14:paraId="14883CA9" w14:textId="77777777" w:rsidR="00D3004A" w:rsidRPr="00C44361" w:rsidRDefault="00D3004A" w:rsidP="005B2386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lang w:val="en-GB"/>
        </w:rPr>
      </w:pPr>
      <w:r w:rsidRPr="00C44361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39598F91" wp14:editId="48010CE8">
            <wp:extent cx="6800850" cy="4343218"/>
            <wp:effectExtent l="0" t="0" r="0" b="63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ure S1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1747" cy="4420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8BDC63" w14:textId="77777777" w:rsidR="00A43FC9" w:rsidRPr="00C44361" w:rsidRDefault="00D3004A" w:rsidP="005B2386">
      <w:pPr>
        <w:spacing w:line="360" w:lineRule="auto"/>
        <w:jc w:val="left"/>
        <w:rPr>
          <w:rFonts w:ascii="Times New Roman" w:hAnsi="Times New Roman"/>
          <w:sz w:val="24"/>
          <w:szCs w:val="24"/>
          <w:lang w:val="en-GB"/>
        </w:rPr>
      </w:pPr>
      <w:r w:rsidRPr="00C44361">
        <w:rPr>
          <w:rFonts w:ascii="Times New Roman" w:hAnsi="Times New Roman"/>
          <w:sz w:val="24"/>
          <w:szCs w:val="24"/>
        </w:rPr>
        <w:t>CKD-ND, non–dialysis chronic kidney disease; RAASi, renin-angiotensin-aldosterone system inhibitor; DKD, diabetic kidney disease; HK, hyperkalemia.</w:t>
      </w:r>
    </w:p>
    <w:sectPr w:rsidR="00A43FC9" w:rsidRPr="00C44361" w:rsidSect="00E80DF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E15AAD" w14:textId="77777777" w:rsidR="00AE4D70" w:rsidRDefault="00AE4D70" w:rsidP="00A9738E">
      <w:r>
        <w:separator/>
      </w:r>
    </w:p>
  </w:endnote>
  <w:endnote w:type="continuationSeparator" w:id="0">
    <w:p w14:paraId="0BC1039B" w14:textId="77777777" w:rsidR="00AE4D70" w:rsidRDefault="00AE4D70" w:rsidP="00A97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">
    <w:altName w:val="Yu Gothic"/>
    <w:panose1 w:val="00000000000000000000"/>
    <w:charset w:val="00"/>
    <w:family w:val="roman"/>
    <w:notTrueType/>
    <w:pitch w:val="default"/>
    <w:sig w:usb0="00000001" w:usb1="08070000" w:usb2="00000010" w:usb3="00000000" w:csb0="0002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7F26AD" w14:textId="77777777" w:rsidR="00AE4D70" w:rsidRDefault="00AE4D70" w:rsidP="00A9738E">
      <w:r>
        <w:separator/>
      </w:r>
    </w:p>
  </w:footnote>
  <w:footnote w:type="continuationSeparator" w:id="0">
    <w:p w14:paraId="7E60F4C7" w14:textId="77777777" w:rsidR="00AE4D70" w:rsidRDefault="00AE4D70" w:rsidP="00A973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0D107B"/>
    <w:multiLevelType w:val="multilevel"/>
    <w:tmpl w:val="241253C8"/>
    <w:lvl w:ilvl="0">
      <w:start w:val="1"/>
      <w:numFmt w:val="bullet"/>
      <w:pStyle w:val="a"/>
      <w:lvlText w:val=""/>
      <w:lvlJc w:val="left"/>
      <w:pPr>
        <w:ind w:left="425" w:hanging="425"/>
      </w:pPr>
      <w:rPr>
        <w:rFonts w:ascii="Symbol" w:hAnsi="Symbol" w:hint="default"/>
        <w:b w:val="0"/>
        <w:i w:val="0"/>
        <w:caps w:val="0"/>
        <w:sz w:val="24"/>
        <w:u w:val="none"/>
        <w:vertAlign w:val="baseline"/>
      </w:rPr>
    </w:lvl>
    <w:lvl w:ilvl="1">
      <w:start w:val="1"/>
      <w:numFmt w:val="bullet"/>
      <w:pStyle w:val="2"/>
      <w:lvlText w:val=""/>
      <w:lvlJc w:val="left"/>
      <w:pPr>
        <w:ind w:left="850" w:hanging="425"/>
      </w:pPr>
      <w:rPr>
        <w:rFonts w:ascii="Symbol" w:hAnsi="Symbol" w:hint="default"/>
        <w:color w:val="auto"/>
      </w:rPr>
    </w:lvl>
    <w:lvl w:ilvl="2">
      <w:start w:val="1"/>
      <w:numFmt w:val="bullet"/>
      <w:pStyle w:val="3"/>
      <w:lvlText w:val="o"/>
      <w:lvlJc w:val="left"/>
      <w:pPr>
        <w:ind w:left="1275" w:hanging="425"/>
      </w:pPr>
      <w:rPr>
        <w:rFonts w:ascii="Courier New" w:hAnsi="Courier New" w:hint="default"/>
      </w:rPr>
    </w:lvl>
    <w:lvl w:ilvl="3">
      <w:start w:val="1"/>
      <w:numFmt w:val="bullet"/>
      <w:pStyle w:val="4"/>
      <w:lvlText w:val=""/>
      <w:lvlJc w:val="left"/>
      <w:pPr>
        <w:ind w:left="1700" w:hanging="425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ind w:left="2125" w:hanging="425"/>
      </w:pPr>
      <w:rPr>
        <w:rFonts w:hint="default"/>
      </w:rPr>
    </w:lvl>
    <w:lvl w:ilvl="5">
      <w:start w:val="1"/>
      <w:numFmt w:val="none"/>
      <w:lvlText w:val=""/>
      <w:lvlJc w:val="left"/>
      <w:pPr>
        <w:ind w:left="2550" w:hanging="425"/>
      </w:pPr>
      <w:rPr>
        <w:rFonts w:hint="default"/>
      </w:rPr>
    </w:lvl>
    <w:lvl w:ilvl="6">
      <w:start w:val="1"/>
      <w:numFmt w:val="none"/>
      <w:lvlText w:val=""/>
      <w:lvlJc w:val="left"/>
      <w:pPr>
        <w:ind w:left="2975" w:hanging="425"/>
      </w:pPr>
      <w:rPr>
        <w:rFonts w:hint="default"/>
      </w:rPr>
    </w:lvl>
    <w:lvl w:ilvl="7">
      <w:start w:val="1"/>
      <w:numFmt w:val="none"/>
      <w:lvlText w:val=""/>
      <w:lvlJc w:val="left"/>
      <w:pPr>
        <w:ind w:left="3400" w:hanging="425"/>
      </w:pPr>
      <w:rPr>
        <w:rFonts w:hint="default"/>
      </w:rPr>
    </w:lvl>
    <w:lvl w:ilvl="8">
      <w:start w:val="1"/>
      <w:numFmt w:val="none"/>
      <w:lvlText w:val=""/>
      <w:lvlJc w:val="left"/>
      <w:pPr>
        <w:ind w:left="3825" w:hanging="425"/>
      </w:pPr>
      <w:rPr>
        <w:rFonts w:hint="default"/>
      </w:rPr>
    </w:lvl>
  </w:abstractNum>
  <w:abstractNum w:abstractNumId="1">
    <w:nsid w:val="04236A61"/>
    <w:multiLevelType w:val="hybridMultilevel"/>
    <w:tmpl w:val="D31C7C44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062556DB"/>
    <w:multiLevelType w:val="multilevel"/>
    <w:tmpl w:val="1818DA96"/>
    <w:lvl w:ilvl="0">
      <w:start w:val="1"/>
      <w:numFmt w:val="decimal"/>
      <w:pStyle w:val="a0"/>
      <w:lvlText w:val="%1"/>
      <w:lvlJc w:val="left"/>
      <w:pPr>
        <w:ind w:left="425" w:hanging="425"/>
      </w:pPr>
      <w:rPr>
        <w:rFonts w:hint="default"/>
        <w:b w:val="0"/>
        <w:i w:val="0"/>
        <w:caps w:val="0"/>
        <w:color w:val="000000"/>
        <w:sz w:val="24"/>
        <w:u w:val="none"/>
        <w:vertAlign w:val="baseline"/>
        <w:lang w:val="en-US"/>
      </w:rPr>
    </w:lvl>
    <w:lvl w:ilvl="1">
      <w:start w:val="1"/>
      <w:numFmt w:val="lowerLetter"/>
      <w:pStyle w:val="20"/>
      <w:lvlText w:val="(%2)"/>
      <w:lvlJc w:val="left"/>
      <w:pPr>
        <w:ind w:left="850" w:hanging="425"/>
      </w:pPr>
      <w:rPr>
        <w:rFonts w:ascii="Times New Roman" w:hAnsi="Times New Roman" w:hint="default"/>
      </w:rPr>
    </w:lvl>
    <w:lvl w:ilvl="2">
      <w:start w:val="1"/>
      <w:numFmt w:val="lowerRoman"/>
      <w:pStyle w:val="30"/>
      <w:lvlText w:val="(%3)"/>
      <w:lvlJc w:val="left"/>
      <w:pPr>
        <w:ind w:left="1275" w:hanging="425"/>
      </w:pPr>
      <w:rPr>
        <w:rFonts w:ascii="Times New Roman" w:hAnsi="Times New Roman" w:hint="default"/>
      </w:rPr>
    </w:lvl>
    <w:lvl w:ilvl="3">
      <w:start w:val="1"/>
      <w:numFmt w:val="none"/>
      <w:lvlText w:val=""/>
      <w:lvlJc w:val="left"/>
      <w:pPr>
        <w:ind w:left="1700" w:hanging="425"/>
      </w:pPr>
      <w:rPr>
        <w:rFonts w:hint="default"/>
      </w:rPr>
    </w:lvl>
    <w:lvl w:ilvl="4">
      <w:start w:val="1"/>
      <w:numFmt w:val="none"/>
      <w:lvlText w:val=""/>
      <w:lvlJc w:val="left"/>
      <w:pPr>
        <w:ind w:left="2125" w:hanging="425"/>
      </w:pPr>
      <w:rPr>
        <w:rFonts w:hint="default"/>
      </w:rPr>
    </w:lvl>
    <w:lvl w:ilvl="5">
      <w:start w:val="1"/>
      <w:numFmt w:val="none"/>
      <w:lvlText w:val=""/>
      <w:lvlJc w:val="left"/>
      <w:pPr>
        <w:ind w:left="2550" w:hanging="425"/>
      </w:pPr>
      <w:rPr>
        <w:rFonts w:hint="default"/>
      </w:rPr>
    </w:lvl>
    <w:lvl w:ilvl="6">
      <w:start w:val="1"/>
      <w:numFmt w:val="none"/>
      <w:lvlText w:val=""/>
      <w:lvlJc w:val="left"/>
      <w:pPr>
        <w:ind w:left="2975" w:hanging="425"/>
      </w:pPr>
      <w:rPr>
        <w:rFonts w:hint="default"/>
      </w:rPr>
    </w:lvl>
    <w:lvl w:ilvl="7">
      <w:start w:val="1"/>
      <w:numFmt w:val="none"/>
      <w:lvlText w:val=""/>
      <w:lvlJc w:val="left"/>
      <w:pPr>
        <w:ind w:left="3400" w:hanging="425"/>
      </w:pPr>
      <w:rPr>
        <w:rFonts w:hint="default"/>
      </w:rPr>
    </w:lvl>
    <w:lvl w:ilvl="8">
      <w:start w:val="1"/>
      <w:numFmt w:val="none"/>
      <w:lvlText w:val=""/>
      <w:lvlJc w:val="left"/>
      <w:pPr>
        <w:ind w:left="3825" w:hanging="425"/>
      </w:pPr>
      <w:rPr>
        <w:rFonts w:hint="default"/>
      </w:rPr>
    </w:lvl>
  </w:abstractNum>
  <w:abstractNum w:abstractNumId="3">
    <w:nsid w:val="63707FDC"/>
    <w:multiLevelType w:val="hybridMultilevel"/>
    <w:tmpl w:val="E622613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04A"/>
    <w:rsid w:val="00032461"/>
    <w:rsid w:val="002F3B76"/>
    <w:rsid w:val="00392986"/>
    <w:rsid w:val="00475EE5"/>
    <w:rsid w:val="005B2386"/>
    <w:rsid w:val="00691E40"/>
    <w:rsid w:val="00A43FC9"/>
    <w:rsid w:val="00A9738E"/>
    <w:rsid w:val="00AE4D70"/>
    <w:rsid w:val="00C44361"/>
    <w:rsid w:val="00D3004A"/>
    <w:rsid w:val="00FF5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CBA25B"/>
  <w15:chartTrackingRefBased/>
  <w15:docId w15:val="{CFC70976-1252-4A66-9F1F-A82080806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" w:unhideWhenUsed="1" w:qFormat="1"/>
    <w:lsdException w:name="List Number" w:semiHidden="1" w:uiPriority="9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9" w:unhideWhenUsed="1" w:qFormat="1"/>
    <w:lsdException w:name="List Bullet 3" w:semiHidden="1" w:uiPriority="9" w:unhideWhenUsed="1" w:qFormat="1"/>
    <w:lsdException w:name="List Bullet 4" w:semiHidden="1" w:unhideWhenUsed="1"/>
    <w:lsdException w:name="List Bullet 5" w:semiHidden="1" w:unhideWhenUsed="1"/>
    <w:lsdException w:name="List Number 2" w:semiHidden="1" w:uiPriority="9" w:unhideWhenUsed="1" w:qFormat="1"/>
    <w:lsdException w:name="List Number 3" w:semiHidden="1" w:uiPriority="9" w:unhideWhenUsed="1" w:qFormat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3004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1">
    <w:name w:val="列出段落1"/>
    <w:basedOn w:val="a1"/>
    <w:link w:val="Char"/>
    <w:uiPriority w:val="34"/>
    <w:qFormat/>
    <w:rsid w:val="00D3004A"/>
    <w:pPr>
      <w:ind w:firstLineChars="200" w:firstLine="420"/>
    </w:pPr>
  </w:style>
  <w:style w:type="paragraph" w:styleId="a">
    <w:name w:val="List Bullet"/>
    <w:uiPriority w:val="9"/>
    <w:qFormat/>
    <w:rsid w:val="00D3004A"/>
    <w:pPr>
      <w:numPr>
        <w:numId w:val="1"/>
      </w:numPr>
      <w:spacing w:before="60" w:after="60" w:line="276" w:lineRule="auto"/>
      <w:jc w:val="both"/>
    </w:pPr>
    <w:rPr>
      <w:rFonts w:ascii="Calibri" w:eastAsia="宋体" w:hAnsi="Calibri" w:cs="Times New Roman"/>
      <w:kern w:val="0"/>
      <w:sz w:val="24"/>
      <w:szCs w:val="20"/>
      <w:lang w:val="en-GB"/>
    </w:rPr>
  </w:style>
  <w:style w:type="paragraph" w:styleId="2">
    <w:name w:val="List Bullet 2"/>
    <w:basedOn w:val="a1"/>
    <w:uiPriority w:val="9"/>
    <w:qFormat/>
    <w:rsid w:val="00D3004A"/>
    <w:pPr>
      <w:widowControl/>
      <w:numPr>
        <w:ilvl w:val="1"/>
        <w:numId w:val="1"/>
      </w:numPr>
      <w:spacing w:before="60" w:after="60" w:line="276" w:lineRule="auto"/>
    </w:pPr>
    <w:rPr>
      <w:rFonts w:eastAsia="Times New Roman"/>
      <w:kern w:val="0"/>
      <w:sz w:val="24"/>
      <w:szCs w:val="24"/>
      <w:lang w:val="en-GB"/>
    </w:rPr>
  </w:style>
  <w:style w:type="paragraph" w:styleId="3">
    <w:name w:val="List Bullet 3"/>
    <w:basedOn w:val="a1"/>
    <w:uiPriority w:val="9"/>
    <w:qFormat/>
    <w:rsid w:val="00D3004A"/>
    <w:pPr>
      <w:widowControl/>
      <w:numPr>
        <w:ilvl w:val="2"/>
        <w:numId w:val="1"/>
      </w:numPr>
      <w:spacing w:before="60" w:after="60" w:line="276" w:lineRule="auto"/>
      <w:ind w:left="1440" w:hanging="360"/>
    </w:pPr>
    <w:rPr>
      <w:rFonts w:eastAsia="Times New Roman"/>
      <w:kern w:val="0"/>
      <w:sz w:val="24"/>
      <w:szCs w:val="24"/>
      <w:lang w:val="en-GB"/>
    </w:rPr>
  </w:style>
  <w:style w:type="paragraph" w:styleId="4">
    <w:name w:val="List Bullet 4"/>
    <w:basedOn w:val="a1"/>
    <w:uiPriority w:val="99"/>
    <w:rsid w:val="00D3004A"/>
    <w:pPr>
      <w:widowControl/>
      <w:numPr>
        <w:ilvl w:val="3"/>
        <w:numId w:val="1"/>
      </w:numPr>
      <w:spacing w:before="60" w:after="60" w:line="276" w:lineRule="auto"/>
      <w:ind w:left="1800" w:hanging="360"/>
      <w:jc w:val="left"/>
    </w:pPr>
    <w:rPr>
      <w:kern w:val="0"/>
      <w:sz w:val="24"/>
      <w:szCs w:val="24"/>
      <w:lang w:val="en-GB"/>
    </w:rPr>
  </w:style>
  <w:style w:type="paragraph" w:styleId="20">
    <w:name w:val="List Number 2"/>
    <w:basedOn w:val="a0"/>
    <w:uiPriority w:val="9"/>
    <w:qFormat/>
    <w:rsid w:val="00D3004A"/>
    <w:pPr>
      <w:numPr>
        <w:ilvl w:val="1"/>
      </w:numPr>
    </w:pPr>
  </w:style>
  <w:style w:type="paragraph" w:styleId="30">
    <w:name w:val="List Number 3"/>
    <w:basedOn w:val="a0"/>
    <w:uiPriority w:val="9"/>
    <w:qFormat/>
    <w:rsid w:val="00D3004A"/>
    <w:pPr>
      <w:numPr>
        <w:ilvl w:val="2"/>
      </w:numPr>
    </w:pPr>
  </w:style>
  <w:style w:type="paragraph" w:styleId="a0">
    <w:name w:val="List Number"/>
    <w:basedOn w:val="a1"/>
    <w:uiPriority w:val="9"/>
    <w:qFormat/>
    <w:rsid w:val="00D3004A"/>
    <w:pPr>
      <w:widowControl/>
      <w:numPr>
        <w:numId w:val="2"/>
      </w:numPr>
      <w:spacing w:before="60" w:after="60" w:line="276" w:lineRule="auto"/>
    </w:pPr>
    <w:rPr>
      <w:rFonts w:eastAsia="Times New Roman"/>
      <w:kern w:val="0"/>
      <w:sz w:val="24"/>
      <w:szCs w:val="24"/>
      <w:lang w:val="en-GB"/>
    </w:rPr>
  </w:style>
  <w:style w:type="character" w:customStyle="1" w:styleId="CPTVariable">
    <w:name w:val="CPT_Variable"/>
    <w:uiPriority w:val="1"/>
    <w:qFormat/>
    <w:rsid w:val="00D3004A"/>
    <w:rPr>
      <w:color w:val="0070C0"/>
    </w:rPr>
  </w:style>
  <w:style w:type="character" w:customStyle="1" w:styleId="Char">
    <w:name w:val="列出段落 Char"/>
    <w:basedOn w:val="a2"/>
    <w:link w:val="1"/>
    <w:uiPriority w:val="34"/>
    <w:locked/>
    <w:rsid w:val="00D3004A"/>
    <w:rPr>
      <w:rFonts w:ascii="Calibri" w:eastAsia="宋体" w:hAnsi="Calibri" w:cs="Times New Roman"/>
    </w:rPr>
  </w:style>
  <w:style w:type="table" w:styleId="a5">
    <w:name w:val="Table Grid"/>
    <w:basedOn w:val="a3"/>
    <w:uiPriority w:val="39"/>
    <w:rsid w:val="00D3004A"/>
    <w:rPr>
      <w:rFonts w:ascii="Calibri" w:eastAsia="宋体" w:hAnsi="Calibri" w:cs="Times New Roman"/>
      <w:kern w:val="0"/>
      <w:sz w:val="22"/>
      <w:szCs w:val="20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annotation reference"/>
    <w:basedOn w:val="a2"/>
    <w:uiPriority w:val="99"/>
    <w:semiHidden/>
    <w:unhideWhenUsed/>
    <w:rsid w:val="00D3004A"/>
    <w:rPr>
      <w:sz w:val="21"/>
      <w:szCs w:val="21"/>
    </w:rPr>
  </w:style>
  <w:style w:type="paragraph" w:styleId="a7">
    <w:name w:val="annotation text"/>
    <w:basedOn w:val="a1"/>
    <w:link w:val="Char0"/>
    <w:uiPriority w:val="99"/>
    <w:semiHidden/>
    <w:unhideWhenUsed/>
    <w:rsid w:val="00D3004A"/>
    <w:pPr>
      <w:jc w:val="left"/>
    </w:pPr>
  </w:style>
  <w:style w:type="character" w:customStyle="1" w:styleId="Char0">
    <w:name w:val="批注文字 Char"/>
    <w:basedOn w:val="a2"/>
    <w:link w:val="a7"/>
    <w:uiPriority w:val="99"/>
    <w:semiHidden/>
    <w:rsid w:val="00D3004A"/>
    <w:rPr>
      <w:rFonts w:ascii="Calibri" w:eastAsia="宋体" w:hAnsi="Calibri" w:cs="Times New Roman"/>
    </w:rPr>
  </w:style>
  <w:style w:type="paragraph" w:styleId="a8">
    <w:name w:val="annotation subject"/>
    <w:basedOn w:val="a7"/>
    <w:next w:val="a7"/>
    <w:link w:val="Char1"/>
    <w:uiPriority w:val="99"/>
    <w:semiHidden/>
    <w:unhideWhenUsed/>
    <w:rsid w:val="00D3004A"/>
    <w:rPr>
      <w:b/>
      <w:bCs/>
    </w:rPr>
  </w:style>
  <w:style w:type="character" w:customStyle="1" w:styleId="Char1">
    <w:name w:val="批注主题 Char"/>
    <w:basedOn w:val="Char0"/>
    <w:link w:val="a8"/>
    <w:uiPriority w:val="99"/>
    <w:semiHidden/>
    <w:rsid w:val="00D3004A"/>
    <w:rPr>
      <w:rFonts w:ascii="Calibri" w:eastAsia="宋体" w:hAnsi="Calibri" w:cs="Times New Roman"/>
      <w:b/>
      <w:bCs/>
    </w:rPr>
  </w:style>
  <w:style w:type="paragraph" w:styleId="a9">
    <w:name w:val="Balloon Text"/>
    <w:basedOn w:val="a1"/>
    <w:link w:val="Char2"/>
    <w:uiPriority w:val="99"/>
    <w:semiHidden/>
    <w:unhideWhenUsed/>
    <w:rsid w:val="00D3004A"/>
    <w:rPr>
      <w:sz w:val="18"/>
      <w:szCs w:val="18"/>
    </w:rPr>
  </w:style>
  <w:style w:type="character" w:customStyle="1" w:styleId="Char2">
    <w:name w:val="批注框文本 Char"/>
    <w:basedOn w:val="a2"/>
    <w:link w:val="a9"/>
    <w:uiPriority w:val="99"/>
    <w:semiHidden/>
    <w:rsid w:val="00D3004A"/>
    <w:rPr>
      <w:rFonts w:ascii="Calibri" w:eastAsia="宋体" w:hAnsi="Calibri" w:cs="Times New Roman"/>
      <w:sz w:val="18"/>
      <w:szCs w:val="18"/>
    </w:rPr>
  </w:style>
  <w:style w:type="paragraph" w:styleId="aa">
    <w:name w:val="header"/>
    <w:basedOn w:val="a1"/>
    <w:link w:val="Char3"/>
    <w:uiPriority w:val="99"/>
    <w:unhideWhenUsed/>
    <w:rsid w:val="00A973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3">
    <w:name w:val="页眉 Char"/>
    <w:basedOn w:val="a2"/>
    <w:link w:val="aa"/>
    <w:uiPriority w:val="99"/>
    <w:rsid w:val="00A9738E"/>
    <w:rPr>
      <w:rFonts w:ascii="Calibri" w:eastAsia="宋体" w:hAnsi="Calibri" w:cs="Times New Roman"/>
      <w:sz w:val="18"/>
      <w:szCs w:val="18"/>
    </w:rPr>
  </w:style>
  <w:style w:type="paragraph" w:styleId="ab">
    <w:name w:val="footer"/>
    <w:basedOn w:val="a1"/>
    <w:link w:val="Char4"/>
    <w:uiPriority w:val="99"/>
    <w:unhideWhenUsed/>
    <w:rsid w:val="00A973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4">
    <w:name w:val="页脚 Char"/>
    <w:basedOn w:val="a2"/>
    <w:link w:val="ab"/>
    <w:uiPriority w:val="99"/>
    <w:rsid w:val="00A9738E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648</Words>
  <Characters>3700</Characters>
  <Application>Microsoft Office Word</Application>
  <DocSecurity>0</DocSecurity>
  <Lines>30</Lines>
  <Paragraphs>8</Paragraphs>
  <ScaleCrop>false</ScaleCrop>
  <Company/>
  <LinksUpToDate>false</LinksUpToDate>
  <CharactersWithSpaces>4340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2025-04-09T06:14:00Z</dcterms:created>
  <dcterms:modified xsi:type="dcterms:W3CDTF">2025-08-22T05:19:00Z</dcterms:modified>
</cp:coreProperties>
</file>