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869E2">
      <w:pP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</w:pPr>
      <w:bookmarkStart w:id="0" w:name="_GoBack"/>
      <w:r>
        <w:rPr>
          <w:rFonts w:hint="default" w:ascii="Times New Roman" w:hAnsi="Times New Roman" w:cs="Times New Roman"/>
          <w:color w:val="auto"/>
          <w:sz w:val="28"/>
          <w:szCs w:val="28"/>
        </w:rPr>
        <w:t>Table S5. Standardized Mean Differences (SMD) Before and After Propensity Score Matching (PSM)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  <w:gridCol w:w="1110"/>
        <w:gridCol w:w="1492"/>
        <w:gridCol w:w="657"/>
        <w:gridCol w:w="1110"/>
        <w:gridCol w:w="1492"/>
        <w:gridCol w:w="658"/>
      </w:tblGrid>
      <w:tr w14:paraId="308A0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vAlign w:val="center"/>
          </w:tcPr>
          <w:p w14:paraId="1182707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color w:val="auto"/>
                <w:sz w:val="24"/>
                <w:szCs w:val="24"/>
              </w:rPr>
              <w:t>Covariate</w:t>
            </w:r>
          </w:p>
        </w:tc>
        <w:tc>
          <w:tcPr>
            <w:tcW w:w="0" w:type="auto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vAlign w:val="center"/>
          </w:tcPr>
          <w:p w14:paraId="6641E31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lang w:val="en-US" w:eastAsia="zh-CN"/>
              </w:rPr>
              <w:t>B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efore PSM</w:t>
            </w:r>
          </w:p>
        </w:tc>
        <w:tc>
          <w:tcPr>
            <w:tcW w:w="0" w:type="auto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vAlign w:val="center"/>
          </w:tcPr>
          <w:p w14:paraId="13AABAE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lang w:val="en-US" w:eastAsia="zh-CN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fter PSM</w:t>
            </w:r>
          </w:p>
        </w:tc>
      </w:tr>
      <w:tr w14:paraId="72AA5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36A4F7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0F715A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sz w:val="24"/>
                <w:szCs w:val="24"/>
                <w:u w:val="none"/>
              </w:rPr>
              <w:t xml:space="preserve">ituximab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C3B869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sz w:val="24"/>
                <w:szCs w:val="24"/>
                <w:u w:val="none"/>
              </w:rPr>
              <w:t>Obinutuzumab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8A43EF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vertAlign w:val="baseline"/>
                <w:lang w:val="en-US" w:eastAsia="zh-CN"/>
              </w:rPr>
              <w:t>SMD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452D64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sz w:val="24"/>
                <w:szCs w:val="24"/>
                <w:u w:val="none"/>
              </w:rPr>
              <w:t xml:space="preserve">ituximab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371895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sz w:val="24"/>
                <w:szCs w:val="24"/>
                <w:u w:val="none"/>
              </w:rPr>
              <w:t>Obinutuzumab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90B627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vertAlign w:val="baseline"/>
                <w:lang w:val="en-US" w:eastAsia="zh-CN"/>
              </w:rPr>
              <w:t>SMD</w:t>
            </w:r>
          </w:p>
        </w:tc>
      </w:tr>
      <w:tr w14:paraId="09A8D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6DEF0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eGFR.MDRD.Chinese (mean (SD))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FB7A9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105.90 (27.48)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BD651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97.49 (52.78)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2CCA8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1A6B6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104.11 (28.29)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B9BB6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104.11 (51.43)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48DD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2A29C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796A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sex =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64397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(13.6)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BEDF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(27.3)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3603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FA80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 (22.3)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102C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 (22.3)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7FBDB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5E3AF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B515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age (mean (SD))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59E5D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59.77 (9.63)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3F5E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64.55 (12.30)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B5BB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DC8D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62.16 (9.05)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D2D27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62.16 (12.08)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D518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1EA9D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1C5BB0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Uprotein24H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02671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6.42 (2.96)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76B81F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5.29 (2.54)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182479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058509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5.71 (2.40)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25F80B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5.71 (2.67)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412436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</w:tbl>
    <w:p w14:paraId="52D7213B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SMD, standardized mean difference. Propensity scores were calculated using age, sex, estimated glomerular filtration rate (eGFR-MDRD), and 24-hour urinary protein. Covariate balance was assessed before and after 1:1 propensity score matching with a caliper of 0.1. An SMD &lt; 0.1 indicates good balance between groups.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DA5DBD"/>
    <w:rsid w:val="5F3B0A8D"/>
    <w:rsid w:val="63884933"/>
    <w:rsid w:val="757F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708</Characters>
  <Lines>0</Lines>
  <Paragraphs>0</Paragraphs>
  <TotalTime>0</TotalTime>
  <ScaleCrop>false</ScaleCrop>
  <LinksUpToDate>false</LinksUpToDate>
  <CharactersWithSpaces>797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2025-12-15T12:00:00Z</dcterms:created>
  <dc:creator>Lenovo</dc:creator>
  <cp:lastModifiedBy>人间四月</cp:lastModifiedBy>
  <dcterms:modified xsi:type="dcterms:W3CDTF">2025-12-21T11:11:08Z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eyJoZGlkIjoiNTNlYzU2NDZlZWRhZGY1YzdjNGExMDUwNGJjODllMjkiLCJ1c2VySWQiOiI5Nzk5NTEwNjgifQ==</vt:lpwstr>
  </property>
  <property fmtid="{D5CDD505-2E9C-101B-9397-08002B2CF9AE}" pid="4" name="ICV">
    <vt:lpwstr>E4E41F43E7A3400D805C4C6DCFA2F1BD_12</vt:lpwstr>
  </property>
</Properties>
</file>