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6B102">
      <w:pPr>
        <w:spacing w:line="480" w:lineRule="auto"/>
        <w:jc w:val="left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Supplementary Material</w:t>
      </w:r>
    </w:p>
    <w:p w14:paraId="5C8161B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Supplementary Table 1. Attainment of the proteinuria reduction target</w:t>
      </w:r>
    </w:p>
    <w:tbl>
      <w:tblPr>
        <w:tblStyle w:val="17"/>
        <w:tblW w:w="500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972"/>
        <w:gridCol w:w="1887"/>
        <w:gridCol w:w="1433"/>
        <w:gridCol w:w="1886"/>
        <w:gridCol w:w="1433"/>
      </w:tblGrid>
      <w:tr w14:paraId="208E3A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530" w:type="pct"/>
            <w:tcBorders>
              <w:bottom w:val="nil"/>
            </w:tcBorders>
            <w:noWrap/>
            <w:vAlign w:val="center"/>
          </w:tcPr>
          <w:p w14:paraId="6A8F32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Group</w:t>
            </w:r>
          </w:p>
        </w:tc>
        <w:tc>
          <w:tcPr>
            <w:tcW w:w="571" w:type="pct"/>
            <w:tcBorders>
              <w:bottom w:val="nil"/>
            </w:tcBorders>
            <w:noWrap/>
            <w:vAlign w:val="center"/>
          </w:tcPr>
          <w:p w14:paraId="1282E4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Time(mo)</w:t>
            </w:r>
          </w:p>
        </w:tc>
        <w:tc>
          <w:tcPr>
            <w:tcW w:w="1949" w:type="pct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28E352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Target indicators</w:t>
            </w:r>
          </w:p>
        </w:tc>
        <w:tc>
          <w:tcPr>
            <w:tcW w:w="1948" w:type="pct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49AC5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Ideal indicators</w:t>
            </w:r>
          </w:p>
        </w:tc>
      </w:tr>
      <w:tr w14:paraId="5BD715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530" w:type="pct"/>
            <w:tcBorders>
              <w:top w:val="nil"/>
              <w:bottom w:val="single" w:color="auto" w:sz="4" w:space="0"/>
            </w:tcBorders>
            <w:noWrap/>
            <w:vAlign w:val="center"/>
          </w:tcPr>
          <w:p w14:paraId="0B677C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71" w:type="pct"/>
            <w:tcBorders>
              <w:top w:val="nil"/>
              <w:bottom w:val="single" w:color="auto" w:sz="4" w:space="0"/>
            </w:tcBorders>
            <w:noWrap/>
            <w:vAlign w:val="center"/>
          </w:tcPr>
          <w:p w14:paraId="1C25A3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8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B0226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Number of patients (n)</w:t>
            </w:r>
          </w:p>
        </w:tc>
        <w:tc>
          <w:tcPr>
            <w:tcW w:w="841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C94C1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Proportion (%）</w:t>
            </w:r>
          </w:p>
        </w:tc>
        <w:tc>
          <w:tcPr>
            <w:tcW w:w="1107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1C994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Number of patients (n)</w:t>
            </w:r>
          </w:p>
        </w:tc>
        <w:tc>
          <w:tcPr>
            <w:tcW w:w="840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D6020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Proportion (%）</w:t>
            </w:r>
          </w:p>
        </w:tc>
      </w:tr>
      <w:tr w14:paraId="2F5DB1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530" w:type="pct"/>
            <w:tcBorders>
              <w:top w:val="single" w:color="auto" w:sz="4" w:space="0"/>
              <w:bottom w:val="nil"/>
            </w:tcBorders>
            <w:noWrap/>
          </w:tcPr>
          <w:p w14:paraId="655C81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&lt;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 xml:space="preserve"> year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  <w:t>s</w:t>
            </w:r>
          </w:p>
        </w:tc>
        <w:tc>
          <w:tcPr>
            <w:tcW w:w="571" w:type="pct"/>
            <w:tcBorders>
              <w:top w:val="single" w:color="auto" w:sz="4" w:space="0"/>
              <w:bottom w:val="nil"/>
            </w:tcBorders>
            <w:noWrap/>
          </w:tcPr>
          <w:p w14:paraId="28E6EC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108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3DFFC5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8</w:t>
            </w:r>
          </w:p>
        </w:tc>
        <w:tc>
          <w:tcPr>
            <w:tcW w:w="841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184203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72.73%</w:t>
            </w:r>
          </w:p>
        </w:tc>
        <w:tc>
          <w:tcPr>
            <w:tcW w:w="1107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3799AD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840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1DA072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54.55%</w:t>
            </w:r>
          </w:p>
        </w:tc>
      </w:tr>
      <w:tr w14:paraId="5FA5B3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530" w:type="pct"/>
            <w:tcBorders>
              <w:top w:val="nil"/>
              <w:bottom w:val="nil"/>
            </w:tcBorders>
            <w:noWrap/>
          </w:tcPr>
          <w:p w14:paraId="385ECA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71" w:type="pct"/>
            <w:tcBorders>
              <w:top w:val="nil"/>
              <w:bottom w:val="nil"/>
            </w:tcBorders>
            <w:noWrap/>
          </w:tcPr>
          <w:p w14:paraId="277EAA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12</w:t>
            </w:r>
          </w:p>
        </w:tc>
        <w:tc>
          <w:tcPr>
            <w:tcW w:w="1108" w:type="pct"/>
            <w:tcBorders>
              <w:top w:val="nil"/>
              <w:bottom w:val="nil"/>
            </w:tcBorders>
            <w:noWrap/>
            <w:vAlign w:val="center"/>
          </w:tcPr>
          <w:p w14:paraId="4152DF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9</w:t>
            </w:r>
          </w:p>
        </w:tc>
        <w:tc>
          <w:tcPr>
            <w:tcW w:w="841" w:type="pct"/>
            <w:tcBorders>
              <w:top w:val="nil"/>
              <w:bottom w:val="nil"/>
            </w:tcBorders>
            <w:noWrap/>
            <w:vAlign w:val="center"/>
          </w:tcPr>
          <w:p w14:paraId="234AA9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81.82%</w:t>
            </w:r>
          </w:p>
        </w:tc>
        <w:tc>
          <w:tcPr>
            <w:tcW w:w="1107" w:type="pct"/>
            <w:tcBorders>
              <w:top w:val="nil"/>
              <w:bottom w:val="nil"/>
            </w:tcBorders>
            <w:noWrap/>
            <w:vAlign w:val="center"/>
          </w:tcPr>
          <w:p w14:paraId="024F05F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8</w:t>
            </w:r>
          </w:p>
        </w:tc>
        <w:tc>
          <w:tcPr>
            <w:tcW w:w="840" w:type="pct"/>
            <w:tcBorders>
              <w:top w:val="nil"/>
              <w:bottom w:val="nil"/>
            </w:tcBorders>
            <w:noWrap/>
            <w:vAlign w:val="center"/>
          </w:tcPr>
          <w:p w14:paraId="2CA561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72.73%</w:t>
            </w:r>
          </w:p>
        </w:tc>
      </w:tr>
      <w:tr w14:paraId="1B7C81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530" w:type="pct"/>
            <w:tcBorders>
              <w:top w:val="nil"/>
              <w:bottom w:val="nil"/>
            </w:tcBorders>
            <w:noWrap/>
          </w:tcPr>
          <w:p w14:paraId="72DEE8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3 years</w:t>
            </w:r>
          </w:p>
        </w:tc>
        <w:tc>
          <w:tcPr>
            <w:tcW w:w="571" w:type="pct"/>
            <w:tcBorders>
              <w:top w:val="nil"/>
              <w:bottom w:val="nil"/>
            </w:tcBorders>
            <w:noWrap/>
          </w:tcPr>
          <w:p w14:paraId="6C9C91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108" w:type="pct"/>
            <w:tcBorders>
              <w:top w:val="nil"/>
              <w:bottom w:val="nil"/>
            </w:tcBorders>
            <w:noWrap/>
            <w:vAlign w:val="center"/>
          </w:tcPr>
          <w:p w14:paraId="4D90E9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0</w:t>
            </w:r>
          </w:p>
        </w:tc>
        <w:tc>
          <w:tcPr>
            <w:tcW w:w="841" w:type="pct"/>
            <w:tcBorders>
              <w:top w:val="nil"/>
              <w:bottom w:val="nil"/>
            </w:tcBorders>
            <w:noWrap/>
            <w:vAlign w:val="center"/>
          </w:tcPr>
          <w:p w14:paraId="4B4900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0.00%</w:t>
            </w:r>
          </w:p>
        </w:tc>
        <w:tc>
          <w:tcPr>
            <w:tcW w:w="1107" w:type="pct"/>
            <w:tcBorders>
              <w:top w:val="nil"/>
              <w:bottom w:val="nil"/>
            </w:tcBorders>
            <w:noWrap/>
            <w:vAlign w:val="center"/>
          </w:tcPr>
          <w:p w14:paraId="4AA7B6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0</w:t>
            </w:r>
          </w:p>
        </w:tc>
        <w:tc>
          <w:tcPr>
            <w:tcW w:w="840" w:type="pct"/>
            <w:tcBorders>
              <w:top w:val="nil"/>
              <w:bottom w:val="nil"/>
            </w:tcBorders>
            <w:noWrap/>
            <w:vAlign w:val="center"/>
          </w:tcPr>
          <w:p w14:paraId="1EFE43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0.00%</w:t>
            </w:r>
          </w:p>
        </w:tc>
      </w:tr>
      <w:tr w14:paraId="679641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530" w:type="pct"/>
            <w:tcBorders>
              <w:top w:val="nil"/>
              <w:bottom w:val="single" w:color="auto" w:sz="12" w:space="0"/>
            </w:tcBorders>
            <w:noWrap/>
          </w:tcPr>
          <w:p w14:paraId="12864C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71" w:type="pct"/>
            <w:tcBorders>
              <w:top w:val="nil"/>
              <w:bottom w:val="single" w:color="auto" w:sz="12" w:space="0"/>
            </w:tcBorders>
            <w:noWrap/>
          </w:tcPr>
          <w:p w14:paraId="453DB8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12</w:t>
            </w:r>
          </w:p>
        </w:tc>
        <w:tc>
          <w:tcPr>
            <w:tcW w:w="1108" w:type="pct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6BD8366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841" w:type="pct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60AB4E2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12.50%</w:t>
            </w:r>
          </w:p>
        </w:tc>
        <w:tc>
          <w:tcPr>
            <w:tcW w:w="1107" w:type="pct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26E308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0</w:t>
            </w:r>
          </w:p>
        </w:tc>
        <w:tc>
          <w:tcPr>
            <w:tcW w:w="840" w:type="pct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6ED7CB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0.00%</w:t>
            </w:r>
          </w:p>
        </w:tc>
      </w:tr>
    </w:tbl>
    <w:p w14:paraId="0E00D3E2">
      <w:pPr>
        <w:pStyle w:val="12"/>
        <w:widowControl/>
        <w:shd w:val="clear" w:color="auto" w:fill="FFFFFF"/>
        <w:spacing w:before="137" w:beforeAutospacing="0" w:after="137" w:afterAutospacing="0"/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</w:pPr>
    </w:p>
    <w:p w14:paraId="431C731E">
      <w:pPr>
        <w:pStyle w:val="12"/>
        <w:widowControl/>
        <w:shd w:val="clear" w:color="auto" w:fill="FFFFFF"/>
        <w:spacing w:before="137" w:beforeAutospacing="0" w:after="137" w:afterAutospacing="0"/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  <w:t>Supplementary Table 2. Individual Patient Prior Treatment History</w:t>
      </w:r>
    </w:p>
    <w:tbl>
      <w:tblPr>
        <w:tblStyle w:val="13"/>
        <w:tblW w:w="4997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0"/>
        <w:gridCol w:w="812"/>
        <w:gridCol w:w="574"/>
        <w:gridCol w:w="686"/>
        <w:gridCol w:w="630"/>
        <w:gridCol w:w="699"/>
        <w:gridCol w:w="628"/>
        <w:gridCol w:w="741"/>
        <w:gridCol w:w="599"/>
        <w:gridCol w:w="2189"/>
      </w:tblGrid>
      <w:tr w14:paraId="548EBB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525" w:type="pct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35792C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Patient ID</w:t>
            </w:r>
          </w:p>
        </w:tc>
        <w:tc>
          <w:tcPr>
            <w:tcW w:w="485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49AD2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Group</w:t>
            </w:r>
          </w:p>
        </w:tc>
        <w:tc>
          <w:tcPr>
            <w:tcW w:w="344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27BD7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GC</w:t>
            </w:r>
          </w:p>
        </w:tc>
        <w:tc>
          <w:tcPr>
            <w:tcW w:w="391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400E3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CYC</w:t>
            </w:r>
          </w:p>
        </w:tc>
        <w:tc>
          <w:tcPr>
            <w:tcW w:w="359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1263B8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LEF</w:t>
            </w:r>
          </w:p>
        </w:tc>
        <w:tc>
          <w:tcPr>
            <w:tcW w:w="418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2C5FF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HCQ</w:t>
            </w:r>
          </w:p>
        </w:tc>
        <w:tc>
          <w:tcPr>
            <w:tcW w:w="376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0ECCB0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CNI</w:t>
            </w:r>
          </w:p>
        </w:tc>
        <w:tc>
          <w:tcPr>
            <w:tcW w:w="439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735E2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MMF</w:t>
            </w:r>
          </w:p>
        </w:tc>
        <w:tc>
          <w:tcPr>
            <w:tcW w:w="359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93769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TW</w:t>
            </w:r>
          </w:p>
        </w:tc>
        <w:tc>
          <w:tcPr>
            <w:tcW w:w="1300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DC909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RASi/Supportive</w:t>
            </w:r>
          </w:p>
        </w:tc>
      </w:tr>
      <w:tr w14:paraId="42A656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02B6B8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485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6DB63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98676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6748E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07D90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C17E3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B7ABE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EE852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1BDA8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1300" w:type="pct"/>
            <w:tcBorders>
              <w:top w:val="single" w:color="000000" w:sz="4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43FC571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47CDBF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023E9B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2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6E2C1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4232B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44786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6F6B9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22C5D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AF8CA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56B40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E8877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445D3B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503002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3B2D4A1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3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38130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E1C28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9570D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BBD3C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5BF00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B78C2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2C4FE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A68B9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2EB0D0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62AC22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5CEF11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4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A7E5B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C8154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897FB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99290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6B4B7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E01B0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1E8AC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625C06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515270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0EBE35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00B850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5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A028C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EC35B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7989E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50660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0B6EF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4FFFC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B84F4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6B56C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29070E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32CB32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320D34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13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FB2A6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39C2C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9692B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2AC2A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1F5FF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55CDA6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63327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38A34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081543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6C87EB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384A4C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15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56663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3FD85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FFC2B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81CFE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B4EEA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D820DE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15D78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9DE9E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6C7F59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2CBD60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355B40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16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8CD9E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334DA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DAA48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8A0B6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88AF9C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69C55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676C7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5C8EC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582208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 (ARB)</w:t>
            </w:r>
          </w:p>
        </w:tc>
      </w:tr>
      <w:tr w14:paraId="0B2EB0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7824AC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17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1F43F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24160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128F96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BF45D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8A67A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5AD0E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B1978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B3210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1AB41F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 (dapagliflozin)</w:t>
            </w:r>
          </w:p>
        </w:tc>
      </w:tr>
      <w:tr w14:paraId="1D2A26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194129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18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3F121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498D6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67197F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EE00A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3FE5D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0505C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5E934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E7D8B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316F7D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 (sacubitril/valsartan)</w:t>
            </w:r>
          </w:p>
        </w:tc>
      </w:tr>
      <w:tr w14:paraId="3282C3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7506117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19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4D9BD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&lt;3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03A6B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C4610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6F122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BD6C0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892DB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50E38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DA9AE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518691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 (olmesartan)</w:t>
            </w:r>
          </w:p>
        </w:tc>
      </w:tr>
      <w:tr w14:paraId="6465E0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5D8EDF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6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D1366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≥3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C3E27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7862C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16D1E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24B0C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425D2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A01CC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21358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3B270E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68B582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335FEF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7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270C7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≥3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BA9B9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947DC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4E43F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37143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B2C6C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24564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B22F3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76DF1F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 (ARB)</w:t>
            </w:r>
          </w:p>
        </w:tc>
      </w:tr>
      <w:tr w14:paraId="7EF62B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166E25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8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AA775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≥3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54F9B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A1EA7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50F74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CEC21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9D3F26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30791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471D9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0EAF87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47915C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44FA69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9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5A4B5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≥3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AC4CC7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AE59E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604D5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292633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4F5FF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C5A20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89B3C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066E11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7F0D12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2E9AF00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10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8F6A2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≥3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8C0C7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6B12B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5CE41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4BB93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B117C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8E038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CF753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1753A5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  <w:tr w14:paraId="28BF2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339CCD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11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190A7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≥3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569C0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513DB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5CF99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8509A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744CB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53E64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59BCB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24CB5D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 (valsartan + dapagliflozin)</w:t>
            </w:r>
          </w:p>
        </w:tc>
      </w:tr>
      <w:tr w14:paraId="57DA17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47745B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12</w:t>
            </w:r>
          </w:p>
        </w:tc>
        <w:tc>
          <w:tcPr>
            <w:tcW w:w="485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5EBF1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≥3 yr</w:t>
            </w:r>
          </w:p>
        </w:tc>
        <w:tc>
          <w:tcPr>
            <w:tcW w:w="344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79116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425B3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55228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418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BF9D3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A37DF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C8B53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59" w:type="pct"/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80EFC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1300" w:type="pct"/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71F826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 (benazepril)</w:t>
            </w:r>
          </w:p>
        </w:tc>
      </w:tr>
      <w:tr w14:paraId="7B1E1C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5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64C446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14</w:t>
            </w:r>
          </w:p>
        </w:tc>
        <w:tc>
          <w:tcPr>
            <w:tcW w:w="485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8D403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≥3 yr</w:t>
            </w:r>
          </w:p>
        </w:tc>
        <w:tc>
          <w:tcPr>
            <w:tcW w:w="344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8A7F1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91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DDBD6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59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5BE5C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18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2DD74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376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4CA30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BB0CA1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359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844F3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+</w:t>
            </w:r>
          </w:p>
        </w:tc>
        <w:tc>
          <w:tcPr>
            <w:tcW w:w="1300" w:type="pct"/>
            <w:tcBorders>
              <w:bottom w:val="single" w:color="000000" w:sz="12" w:space="0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5848C79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–</w:t>
            </w:r>
          </w:p>
        </w:tc>
      </w:tr>
    </w:tbl>
    <w:p w14:paraId="6A742FA4">
      <w:pPr>
        <w:pStyle w:val="12"/>
        <w:widowControl/>
        <w:shd w:val="clear" w:color="auto" w:fill="FFFFFF"/>
        <w:spacing w:before="137" w:beforeAutospacing="0" w:after="137" w:afterAutospacing="0"/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</w:pPr>
    </w:p>
    <w:p w14:paraId="6157F11A">
      <w:pPr>
        <w:pStyle w:val="12"/>
        <w:widowControl/>
        <w:shd w:val="clear" w:color="auto" w:fill="FFFFFF"/>
        <w:spacing w:before="137" w:beforeAutospacing="0" w:after="137" w:afterAutospacing="0"/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</w:pPr>
    </w:p>
    <w:p w14:paraId="67ACC791">
      <w:pPr>
        <w:pStyle w:val="12"/>
        <w:widowControl/>
        <w:shd w:val="clear" w:color="auto" w:fill="FFFFFF"/>
        <w:spacing w:before="137" w:beforeAutospacing="0" w:after="137" w:afterAutospacing="0"/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</w:pPr>
    </w:p>
    <w:p w14:paraId="4ED9C505">
      <w:pPr>
        <w:pStyle w:val="12"/>
        <w:widowControl/>
        <w:shd w:val="clear" w:color="auto" w:fill="FFFFFF"/>
        <w:spacing w:before="137" w:beforeAutospacing="0" w:after="137" w:afterAutospacing="0"/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</w:pPr>
    </w:p>
    <w:p w14:paraId="3FE1E781">
      <w:pPr>
        <w:pStyle w:val="12"/>
        <w:widowControl/>
        <w:shd w:val="clear" w:color="auto" w:fill="FFFFFF"/>
        <w:spacing w:before="137" w:beforeAutospacing="0" w:after="137" w:afterAutospacing="0"/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</w:pPr>
    </w:p>
    <w:p w14:paraId="0F897BD0">
      <w:pPr>
        <w:pStyle w:val="12"/>
        <w:widowControl/>
        <w:shd w:val="clear" w:color="auto" w:fill="FFFFFF"/>
        <w:spacing w:before="137" w:beforeAutospacing="0" w:after="137" w:afterAutospacing="0"/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</w:pPr>
      <w:bookmarkStart w:id="0" w:name="_GoBack"/>
      <w:bookmarkEnd w:id="0"/>
    </w:p>
    <w:p w14:paraId="748CF720">
      <w:pPr>
        <w:pStyle w:val="1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  <w:t>Supplementary Table 3. Individual Patient Urinary RBC Data (Semiquantitative Grading)</w:t>
      </w:r>
    </w:p>
    <w:tbl>
      <w:tblPr>
        <w:tblStyle w:val="13"/>
        <w:tblW w:w="4994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8"/>
        <w:gridCol w:w="734"/>
        <w:gridCol w:w="894"/>
        <w:gridCol w:w="756"/>
        <w:gridCol w:w="757"/>
        <w:gridCol w:w="758"/>
        <w:gridCol w:w="758"/>
        <w:gridCol w:w="758"/>
        <w:gridCol w:w="758"/>
        <w:gridCol w:w="758"/>
        <w:gridCol w:w="824"/>
      </w:tblGrid>
      <w:tr w14:paraId="63B222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7A0CDB4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Patient ID</w:t>
            </w:r>
          </w:p>
        </w:tc>
        <w:tc>
          <w:tcPr>
            <w:tcW w:w="40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ADFE77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Group</w:t>
            </w:r>
          </w:p>
        </w:tc>
        <w:tc>
          <w:tcPr>
            <w:tcW w:w="48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EB9D6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5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768E6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Month 1</w:t>
            </w:r>
          </w:p>
        </w:tc>
        <w:tc>
          <w:tcPr>
            <w:tcW w:w="45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41B29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Month 2</w:t>
            </w:r>
          </w:p>
        </w:tc>
        <w:tc>
          <w:tcPr>
            <w:tcW w:w="45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8F9A42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Month 3</w:t>
            </w:r>
          </w:p>
        </w:tc>
        <w:tc>
          <w:tcPr>
            <w:tcW w:w="45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35285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Month 4</w:t>
            </w:r>
          </w:p>
        </w:tc>
        <w:tc>
          <w:tcPr>
            <w:tcW w:w="45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7ED1D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Month 5</w:t>
            </w:r>
          </w:p>
        </w:tc>
        <w:tc>
          <w:tcPr>
            <w:tcW w:w="45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A2E27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Month 6</w:t>
            </w:r>
          </w:p>
        </w:tc>
        <w:tc>
          <w:tcPr>
            <w:tcW w:w="45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40627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Month 9</w:t>
            </w:r>
          </w:p>
        </w:tc>
        <w:tc>
          <w:tcPr>
            <w:tcW w:w="49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336F9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Month 12</w:t>
            </w:r>
          </w:p>
        </w:tc>
      </w:tr>
      <w:tr w14:paraId="0A03DC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409E97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40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33A95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0E7C4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F9958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4311D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F5B07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FF1B4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136A8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B54A0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68946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9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7F99F0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</w:tr>
      <w:tr w14:paraId="505DA5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6C5AB0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5F3CE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CBE8A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2963C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5E21B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1AA34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4D00B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9EB24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75FC0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B08DE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648574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</w:tr>
      <w:tr w14:paraId="18298F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2CA3EF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EF753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05076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A96EA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8DD86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24A1D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061D57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5F247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CFD39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D5FF2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5AF6FA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</w:tr>
      <w:tr w14:paraId="749050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18E86C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DE863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2F955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75AB7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FDC1D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57B87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9962D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2BAD1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01497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55D45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1A5C5B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</w:tr>
      <w:tr w14:paraId="596E70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268AE2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233BE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CC19A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D57789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B3F21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C4B54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D9B4B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19210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FAFC4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7041A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093BC1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</w:tr>
      <w:tr w14:paraId="1B0182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698C88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1C2E9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≥3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FD2F2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6379B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9C46AB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A5D35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57541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EB5B2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EFA41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4AFE7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5682D6F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</w:tr>
      <w:tr w14:paraId="2CF780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1B3594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EE008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≥3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7CCE3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1E51B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7EA04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62217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D5B99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BD392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33C98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C627A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6A7BAE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</w:tr>
      <w:tr w14:paraId="787D9A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00169A0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840F6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≥3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DBB21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7AB6E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293CA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ED789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69855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0FEE9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BA666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FC4F1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75E8A3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</w:tr>
      <w:tr w14:paraId="1A07AB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3D83F3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9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409A1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≥3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AE840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C3571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C9BB56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713D4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7582C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A377A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C2BD0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4CDDA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607060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</w:tr>
      <w:tr w14:paraId="0C8E7E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04EEA2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E55A0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≥3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79239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E85B0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6A3E4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BDCDB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628C9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8FD62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46154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A5548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04DAD0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</w:tr>
      <w:tr w14:paraId="5C5045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284273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75D88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≥3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A676E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93D0C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7B720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E9850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E3F4A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8B8D1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795472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5AA71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324E8A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</w:tr>
      <w:tr w14:paraId="2844F4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128BCD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89F15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≥3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190E1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2F0AC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ED9C7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37F79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7CB65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2E8AD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098DC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AC1BE6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78CCC7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</w:tr>
      <w:tr w14:paraId="50A231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6DBE4C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96D7E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2498A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88793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581D9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65598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F5A77B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BA135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730D2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A47B5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3DECA0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</w:tr>
      <w:tr w14:paraId="70DC70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46CACF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D3335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≥3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B7B5A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975D2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2E36D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33A5B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B7DB8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32995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F66E4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D2A54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58AA3E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</w:tr>
      <w:tr w14:paraId="27EDCE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06F9FA6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59834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94A54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484BF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A2378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F2283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C9F36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EB8B5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1712F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D3C42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06A327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</w:tr>
      <w:tr w14:paraId="44A47F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310E35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FD752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F3312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1E40B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8FD77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6E940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2B941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3AA03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2DDFF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DFA87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1B8250A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</w:tr>
      <w:tr w14:paraId="3CB5C5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468E8E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06549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A6E21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3152B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8980F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69F67B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04979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5C2F5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5F175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76FF5E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718F23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</w:tr>
      <w:tr w14:paraId="083461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2FEAD3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CD75D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7BB0B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E1832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82787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86D53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861CE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69ADEC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F8654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17F04C7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045E18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++</w:t>
            </w:r>
          </w:p>
        </w:tc>
      </w:tr>
      <w:tr w14:paraId="1814C4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0" w:type="dxa"/>
              <w:bottom w:w="86" w:type="dxa"/>
              <w:right w:w="137" w:type="dxa"/>
            </w:tcMar>
            <w:vAlign w:val="center"/>
          </w:tcPr>
          <w:p w14:paraId="0ED687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19</w:t>
            </w:r>
          </w:p>
        </w:tc>
        <w:tc>
          <w:tcPr>
            <w:tcW w:w="40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3E6525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&lt;3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yr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00505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7B30C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473FC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217C73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+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510D38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46090C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2505E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±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137" w:type="dxa"/>
            </w:tcMar>
            <w:vAlign w:val="center"/>
          </w:tcPr>
          <w:p w14:paraId="0FD852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6" w:type="dxa"/>
              <w:left w:w="137" w:type="dxa"/>
              <w:bottom w:w="86" w:type="dxa"/>
              <w:right w:w="0" w:type="dxa"/>
            </w:tcMar>
            <w:vAlign w:val="center"/>
          </w:tcPr>
          <w:p w14:paraId="021EA1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</w:rPr>
              <w:t>–</w:t>
            </w:r>
          </w:p>
        </w:tc>
      </w:tr>
    </w:tbl>
    <w:p w14:paraId="4878052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color w:val="auto"/>
        </w:rPr>
      </w:pPr>
      <w:r>
        <w:rPr>
          <w:rFonts w:hint="eastAsia" w:ascii="Times New Roman" w:hAnsi="Times New Roman" w:cs="Times New Roman"/>
          <w:color w:val="auto"/>
          <w:sz w:val="16"/>
          <w:szCs w:val="16"/>
          <w:shd w:val="clear" w:color="auto" w:fill="FFFFFF"/>
        </w:rPr>
        <w:t>Note: – (&lt;1 RBC/HPF, negative), ± (1–4 RBC/HPF, trace), + (5–9 RBC/HPF, mild), ++ (10–29 RBC/HPF, moderate), +++ (30–99 RBC/HPF, severe), ++++ (≥100 RBC/HPF or innumerable). Empty cells (–in the time point columns) indicate missing data at that time point. Original records included range values and descriptive terms (e.g.“RBC occasional”</w:t>
      </w:r>
      <w:r>
        <w:rPr>
          <w:rFonts w:hint="eastAsia" w:ascii="Times New Roman" w:hAnsi="Times New Roman" w:cs="Times New Roman"/>
          <w:color w:val="auto"/>
          <w:sz w:val="16"/>
          <w:szCs w:val="16"/>
          <w:shd w:val="clear" w:color="auto" w:fill="FFFFFF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16"/>
          <w:szCs w:val="16"/>
          <w:shd w:val="clear" w:color="auto" w:fill="FFFFFF"/>
        </w:rPr>
        <w:t>“RBC full field”); the grading was applied for descriptive purposes only, and no statistical analysis was performed due to the semiquantitative nature of the data.</w:t>
      </w:r>
    </w:p>
    <w:p w14:paraId="3F6B5269">
      <w:pPr>
        <w:rPr>
          <w:color w:val="auto"/>
        </w:rPr>
      </w:pPr>
    </w:p>
    <w:p w14:paraId="6504D4CC">
      <w:pPr>
        <w:rPr>
          <w:color w:val="auto"/>
        </w:rPr>
      </w:pPr>
      <w:r>
        <w:rPr>
          <w:rFonts w:hint="eastAsia"/>
          <w:color w:val="auto"/>
        </w:rPr>
        <w:drawing>
          <wp:inline distT="0" distB="0" distL="114300" distR="114300">
            <wp:extent cx="4580255" cy="3271520"/>
            <wp:effectExtent l="0" t="0" r="7620" b="10160"/>
            <wp:docPr id="2" name="图片 2" descr="Figure_S1_grou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_S1_group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0255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540A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Supplementary Figure 1. Individual trajectory of 24-hour urinary protein changes</w:t>
      </w:r>
    </w:p>
    <w:p w14:paraId="277A2C12">
      <w:pPr>
        <w:rPr>
          <w:color w:val="auto"/>
        </w:rPr>
      </w:pPr>
    </w:p>
    <w:p w14:paraId="7D57BEB5">
      <w:pPr>
        <w:rPr>
          <w:color w:val="auto"/>
        </w:rPr>
      </w:pPr>
    </w:p>
    <w:p w14:paraId="2A3C22E3">
      <w:pPr>
        <w:rPr>
          <w:color w:val="auto"/>
        </w:rPr>
      </w:pPr>
      <w:r>
        <w:rPr>
          <w:rFonts w:hint="eastAsia"/>
          <w:color w:val="auto"/>
        </w:rPr>
        <w:drawing>
          <wp:inline distT="0" distB="0" distL="114300" distR="114300">
            <wp:extent cx="5266690" cy="3423285"/>
            <wp:effectExtent l="0" t="0" r="1270" b="9525"/>
            <wp:docPr id="1" name="图片 1" descr="Supplementary Figure 1.Exploratory correlation between baseline 24-hour proteinuria and treatment response after Telitacicep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.Exploratory correlation between baseline 24-hour proteinuria and treatment response after Telitacicept.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31F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Supplementary Figure 2. Exploratory correlation between baseline 24-hour proteinuria and percent reduction in proteinuria at 12 months</w:t>
      </w:r>
    </w:p>
    <w:p w14:paraId="589E0576">
      <w:pPr>
        <w:pStyle w:val="12"/>
        <w:widowControl/>
        <w:shd w:val="clear" w:color="auto" w:fill="FFFFFF"/>
        <w:spacing w:before="137" w:beforeAutospacing="0" w:after="137" w:afterAutospacing="0"/>
        <w:rPr>
          <w:rStyle w:val="15"/>
          <w:rFonts w:ascii="Segoe UI" w:hAnsi="Segoe UI" w:eastAsia="Segoe UI" w:cs="Segoe UI"/>
          <w:bCs/>
          <w:color w:val="auto"/>
          <w:sz w:val="13"/>
          <w:szCs w:val="13"/>
          <w:shd w:val="clear" w:color="auto" w:fill="FFFFFF"/>
        </w:rPr>
      </w:pPr>
    </w:p>
    <w:p w14:paraId="41445CDA">
      <w:pPr>
        <w:pStyle w:val="12"/>
        <w:widowControl/>
        <w:shd w:val="clear" w:color="auto" w:fill="FFFFFF"/>
        <w:spacing w:before="137" w:beforeAutospacing="0" w:after="137" w:afterAutospacing="0"/>
        <w:rPr>
          <w:rStyle w:val="15"/>
          <w:rFonts w:ascii="Segoe UI" w:hAnsi="Segoe UI" w:eastAsia="Segoe UI" w:cs="Segoe UI"/>
          <w:bCs/>
          <w:color w:val="auto"/>
          <w:sz w:val="13"/>
          <w:szCs w:val="13"/>
          <w:shd w:val="clear" w:color="auto" w:fill="FFFFFF"/>
        </w:rPr>
      </w:pPr>
    </w:p>
    <w:p w14:paraId="76AB00FE">
      <w:pPr>
        <w:pStyle w:val="12"/>
        <w:widowControl/>
        <w:shd w:val="clear" w:color="auto" w:fill="FFFFFF"/>
        <w:spacing w:before="137" w:beforeAutospacing="0" w:after="137" w:afterAutospacing="0"/>
        <w:rPr>
          <w:rStyle w:val="15"/>
          <w:rFonts w:ascii="Segoe UI" w:hAnsi="Segoe UI" w:eastAsia="Segoe UI" w:cs="Segoe UI"/>
          <w:bCs/>
          <w:color w:val="auto"/>
          <w:sz w:val="13"/>
          <w:szCs w:val="13"/>
          <w:shd w:val="clear" w:color="auto" w:fill="FFFFFF"/>
        </w:rPr>
      </w:pPr>
    </w:p>
    <w:p w14:paraId="39D87A9C">
      <w:pPr>
        <w:rPr>
          <w:color w:val="auto"/>
        </w:rPr>
      </w:pPr>
    </w:p>
    <w:p w14:paraId="7DA7747C"/>
    <w:sectPr>
      <w:footerReference r:id="rId3" w:type="default"/>
      <w:pgSz w:w="11906" w:h="16838"/>
      <w:pgMar w:top="1440" w:right="1800" w:bottom="1440" w:left="1800" w:header="851" w:footer="992" w:gutter="0"/>
      <w:lnNumType w:countBy="1"/>
      <w:cols w:space="425" w:num="1"/>
      <w:docGrid w:type="lines" w:linePitch="312" w:charSpace="0"/>
      <mc:AlternateContent>
        <mc:Choice Requires="wpsCustomData">
          <wpsCustomData:blankLineNoLineNum/>
        </mc:Choice>
      </mc:AlternateContent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0AD00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81EEC0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81EEC0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FD149E"/>
    <w:multiLevelType w:val="multilevel"/>
    <w:tmpl w:val="FEFD149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4C4A2D"/>
    <w:rsid w:val="24890169"/>
    <w:rsid w:val="29913223"/>
    <w:rsid w:val="2FA44DCF"/>
    <w:rsid w:val="44B54D63"/>
    <w:rsid w:val="5D246903"/>
    <w:rsid w:val="5FE8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outlineLvl w:val="0"/>
    </w:pPr>
    <w:rPr>
      <w:rFonts w:asciiTheme="minorAscii" w:hAnsiTheme="minorAscii"/>
      <w:b/>
      <w:kern w:val="44"/>
      <w:sz w:val="32"/>
      <w:szCs w:val="22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280" w:lineRule="exact"/>
      <w:outlineLvl w:val="1"/>
    </w:pPr>
    <w:rPr>
      <w:rFonts w:ascii="Arial" w:hAnsi="Arial" w:eastAsia="黑体"/>
      <w:b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240" w:lineRule="atLeast"/>
      <w:ind w:firstLine="400"/>
      <w:outlineLvl w:val="2"/>
    </w:pPr>
    <w:rPr>
      <w:rFonts w:asciiTheme="minorAscii" w:hAnsiTheme="minorAscii"/>
      <w:b/>
      <w:sz w:val="21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标题 2 Char"/>
    <w:link w:val="3"/>
    <w:qFormat/>
    <w:uiPriority w:val="0"/>
    <w:rPr>
      <w:rFonts w:ascii="Arial" w:hAnsi="Arial" w:eastAsia="黑体"/>
      <w:b/>
      <w:sz w:val="24"/>
    </w:rPr>
  </w:style>
  <w:style w:type="table" w:customStyle="1" w:styleId="17">
    <w:name w:val="三线表"/>
    <w:basedOn w:val="13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6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2025-11-24T15:20:00Z</dcterms:created>
  <dc:creator>haojiangyuan</dc:creator>
  <cp:lastModifiedBy>皖语</cp:lastModifiedBy>
  <dcterms:modified xsi:type="dcterms:W3CDTF">2026-03-12T12:35:09Z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6515046657FC4EE89701FF4B4293A715_12</vt:lpwstr>
  </property>
  <property fmtid="{D5CDD505-2E9C-101B-9397-08002B2CF9AE}" pid="4" name="KSOTemplateDocerSaveRecord">
    <vt:lpwstr>eyJoZGlkIjoiMDRjMmM1MjViOGVkNmY2MThiZDBjOTlhMTdjNzQ0NGQiLCJ1c2VySWQiOiI1ODEyMjYwNzYifQ==</vt:lpwstr>
  </property>
</Properties>
</file>