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5B1" w:rsidRPr="000B49A7" w:rsidRDefault="003B45B1" w:rsidP="003B45B1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lang w:val="en-US"/>
        </w:rPr>
      </w:pPr>
      <w:proofErr w:type="gramStart"/>
      <w:r>
        <w:rPr>
          <w:rFonts w:ascii="Calibri" w:eastAsia="Calibri" w:hAnsi="Calibri" w:cs="Calibri"/>
          <w:b/>
          <w:bCs/>
          <w:color w:val="000000" w:themeColor="text1"/>
          <w:lang w:val="en-US"/>
        </w:rPr>
        <w:t>Additional</w:t>
      </w:r>
      <w:r w:rsidRPr="000B49A7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 Table 1.</w:t>
      </w:r>
      <w:proofErr w:type="gramEnd"/>
      <w:r w:rsidRPr="000B49A7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 Descriptive data for concomitant medications presented as numbers (</w:t>
      </w:r>
      <w:proofErr w:type="spellStart"/>
      <w:r w:rsidRPr="000B49A7">
        <w:rPr>
          <w:rFonts w:ascii="Calibri" w:eastAsia="Calibri" w:hAnsi="Calibri" w:cs="Calibri"/>
          <w:b/>
          <w:bCs/>
          <w:color w:val="000000" w:themeColor="text1"/>
          <w:lang w:val="en-US"/>
        </w:rPr>
        <w:t>Num</w:t>
      </w:r>
      <w:proofErr w:type="spellEnd"/>
      <w:r w:rsidRPr="000B49A7">
        <w:rPr>
          <w:rFonts w:ascii="Calibri" w:eastAsia="Calibri" w:hAnsi="Calibri" w:cs="Calibri"/>
          <w:b/>
          <w:bCs/>
          <w:color w:val="000000" w:themeColor="text1"/>
          <w:lang w:val="en-US"/>
        </w:rPr>
        <w:t>) and percentages (%) for categorical variables.</w:t>
      </w:r>
    </w:p>
    <w:p w:rsidR="003B45B1" w:rsidRPr="000B49A7" w:rsidRDefault="003B45B1" w:rsidP="003B45B1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54"/>
        <w:gridCol w:w="640"/>
        <w:gridCol w:w="640"/>
        <w:gridCol w:w="640"/>
        <w:gridCol w:w="639"/>
        <w:gridCol w:w="639"/>
        <w:gridCol w:w="639"/>
        <w:gridCol w:w="639"/>
        <w:gridCol w:w="639"/>
        <w:gridCol w:w="639"/>
        <w:gridCol w:w="639"/>
        <w:gridCol w:w="795"/>
      </w:tblGrid>
      <w:tr w:rsidR="003B45B1" w:rsidTr="000A7152">
        <w:trPr>
          <w:trHeight w:val="300"/>
        </w:trPr>
        <w:tc>
          <w:tcPr>
            <w:tcW w:w="1062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proofErr w:type="spellStart"/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eSALT</w:t>
            </w:r>
            <w:proofErr w:type="spellEnd"/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 xml:space="preserve"> (QUINTILE)</w:t>
            </w:r>
          </w:p>
        </w:tc>
        <w:tc>
          <w:tcPr>
            <w:tcW w:w="716" w:type="pct"/>
            <w:gridSpan w:val="2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Quintile 1 (n = 1236)</w:t>
            </w:r>
          </w:p>
        </w:tc>
        <w:tc>
          <w:tcPr>
            <w:tcW w:w="716" w:type="pct"/>
            <w:gridSpan w:val="2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Quintile 2 (n = 1236)</w:t>
            </w:r>
          </w:p>
        </w:tc>
        <w:tc>
          <w:tcPr>
            <w:tcW w:w="716" w:type="pct"/>
            <w:gridSpan w:val="2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Quintile 3 (n = 1236)</w:t>
            </w:r>
          </w:p>
        </w:tc>
        <w:tc>
          <w:tcPr>
            <w:tcW w:w="716" w:type="pct"/>
            <w:gridSpan w:val="2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Quintile 4 (n = 1236)</w:t>
            </w:r>
          </w:p>
        </w:tc>
        <w:tc>
          <w:tcPr>
            <w:tcW w:w="716" w:type="pct"/>
            <w:gridSpan w:val="2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Quintile 5 (n = 1236)</w:t>
            </w:r>
          </w:p>
        </w:tc>
        <w:tc>
          <w:tcPr>
            <w:tcW w:w="358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Total = 6180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zh-TW"/>
              </w:rPr>
              <w:t> 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vAlign w:val="bottom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Average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vAlign w:val="bottom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SD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vAlign w:val="bottom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Average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vAlign w:val="bottom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SD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vAlign w:val="bottom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Average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vAlign w:val="bottom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SD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vAlign w:val="bottom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Average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vAlign w:val="bottom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SD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vAlign w:val="bottom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Average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vAlign w:val="bottom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SD</w:t>
            </w:r>
          </w:p>
        </w:tc>
        <w:tc>
          <w:tcPr>
            <w:tcW w:w="358" w:type="pct"/>
            <w:tcBorders>
              <w:top w:val="nil"/>
              <w:bottom w:val="nil"/>
            </w:tcBorders>
            <w:vAlign w:val="bottom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p</w:t>
            </w:r>
          </w:p>
        </w:tc>
      </w:tr>
      <w:tr w:rsidR="003B45B1" w:rsidTr="000A7152">
        <w:trPr>
          <w:trHeight w:val="300"/>
        </w:trPr>
        <w:tc>
          <w:tcPr>
            <w:tcW w:w="106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proofErr w:type="spellStart"/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eSALT</w:t>
            </w:r>
            <w:proofErr w:type="spellEnd"/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 xml:space="preserve"> (Baseline) (g/day)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3.99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0.98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6.08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0.42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7.46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0.40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9.04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0.53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11.86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1.44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&lt;0.0001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 w:eastAsia="zh-TW"/>
              </w:rPr>
              <w:t xml:space="preserve"> Concomitant Medications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n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%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n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%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n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%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n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%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n</w:t>
            </w:r>
          </w:p>
        </w:tc>
        <w:tc>
          <w:tcPr>
            <w:tcW w:w="358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3B45B1" w:rsidRPr="000B49A7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>%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 </w:t>
            </w:r>
          </w:p>
        </w:tc>
      </w:tr>
      <w:tr w:rsidR="003B45B1" w:rsidTr="000A7152">
        <w:trPr>
          <w:trHeight w:val="330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 xml:space="preserve">Oral </w:t>
            </w:r>
            <w:proofErr w:type="spellStart"/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antidiabetic</w:t>
            </w:r>
            <w:proofErr w:type="spellEnd"/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 xml:space="preserve"> agent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277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4.48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249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4.03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290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4.69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297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4.81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268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4.34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0.0803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Insulin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20.31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0.24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0.21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0.28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0.1552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Antiplatelet drugs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588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9.51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576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9.32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564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9.13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563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9.11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588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9.51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0.2636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Warfarin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64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1.04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75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1.21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63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1.02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75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1.21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72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1.17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0.6968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proofErr w:type="spellStart"/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Calcimimetics</w:t>
            </w:r>
            <w:proofErr w:type="spellEnd"/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243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3.93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336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5.44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356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5.76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410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6.63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482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7.8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&lt;0.0001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ESA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885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14.32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892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14.43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757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12.25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833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13.48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862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13.95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&lt;0.0001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Iron iv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280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4.53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292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4.72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279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4.51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284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4.6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273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4.42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0.6371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Iron oral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0.34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0.39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0.26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0.55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0.29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0.8404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proofErr w:type="spellStart"/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VitD</w:t>
            </w:r>
            <w:proofErr w:type="spellEnd"/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 xml:space="preserve"> oral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440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35.6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476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38.5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416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33.7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444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35.9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497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40.2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&lt;0.05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proofErr w:type="spellStart"/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VitD</w:t>
            </w:r>
            <w:proofErr w:type="spellEnd"/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 xml:space="preserve"> iv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320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17.7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319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17.6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413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22.8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341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18.8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419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23.1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&lt;0.0001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Phosphate binder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748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12.1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868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14.05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1090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17.64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1011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16.36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976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15.79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&lt;0.0001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 xml:space="preserve">Phosphate binder </w:t>
            </w: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lastRenderedPageBreak/>
              <w:t>Iron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lastRenderedPageBreak/>
              <w:t>107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1.73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162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2.62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200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3.24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173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2.8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157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2.54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&lt;0.00</w:t>
            </w: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lastRenderedPageBreak/>
              <w:t>01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lastRenderedPageBreak/>
              <w:t>AHT α blocker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1.59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114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1.84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140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2.27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137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2.22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131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2.12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0.0014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AHT αβ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1.54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120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1.94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178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2.88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148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2.39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127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2.06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&lt;0.0001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AHT ACE inhibitor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0.76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40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0.65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50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0.81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40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0.65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0.76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0.7728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 xml:space="preserve">AHT ARB 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337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5.45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367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5.94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382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6.18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393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6.36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411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6.65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0.0015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AHT β blocker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0.89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66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1.07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61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0.99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67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1.08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1.54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0.0033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 xml:space="preserve">AHT </w:t>
            </w:r>
            <w:proofErr w:type="spellStart"/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Ca</w:t>
            </w:r>
            <w:proofErr w:type="spellEnd"/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 xml:space="preserve"> antagonist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557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9.01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576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9.32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584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9.45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600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9.71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613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9.92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0.0307</w:t>
            </w:r>
          </w:p>
        </w:tc>
      </w:tr>
      <w:tr w:rsidR="003B45B1" w:rsidTr="000A7152">
        <w:trPr>
          <w:trHeight w:val="315"/>
        </w:trPr>
        <w:tc>
          <w:tcPr>
            <w:tcW w:w="106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AHT Central nervous system depressant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0.53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0.83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0.73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52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0.84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0.83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0.1558</w:t>
            </w:r>
          </w:p>
        </w:tc>
      </w:tr>
      <w:tr w:rsidR="003B45B1" w:rsidTr="000A7152">
        <w:trPr>
          <w:trHeight w:val="330"/>
        </w:trPr>
        <w:tc>
          <w:tcPr>
            <w:tcW w:w="1062" w:type="pct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XOR Inhibitors</w:t>
            </w:r>
          </w:p>
        </w:tc>
        <w:tc>
          <w:tcPr>
            <w:tcW w:w="358" w:type="pct"/>
            <w:tcBorders>
              <w:top w:val="nil"/>
              <w:bottom w:val="single" w:sz="8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252</w:t>
            </w:r>
          </w:p>
        </w:tc>
        <w:tc>
          <w:tcPr>
            <w:tcW w:w="358" w:type="pct"/>
            <w:tcBorders>
              <w:top w:val="nil"/>
              <w:bottom w:val="single" w:sz="8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4.08</w:t>
            </w:r>
          </w:p>
        </w:tc>
        <w:tc>
          <w:tcPr>
            <w:tcW w:w="358" w:type="pct"/>
            <w:tcBorders>
              <w:top w:val="nil"/>
              <w:bottom w:val="single" w:sz="8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257</w:t>
            </w:r>
          </w:p>
        </w:tc>
        <w:tc>
          <w:tcPr>
            <w:tcW w:w="358" w:type="pct"/>
            <w:tcBorders>
              <w:top w:val="nil"/>
              <w:bottom w:val="single" w:sz="8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4.16</w:t>
            </w:r>
          </w:p>
        </w:tc>
        <w:tc>
          <w:tcPr>
            <w:tcW w:w="358" w:type="pct"/>
            <w:tcBorders>
              <w:top w:val="nil"/>
              <w:bottom w:val="single" w:sz="8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330</w:t>
            </w:r>
          </w:p>
        </w:tc>
        <w:tc>
          <w:tcPr>
            <w:tcW w:w="358" w:type="pct"/>
            <w:tcBorders>
              <w:top w:val="nil"/>
              <w:bottom w:val="single" w:sz="8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5.34</w:t>
            </w:r>
          </w:p>
        </w:tc>
        <w:tc>
          <w:tcPr>
            <w:tcW w:w="358" w:type="pct"/>
            <w:tcBorders>
              <w:top w:val="nil"/>
              <w:bottom w:val="single" w:sz="8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302</w:t>
            </w:r>
          </w:p>
        </w:tc>
        <w:tc>
          <w:tcPr>
            <w:tcW w:w="358" w:type="pct"/>
            <w:tcBorders>
              <w:top w:val="nil"/>
              <w:bottom w:val="single" w:sz="8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4.89</w:t>
            </w:r>
          </w:p>
        </w:tc>
        <w:tc>
          <w:tcPr>
            <w:tcW w:w="358" w:type="pct"/>
            <w:tcBorders>
              <w:top w:val="nil"/>
              <w:bottom w:val="single" w:sz="8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372</w:t>
            </w:r>
          </w:p>
        </w:tc>
        <w:tc>
          <w:tcPr>
            <w:tcW w:w="358" w:type="pct"/>
            <w:tcBorders>
              <w:top w:val="nil"/>
              <w:bottom w:val="single" w:sz="8" w:space="0" w:color="auto"/>
            </w:tcBorders>
            <w:shd w:val="clear" w:color="000000" w:fill="FFFFFF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6.02</w:t>
            </w:r>
          </w:p>
        </w:tc>
        <w:tc>
          <w:tcPr>
            <w:tcW w:w="358" w:type="pct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:rsidR="003B45B1" w:rsidRPr="00F228DD" w:rsidRDefault="003B45B1" w:rsidP="000A715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zh-TW"/>
              </w:rPr>
            </w:pPr>
            <w:r w:rsidRPr="00F228DD">
              <w:rPr>
                <w:rFonts w:ascii="Calibri" w:eastAsia="Times New Roman" w:hAnsi="Calibri" w:cs="Calibri"/>
                <w:color w:val="000000"/>
                <w:lang w:val="en-US" w:eastAsia="zh-TW"/>
              </w:rPr>
              <w:t>&lt;0.0001</w:t>
            </w:r>
          </w:p>
        </w:tc>
      </w:tr>
    </w:tbl>
    <w:p w:rsidR="003B45B1" w:rsidRPr="000B49A7" w:rsidRDefault="003B45B1" w:rsidP="003B45B1">
      <w:pPr>
        <w:spacing w:after="0" w:line="36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:rsidR="003B45B1" w:rsidRPr="000B49A7" w:rsidRDefault="003B45B1" w:rsidP="003B45B1">
      <w:pPr>
        <w:spacing w:after="0" w:line="360" w:lineRule="auto"/>
        <w:rPr>
          <w:rFonts w:ascii="Calibri" w:hAnsi="Calibri" w:cs="Calibri"/>
          <w:color w:val="000000" w:themeColor="text1"/>
          <w:lang w:val="en-US"/>
        </w:rPr>
      </w:pPr>
      <w:r w:rsidRPr="000B49A7">
        <w:rPr>
          <w:rFonts w:ascii="Calibri" w:eastAsia="Calibri" w:hAnsi="Calibri" w:cs="Calibri"/>
          <w:color w:val="000000" w:themeColor="text1"/>
          <w:lang w:val="en-US"/>
        </w:rPr>
        <w:t xml:space="preserve">ESA, erythropoiesis-stimulating agent; Iron iv, iron intravenous injection; Iron oral, iron oral intake; </w:t>
      </w:r>
      <w:proofErr w:type="spellStart"/>
      <w:r w:rsidRPr="000B49A7">
        <w:rPr>
          <w:rFonts w:ascii="Calibri" w:eastAsia="Calibri" w:hAnsi="Calibri" w:cs="Calibri"/>
          <w:color w:val="000000" w:themeColor="text1"/>
          <w:lang w:val="en-US"/>
        </w:rPr>
        <w:t>Vit</w:t>
      </w:r>
      <w:proofErr w:type="spellEnd"/>
      <w:r w:rsidRPr="000B49A7">
        <w:rPr>
          <w:rFonts w:ascii="Calibri" w:eastAsia="Calibri" w:hAnsi="Calibri" w:cs="Calibri"/>
          <w:color w:val="000000" w:themeColor="text1"/>
          <w:lang w:val="en-US"/>
        </w:rPr>
        <w:t xml:space="preserve"> D oral, Vitamin D oral intake; Vid D iv, Vitamin D intravenous injection; Phosphate binder Iron, iron including phosphate binder; AHT, anti-hypertensive agents; alpha, alpha blocker; alpha beta, alpha beta blocker; ACE, angiotensin II beta blocker; ACE, angiotensin converting enzyme inhibitor; ARB, angiotensin receptor blocker; beta, beta blocker; </w:t>
      </w:r>
      <w:proofErr w:type="spellStart"/>
      <w:r w:rsidRPr="000B49A7">
        <w:rPr>
          <w:rFonts w:ascii="Calibri" w:eastAsia="Calibri" w:hAnsi="Calibri" w:cs="Calibri"/>
          <w:color w:val="000000" w:themeColor="text1"/>
          <w:lang w:val="en-US"/>
        </w:rPr>
        <w:t>Ca</w:t>
      </w:r>
      <w:proofErr w:type="spellEnd"/>
      <w:r w:rsidRPr="000B49A7">
        <w:rPr>
          <w:rFonts w:ascii="Calibri" w:eastAsia="Calibri" w:hAnsi="Calibri" w:cs="Calibri"/>
          <w:color w:val="000000" w:themeColor="text1"/>
          <w:lang w:val="en-US"/>
        </w:rPr>
        <w:t xml:space="preserve"> antagonist, calcium antagonist; Central nervous system depressant, anti-hypertensive agents An antihypertensive medication that acts as a central nervous system depressant; XOR inhibitors, xanthine </w:t>
      </w:r>
      <w:proofErr w:type="spellStart"/>
      <w:r w:rsidRPr="000B49A7">
        <w:rPr>
          <w:rFonts w:ascii="Calibri" w:eastAsia="Calibri" w:hAnsi="Calibri" w:cs="Calibri"/>
          <w:color w:val="000000" w:themeColor="text1"/>
          <w:lang w:val="en-US"/>
        </w:rPr>
        <w:t>oxidoreductase</w:t>
      </w:r>
      <w:proofErr w:type="spellEnd"/>
      <w:r w:rsidRPr="000B49A7">
        <w:rPr>
          <w:rFonts w:ascii="Calibri" w:eastAsia="Calibri" w:hAnsi="Calibri" w:cs="Calibri"/>
          <w:color w:val="000000" w:themeColor="text1"/>
          <w:lang w:val="en-US"/>
        </w:rPr>
        <w:t xml:space="preserve"> inhibitors.</w:t>
      </w:r>
    </w:p>
    <w:p w:rsidR="006944B3" w:rsidRDefault="006944B3">
      <w:bookmarkStart w:id="0" w:name="_GoBack"/>
      <w:bookmarkEnd w:id="0"/>
    </w:p>
    <w:sectPr w:rsidR="006944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B1"/>
    <w:rsid w:val="003B45B1"/>
    <w:rsid w:val="0069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5B1"/>
    <w:pPr>
      <w:spacing w:after="160" w:line="259" w:lineRule="auto"/>
    </w:pPr>
    <w:rPr>
      <w:rFonts w:eastAsiaTheme="minorEastAsia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5B1"/>
    <w:pPr>
      <w:spacing w:after="160" w:line="259" w:lineRule="auto"/>
    </w:pPr>
    <w:rPr>
      <w:rFonts w:eastAsiaTheme="minorEastAsia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Deepa Vijesh (Integra)</dc:creator>
  <cp:lastModifiedBy>Deepa Vijesh (Integra)</cp:lastModifiedBy>
  <cp:revision>1</cp:revision>
  <dcterms:created xsi:type="dcterms:W3CDTF">2026-05-29T15:06:00Z</dcterms:created>
  <dcterms:modified xsi:type="dcterms:W3CDTF">2026-05-29T15:06:00Z</dcterms:modified>
</cp:coreProperties>
</file>