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B34" w:rsidRPr="000B49A7" w:rsidRDefault="004A4B34" w:rsidP="004A4B34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lang w:val="en-US"/>
        </w:rPr>
      </w:pPr>
      <w:proofErr w:type="gramStart"/>
      <w:r>
        <w:rPr>
          <w:rFonts w:ascii="Calibri" w:eastAsia="Calibri" w:hAnsi="Calibri" w:cs="Calibri"/>
          <w:b/>
          <w:bCs/>
          <w:color w:val="000000" w:themeColor="text1"/>
          <w:lang w:val="en-US"/>
        </w:rPr>
        <w:t>Additional</w:t>
      </w:r>
      <w:r w:rsidRPr="000B49A7">
        <w:rPr>
          <w:rFonts w:ascii="Calibri" w:eastAsia="Calibri" w:hAnsi="Calibri" w:cs="Calibri"/>
          <w:b/>
          <w:bCs/>
          <w:color w:val="000000" w:themeColor="text1"/>
          <w:lang w:val="en-US"/>
        </w:rPr>
        <w:t xml:space="preserve"> Table 2.</w:t>
      </w:r>
      <w:proofErr w:type="gramEnd"/>
      <w:r w:rsidRPr="000B49A7">
        <w:rPr>
          <w:rFonts w:ascii="Calibri" w:eastAsia="Calibri" w:hAnsi="Calibri" w:cs="Calibri"/>
          <w:b/>
          <w:bCs/>
          <w:color w:val="000000" w:themeColor="text1"/>
          <w:lang w:val="en-US"/>
        </w:rPr>
        <w:t xml:space="preserve"> </w:t>
      </w:r>
      <w:proofErr w:type="gramStart"/>
      <w:r w:rsidRPr="000B49A7">
        <w:rPr>
          <w:rFonts w:ascii="Calibri" w:eastAsia="Calibri" w:hAnsi="Calibri" w:cs="Calibri"/>
          <w:b/>
          <w:bCs/>
          <w:color w:val="000000" w:themeColor="text1"/>
          <w:lang w:val="en-US"/>
        </w:rPr>
        <w:t>Cox proportional hazard analysis.</w:t>
      </w:r>
      <w:proofErr w:type="gramEnd"/>
      <w:r w:rsidRPr="000B49A7">
        <w:rPr>
          <w:rFonts w:ascii="Calibri" w:eastAsia="Calibri" w:hAnsi="Calibri" w:cs="Calibri"/>
          <w:b/>
          <w:bCs/>
          <w:color w:val="000000" w:themeColor="text1"/>
          <w:lang w:val="en-US"/>
        </w:rPr>
        <w:t xml:space="preserve"> Outcomes for stroke were evaluated using unadjusted and adjusted Cox proportional hazard analyses.</w:t>
      </w:r>
    </w:p>
    <w:p w:rsidR="004A4B34" w:rsidRPr="000B49A7" w:rsidRDefault="004A4B34" w:rsidP="004A4B34">
      <w:pPr>
        <w:spacing w:after="0" w:line="360" w:lineRule="auto"/>
        <w:rPr>
          <w:rFonts w:ascii="Calibri" w:hAnsi="Calibri" w:cs="Calibri"/>
          <w:color w:val="000000" w:themeColor="text1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50"/>
        <w:gridCol w:w="808"/>
        <w:gridCol w:w="2107"/>
        <w:gridCol w:w="1932"/>
        <w:gridCol w:w="1945"/>
      </w:tblGrid>
      <w:tr w:rsidR="004A4B34" w:rsidTr="000A7152">
        <w:trPr>
          <w:trHeight w:val="315"/>
        </w:trPr>
        <w:tc>
          <w:tcPr>
            <w:tcW w:w="5000" w:type="pct"/>
            <w:gridSpan w:val="5"/>
            <w:tcBorders>
              <w:top w:val="nil"/>
              <w:bottom w:val="nil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zh-TW"/>
              </w:rPr>
            </w:pPr>
          </w:p>
        </w:tc>
      </w:tr>
      <w:tr w:rsidR="004A4B34" w:rsidTr="000A7152">
        <w:trPr>
          <w:trHeight w:val="315"/>
        </w:trPr>
        <w:tc>
          <w:tcPr>
            <w:tcW w:w="2903" w:type="pct"/>
            <w:gridSpan w:val="3"/>
            <w:tcBorders>
              <w:top w:val="nil"/>
              <w:bottom w:val="nil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  <w:t xml:space="preserve"> Stroke (N = 6180, first events = 414)</w:t>
            </w:r>
          </w:p>
        </w:tc>
        <w:tc>
          <w:tcPr>
            <w:tcW w:w="1045" w:type="pct"/>
            <w:tcBorders>
              <w:top w:val="nil"/>
              <w:bottom w:val="nil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zh-TW"/>
              </w:rPr>
            </w:pPr>
          </w:p>
        </w:tc>
        <w:tc>
          <w:tcPr>
            <w:tcW w:w="1052" w:type="pct"/>
            <w:tcBorders>
              <w:top w:val="nil"/>
              <w:bottom w:val="nil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TW"/>
              </w:rPr>
            </w:pPr>
          </w:p>
        </w:tc>
      </w:tr>
      <w:tr w:rsidR="004A4B34" w:rsidTr="000A7152">
        <w:trPr>
          <w:trHeight w:val="315"/>
        </w:trPr>
        <w:tc>
          <w:tcPr>
            <w:tcW w:w="132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  <w:t>Unadjusted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  <w:t>p</w:t>
            </w:r>
          </w:p>
        </w:tc>
        <w:tc>
          <w:tcPr>
            <w:tcW w:w="113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  <w:t>Hazard Ratio</w:t>
            </w:r>
          </w:p>
        </w:tc>
        <w:tc>
          <w:tcPr>
            <w:tcW w:w="104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  <w:t>Lower Limit</w:t>
            </w:r>
          </w:p>
        </w:tc>
        <w:tc>
          <w:tcPr>
            <w:tcW w:w="105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  <w:t>Upper Limit</w:t>
            </w:r>
          </w:p>
        </w:tc>
      </w:tr>
      <w:tr w:rsidR="004A4B34" w:rsidTr="000A7152">
        <w:trPr>
          <w:trHeight w:val="330"/>
        </w:trPr>
        <w:tc>
          <w:tcPr>
            <w:tcW w:w="1326" w:type="pct"/>
            <w:tcBorders>
              <w:top w:val="nil"/>
              <w:bottom w:val="double" w:sz="6" w:space="0" w:color="auto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</w:pPr>
            <w:proofErr w:type="spellStart"/>
            <w:r w:rsidRPr="000B4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  <w:t>eSALT</w:t>
            </w:r>
            <w:proofErr w:type="spellEnd"/>
            <w:r w:rsidRPr="000B4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  <w:t xml:space="preserve"> Baseline</w:t>
            </w:r>
          </w:p>
        </w:tc>
        <w:tc>
          <w:tcPr>
            <w:tcW w:w="437" w:type="pct"/>
            <w:tcBorders>
              <w:top w:val="nil"/>
              <w:bottom w:val="double" w:sz="6" w:space="0" w:color="auto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  <w:t>1.00</w:t>
            </w:r>
          </w:p>
        </w:tc>
        <w:tc>
          <w:tcPr>
            <w:tcW w:w="1139" w:type="pct"/>
            <w:tcBorders>
              <w:top w:val="nil"/>
              <w:bottom w:val="double" w:sz="6" w:space="0" w:color="auto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  <w:t>1.00</w:t>
            </w:r>
          </w:p>
        </w:tc>
        <w:tc>
          <w:tcPr>
            <w:tcW w:w="1045" w:type="pct"/>
            <w:tcBorders>
              <w:top w:val="nil"/>
              <w:bottom w:val="double" w:sz="6" w:space="0" w:color="auto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  <w:t>0.99</w:t>
            </w:r>
          </w:p>
        </w:tc>
        <w:tc>
          <w:tcPr>
            <w:tcW w:w="1052" w:type="pct"/>
            <w:tcBorders>
              <w:top w:val="nil"/>
              <w:bottom w:val="double" w:sz="6" w:space="0" w:color="auto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  <w:t>1.01</w:t>
            </w:r>
          </w:p>
        </w:tc>
      </w:tr>
      <w:tr w:rsidR="004A4B34" w:rsidTr="000A7152">
        <w:trPr>
          <w:trHeight w:val="330"/>
        </w:trPr>
        <w:tc>
          <w:tcPr>
            <w:tcW w:w="1326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  <w:t xml:space="preserve"> Adjusted</w:t>
            </w:r>
          </w:p>
        </w:tc>
        <w:tc>
          <w:tcPr>
            <w:tcW w:w="437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  <w:t>p</w:t>
            </w:r>
          </w:p>
        </w:tc>
        <w:tc>
          <w:tcPr>
            <w:tcW w:w="1139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  <w:t>Hazard Ratio</w:t>
            </w:r>
          </w:p>
        </w:tc>
        <w:tc>
          <w:tcPr>
            <w:tcW w:w="1045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  <w:t>Lower Limit</w:t>
            </w:r>
          </w:p>
        </w:tc>
        <w:tc>
          <w:tcPr>
            <w:tcW w:w="105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  <w:t>Upper Limit</w:t>
            </w:r>
          </w:p>
        </w:tc>
      </w:tr>
      <w:tr w:rsidR="004A4B34" w:rsidTr="000A7152">
        <w:trPr>
          <w:trHeight w:val="315"/>
        </w:trPr>
        <w:tc>
          <w:tcPr>
            <w:tcW w:w="1326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</w:pPr>
            <w:proofErr w:type="spellStart"/>
            <w:r w:rsidRPr="000B4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  <w:t>eSALT</w:t>
            </w:r>
            <w:proofErr w:type="spellEnd"/>
            <w:r w:rsidRPr="000B4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  <w:t xml:space="preserve"> Baseline</w:t>
            </w:r>
          </w:p>
        </w:tc>
        <w:tc>
          <w:tcPr>
            <w:tcW w:w="437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  <w:t>0.83</w:t>
            </w:r>
          </w:p>
        </w:tc>
        <w:tc>
          <w:tcPr>
            <w:tcW w:w="1139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  <w:t>1.00</w:t>
            </w:r>
          </w:p>
        </w:tc>
        <w:tc>
          <w:tcPr>
            <w:tcW w:w="1045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  <w:t>0.99</w:t>
            </w:r>
          </w:p>
        </w:tc>
        <w:tc>
          <w:tcPr>
            <w:tcW w:w="105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A4B34" w:rsidRPr="000B49A7" w:rsidRDefault="004A4B34" w:rsidP="000A71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</w:pPr>
            <w:r w:rsidRPr="000B49A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zh-TW"/>
              </w:rPr>
              <w:t>1.01</w:t>
            </w:r>
          </w:p>
        </w:tc>
      </w:tr>
    </w:tbl>
    <w:p w:rsidR="004A4B34" w:rsidRPr="000B49A7" w:rsidRDefault="004A4B34" w:rsidP="004A4B34">
      <w:pPr>
        <w:spacing w:after="0" w:line="360" w:lineRule="auto"/>
        <w:rPr>
          <w:rFonts w:ascii="Calibri" w:hAnsi="Calibri" w:cs="Calibri"/>
          <w:color w:val="000000" w:themeColor="text1"/>
          <w:lang w:val="en-US"/>
        </w:rPr>
      </w:pPr>
    </w:p>
    <w:p w:rsidR="006944B3" w:rsidRPr="004A4B34" w:rsidRDefault="006944B3">
      <w:pPr>
        <w:rPr>
          <w:rFonts w:ascii="Calibri" w:hAnsi="Calibri" w:cs="Calibri"/>
          <w:color w:val="000000" w:themeColor="text1"/>
          <w:lang w:val="en-US"/>
        </w:rPr>
      </w:pPr>
      <w:bookmarkStart w:id="0" w:name="_GoBack"/>
      <w:bookmarkEnd w:id="0"/>
    </w:p>
    <w:sectPr w:rsidR="006944B3" w:rsidRPr="004A4B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B34"/>
    <w:rsid w:val="004A4B34"/>
    <w:rsid w:val="0069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B34"/>
    <w:pPr>
      <w:spacing w:after="160" w:line="259" w:lineRule="auto"/>
    </w:pPr>
    <w:rPr>
      <w:rFonts w:eastAsiaTheme="minorEastAsia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B34"/>
    <w:pPr>
      <w:spacing w:after="160" w:line="259" w:lineRule="auto"/>
    </w:pPr>
    <w:rPr>
      <w:rFonts w:eastAsiaTheme="minorEastAsia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Deepa Vijesh (Integra)</dc:creator>
  <cp:lastModifiedBy>Deepa Vijesh (Integra)</cp:lastModifiedBy>
  <cp:revision>1</cp:revision>
  <dcterms:created xsi:type="dcterms:W3CDTF">2026-05-29T15:07:00Z</dcterms:created>
  <dcterms:modified xsi:type="dcterms:W3CDTF">2026-05-29T15:07:00Z</dcterms:modified>
</cp:coreProperties>
</file>