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F171" w14:textId="77777777" w:rsidR="004836AA" w:rsidRPr="003C7C08" w:rsidRDefault="004836AA" w:rsidP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Supplementary Table S1. Baseline Creatinine Ascertainment and AKI Diagnostic Criteria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28"/>
        <w:gridCol w:w="4903"/>
        <w:gridCol w:w="4767"/>
      </w:tblGrid>
      <w:tr w:rsidR="004836AA" w:rsidRPr="003C7C08" w14:paraId="35E16C14" w14:textId="77777777" w:rsidTr="004836AA">
        <w:trPr>
          <w:trHeight w:val="519"/>
        </w:trPr>
        <w:tc>
          <w:tcPr>
            <w:tcW w:w="1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A4EA8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Variable</w:t>
            </w:r>
          </w:p>
        </w:tc>
        <w:tc>
          <w:tcPr>
            <w:tcW w:w="15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6875F9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n</w:t>
            </w:r>
          </w:p>
        </w:tc>
        <w:tc>
          <w:tcPr>
            <w:tcW w:w="1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29D83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%</w:t>
            </w:r>
          </w:p>
        </w:tc>
      </w:tr>
      <w:tr w:rsidR="004836AA" w:rsidRPr="003C7C08" w14:paraId="04484395" w14:textId="77777777" w:rsidTr="004836AA">
        <w:trPr>
          <w:trHeight w:val="519"/>
        </w:trPr>
        <w:tc>
          <w:tcPr>
            <w:tcW w:w="18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FC0BAA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Documented pre-admission baseline creatinine</w:t>
            </w:r>
          </w:p>
        </w:tc>
        <w:tc>
          <w:tcPr>
            <w:tcW w:w="15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584EC7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191</w:t>
            </w:r>
          </w:p>
        </w:tc>
        <w:tc>
          <w:tcPr>
            <w:tcW w:w="15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D2EFDA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80.3</w:t>
            </w:r>
          </w:p>
        </w:tc>
      </w:tr>
      <w:tr w:rsidR="004836AA" w:rsidRPr="003C7C08" w14:paraId="06EA2150" w14:textId="77777777" w:rsidTr="004836AA">
        <w:trPr>
          <w:trHeight w:val="519"/>
        </w:trPr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5663F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Estimated baseline creatinine (</w:t>
            </w:r>
            <w:proofErr w:type="gramStart"/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back-calculated</w:t>
            </w:r>
            <w:proofErr w:type="gramEnd"/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064CA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47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7746B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19.7</w:t>
            </w:r>
          </w:p>
        </w:tc>
      </w:tr>
      <w:tr w:rsidR="004836AA" w:rsidRPr="003C7C08" w14:paraId="60E1AB47" w14:textId="77777777" w:rsidTr="004836AA">
        <w:trPr>
          <w:trHeight w:val="519"/>
        </w:trPr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CB7E0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defined by serum creatinine criteria only*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706F6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69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2C522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29</w:t>
            </w:r>
          </w:p>
        </w:tc>
      </w:tr>
      <w:tr w:rsidR="004836AA" w:rsidRPr="003C7C08" w14:paraId="6B93D785" w14:textId="77777777" w:rsidTr="004836AA">
        <w:trPr>
          <w:trHeight w:val="519"/>
        </w:trPr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49B6F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defined by urine output criteria only†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BC698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24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E83D2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10.1</w:t>
            </w:r>
          </w:p>
        </w:tc>
      </w:tr>
      <w:tr w:rsidR="004836AA" w:rsidRPr="003C7C08" w14:paraId="1C229FD2" w14:textId="77777777" w:rsidTr="004836AA">
        <w:trPr>
          <w:trHeight w:val="519"/>
        </w:trPr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FE70E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defined by both creatinine and urine output criteria†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FC08D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145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AD178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60.9</w:t>
            </w:r>
          </w:p>
        </w:tc>
      </w:tr>
      <w:tr w:rsidR="004836AA" w:rsidRPr="003C7C08" w14:paraId="0C0DE7B8" w14:textId="77777777" w:rsidTr="004836AA">
        <w:trPr>
          <w:trHeight w:val="519"/>
        </w:trPr>
        <w:tc>
          <w:tcPr>
            <w:tcW w:w="18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59E9BE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Missing urine output data within first 24 h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690F8A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22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6022B" w14:textId="77777777" w:rsidR="004836AA" w:rsidRPr="003C7C08" w:rsidRDefault="004836AA" w:rsidP="004836AA">
            <w:pPr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9.2</w:t>
            </w:r>
          </w:p>
        </w:tc>
      </w:tr>
    </w:tbl>
    <w:p w14:paraId="654F57B2" w14:textId="77777777" w:rsidR="004836AA" w:rsidRPr="003C7C08" w:rsidRDefault="004836AA" w:rsidP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Notes:</w:t>
      </w:r>
    </w:p>
    <w:p w14:paraId="2FE42E18" w14:textId="77777777" w:rsidR="004836AA" w:rsidRPr="003C7C08" w:rsidRDefault="004836AA" w:rsidP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Baseline serum creatinine was defined as the most recent available measurement within 3 months prior to ICU admission. If unavailable, baseline creatinine was estimated using the Modification of Diet in Renal Disease (MDRD) equation assuming an estimated glomerular filtration rate of 75 mL/min/1.73 m</w:t>
      </w:r>
      <w:r w:rsidRPr="003C7C08">
        <w:rPr>
          <w:rFonts w:ascii="Times New Roman" w:hAnsi="Times New Roman" w:cs="Times New Roman" w:hint="eastAsia"/>
          <w:sz w:val="21"/>
          <w:szCs w:val="21"/>
        </w:rPr>
        <w:t>²</w:t>
      </w:r>
      <w:r w:rsidRPr="003C7C08">
        <w:rPr>
          <w:rFonts w:ascii="Times New Roman" w:hAnsi="Times New Roman" w:cs="Times New Roman" w:hint="eastAsia"/>
          <w:sz w:val="21"/>
          <w:szCs w:val="21"/>
        </w:rPr>
        <w:t>.</w:t>
      </w:r>
    </w:p>
    <w:p w14:paraId="5FC90DCF" w14:textId="77777777" w:rsidR="004836AA" w:rsidRPr="003C7C08" w:rsidRDefault="004836AA" w:rsidP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AKI diagnosis was established according to Kidney Disease: Improving Global Outcomes (KDIGO) criteria using both serum creatinine and urine output definitions.</w:t>
      </w:r>
    </w:p>
    <w:p w14:paraId="3F2395CA" w14:textId="77777777" w:rsidR="004836AA" w:rsidRPr="003C7C08" w:rsidRDefault="004836AA" w:rsidP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*Includes patients with missing urine output data (n = 22).</w:t>
      </w:r>
    </w:p>
    <w:p w14:paraId="752F005C" w14:textId="53364D2F" w:rsidR="004836AA" w:rsidRPr="003C7C08" w:rsidRDefault="004836AA" w:rsidP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†</w:t>
      </w:r>
      <w:r w:rsidRPr="003C7C08">
        <w:rPr>
          <w:rFonts w:ascii="Times New Roman" w:hAnsi="Times New Roman" w:cs="Times New Roman" w:hint="eastAsia"/>
          <w:sz w:val="21"/>
          <w:szCs w:val="21"/>
        </w:rPr>
        <w:t>Urine output criteria were assessed based on hourly urine measurements during the first 24 hours of ICU admission.</w:t>
      </w:r>
    </w:p>
    <w:p w14:paraId="55CDC631" w14:textId="52392436" w:rsidR="004836AA" w:rsidRPr="003C7C08" w:rsidRDefault="004836AA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br w:type="page"/>
      </w:r>
    </w:p>
    <w:p w14:paraId="57B3BEF7" w14:textId="0C27E032" w:rsidR="0097278E" w:rsidRPr="003C7C08" w:rsidRDefault="00D639B5" w:rsidP="00D639B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lastRenderedPageBreak/>
        <w:t>Supplementary Table S</w:t>
      </w:r>
      <w:r w:rsidR="004836AA" w:rsidRPr="003C7C08">
        <w:rPr>
          <w:rFonts w:ascii="Times New Roman" w:hAnsi="Times New Roman" w:cs="Times New Roman" w:hint="eastAsia"/>
          <w:sz w:val="21"/>
          <w:szCs w:val="21"/>
        </w:rPr>
        <w:t>2</w:t>
      </w:r>
      <w:r w:rsidRPr="003C7C08">
        <w:rPr>
          <w:rFonts w:ascii="Times New Roman" w:hAnsi="Times New Roman" w:cs="Times New Roman"/>
          <w:sz w:val="21"/>
          <w:szCs w:val="21"/>
        </w:rPr>
        <w:t>. Sensitivity analysis A1: Multivariable logistic regression excluding ICU length of stay and substituting baseline severity (SOFA score)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09"/>
        <w:gridCol w:w="1395"/>
        <w:gridCol w:w="1537"/>
        <w:gridCol w:w="4154"/>
        <w:gridCol w:w="3557"/>
        <w:gridCol w:w="3046"/>
      </w:tblGrid>
      <w:tr w:rsidR="00814B7D" w:rsidRPr="003C7C08" w14:paraId="075D3905" w14:textId="77777777" w:rsidTr="00DA2BD5">
        <w:trPr>
          <w:trHeight w:val="285"/>
        </w:trPr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EC5EB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Predictor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FABDD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β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1CAC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SE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DC2C4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OR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9C45E3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95% CI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1ECFC" w14:textId="3D62C323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 w:rsidR="003624A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 </w:t>
            </w:r>
            <w:r w:rsidR="003624A0"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value</w:t>
            </w:r>
          </w:p>
        </w:tc>
      </w:tr>
      <w:tr w:rsidR="00814B7D" w:rsidRPr="003C7C08" w14:paraId="253A40D3" w14:textId="77777777" w:rsidTr="00DA2BD5">
        <w:trPr>
          <w:trHeight w:val="285"/>
        </w:trPr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13482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stage 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2821D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0.98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A6FAF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0.32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F5AE1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2.66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258212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1.42–4.98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FBF03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814B7D" w:rsidRPr="003C7C08" w14:paraId="1509EF8B" w14:textId="77777777" w:rsidTr="006A23E7">
        <w:trPr>
          <w:trHeight w:val="28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59AE5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stage 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41E8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40AF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0.37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685F9" w14:textId="290732B0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4.1</w:t>
            </w:r>
            <w:r w:rsidR="00B31729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E50D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1.98–8.47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F0D9D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814B7D" w:rsidRPr="003C7C08" w14:paraId="5827C73A" w14:textId="77777777" w:rsidTr="006A23E7">
        <w:trPr>
          <w:trHeight w:val="570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7611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SOFA (per 1 point)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5898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9BA6A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13B1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1.12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4BF3D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1.04–1.20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977DA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0.003</w:t>
            </w:r>
          </w:p>
        </w:tc>
      </w:tr>
      <w:tr w:rsidR="00814B7D" w:rsidRPr="003C7C08" w14:paraId="74DC4D80" w14:textId="77777777" w:rsidTr="006A23E7">
        <w:trPr>
          <w:trHeight w:val="1140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2DE88" w14:textId="6D4707A1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 xml:space="preserve">Fluid balance (per 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1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00 mL)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FAE72" w14:textId="444C933C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4173F" w14:textId="03408070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C7877" w14:textId="71D0EC2D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07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6705B" w14:textId="00ED378F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.03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–1.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1281B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814B7D" w:rsidRPr="003C7C08" w14:paraId="4C434ACF" w14:textId="77777777" w:rsidTr="006A23E7">
        <w:trPr>
          <w:trHeight w:val="570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62275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Th17 (per 1 cell/µL)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4BF3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788B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0.29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51DD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2.38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5911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1.36–4.18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C526F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814B7D" w:rsidRPr="003C7C08" w14:paraId="492E2FF9" w14:textId="77777777" w:rsidTr="00DA2BD5">
        <w:trPr>
          <w:trHeight w:val="570"/>
        </w:trPr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9C2E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 xml:space="preserve">IL-17 (per 5 </w:t>
            </w:r>
            <w:proofErr w:type="spellStart"/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pg</w:t>
            </w:r>
            <w:proofErr w:type="spellEnd"/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/mL)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D74B12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7D6FD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AFA5DD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1.23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AF62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1.06–1.43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426BC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0.006</w:t>
            </w:r>
          </w:p>
        </w:tc>
      </w:tr>
    </w:tbl>
    <w:p w14:paraId="434BCEAB" w14:textId="75C1C43C" w:rsidR="00DA2BD5" w:rsidRPr="003C7C08" w:rsidRDefault="00DA2BD5" w:rsidP="00DA2BD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 xml:space="preserve">Notes: </w:t>
      </w:r>
      <w:r w:rsidR="00D639B5" w:rsidRPr="003C7C08">
        <w:rPr>
          <w:rFonts w:ascii="Times New Roman" w:hAnsi="Times New Roman" w:cs="Times New Roman"/>
          <w:sz w:val="21"/>
          <w:szCs w:val="21"/>
        </w:rPr>
        <w:t>Outcome: 28-day all-cause mortality (dead vs alive)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="00D639B5" w:rsidRPr="003C7C08">
        <w:rPr>
          <w:rFonts w:ascii="Times New Roman" w:hAnsi="Times New Roman" w:cs="Times New Roman"/>
          <w:sz w:val="21"/>
          <w:szCs w:val="21"/>
        </w:rPr>
        <w:t>Study cohort: Full cohort (n = 238; 91 deaths)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="00D639B5" w:rsidRPr="003C7C08">
        <w:rPr>
          <w:rFonts w:ascii="Times New Roman" w:hAnsi="Times New Roman" w:cs="Times New Roman"/>
          <w:sz w:val="21"/>
          <w:szCs w:val="21"/>
        </w:rPr>
        <w:t>A1 model: AKI stage + SOFA + 24-hour fluid balance + Th17 + IL-17</w:t>
      </w:r>
      <w:r w:rsidRPr="003C7C08">
        <w:rPr>
          <w:rFonts w:ascii="Times New Roman" w:hAnsi="Times New Roman" w:cs="Times New Roman" w:hint="eastAsia"/>
          <w:sz w:val="21"/>
          <w:szCs w:val="21"/>
        </w:rPr>
        <w:t>.</w:t>
      </w:r>
    </w:p>
    <w:p w14:paraId="0B6963AF" w14:textId="51318B80" w:rsidR="00814B7D" w:rsidRPr="003C7C08" w:rsidRDefault="00DA2BD5" w:rsidP="00D639B5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 xml:space="preserve">Abbreviations: AKI: acute kidney injury; SOFA: Sequential Organ Failure Assessment; ICU: intensive care unit; LOS: length of stay; Th17: T helper 17 cells; IL-17: interleukin-17; OR: odds ratio; CI: confidence interval; SE: standard error; </w:t>
      </w:r>
      <w:r w:rsidRPr="003C7C08">
        <w:rPr>
          <w:rFonts w:ascii="Times New Roman" w:hAnsi="Times New Roman" w:cs="Times New Roman" w:hint="eastAsia"/>
          <w:sz w:val="21"/>
          <w:szCs w:val="21"/>
        </w:rPr>
        <w:t>β</w:t>
      </w:r>
      <w:r w:rsidRPr="003C7C08">
        <w:rPr>
          <w:rFonts w:ascii="Times New Roman" w:hAnsi="Times New Roman" w:cs="Times New Roman" w:hint="eastAsia"/>
          <w:sz w:val="21"/>
          <w:szCs w:val="21"/>
        </w:rPr>
        <w:t>: regression coefficient.</w:t>
      </w:r>
      <w:r w:rsidR="00814B7D" w:rsidRPr="003C7C08">
        <w:rPr>
          <w:rFonts w:ascii="Times New Roman" w:hAnsi="Times New Roman" w:cs="Times New Roman"/>
          <w:sz w:val="21"/>
          <w:szCs w:val="21"/>
        </w:rPr>
        <w:br w:type="page"/>
      </w:r>
    </w:p>
    <w:p w14:paraId="60369865" w14:textId="0D3F08F1" w:rsidR="00814B7D" w:rsidRPr="003C7C08" w:rsidRDefault="00D639B5" w:rsidP="00D639B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lastRenderedPageBreak/>
        <w:t>Supplementary Table S</w:t>
      </w:r>
      <w:r w:rsidR="004836AA" w:rsidRPr="003C7C08">
        <w:rPr>
          <w:rFonts w:ascii="Times New Roman" w:hAnsi="Times New Roman" w:cs="Times New Roman" w:hint="eastAsia"/>
          <w:sz w:val="21"/>
          <w:szCs w:val="21"/>
        </w:rPr>
        <w:t>3</w:t>
      </w:r>
      <w:r w:rsidRPr="003C7C08">
        <w:rPr>
          <w:rFonts w:ascii="Times New Roman" w:hAnsi="Times New Roman" w:cs="Times New Roman"/>
          <w:sz w:val="21"/>
          <w:szCs w:val="21"/>
        </w:rPr>
        <w:t>. Landmark sensitivity analysis A2 (≥48-hour survivors): Multivariable logistic regression including ICU length of stay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09"/>
        <w:gridCol w:w="1395"/>
        <w:gridCol w:w="1537"/>
        <w:gridCol w:w="4154"/>
        <w:gridCol w:w="3557"/>
        <w:gridCol w:w="3046"/>
      </w:tblGrid>
      <w:tr w:rsidR="00814B7D" w:rsidRPr="003C7C08" w14:paraId="5CE0BDDF" w14:textId="77777777" w:rsidTr="00DA2BD5">
        <w:trPr>
          <w:trHeight w:val="285"/>
        </w:trPr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7CE74F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Predictor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C2890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β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0FCEC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SE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B633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OR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9AB33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95% CI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DA0439" w14:textId="0EC13F28" w:rsidR="00814B7D" w:rsidRPr="003C7C08" w:rsidRDefault="003624A0" w:rsidP="00DA2BD5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value</w:t>
            </w:r>
          </w:p>
        </w:tc>
      </w:tr>
      <w:tr w:rsidR="00814B7D" w:rsidRPr="003C7C08" w14:paraId="2B68AC44" w14:textId="77777777" w:rsidTr="00DA2BD5">
        <w:trPr>
          <w:trHeight w:val="285"/>
        </w:trPr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E0F292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stage 3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C6ADB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1.35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034E26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0.39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D9EDA2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3.86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7E33ED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1.80–8.25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9AB6E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814B7D" w:rsidRPr="003C7C08" w14:paraId="2E40177F" w14:textId="77777777" w:rsidTr="00D639B5">
        <w:trPr>
          <w:trHeight w:val="570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5847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ICU LOS (per 1 day)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6D7CB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0.41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13A13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DAEA3" w14:textId="1F76E652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1.5</w:t>
            </w:r>
            <w:r w:rsidR="00E34725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184D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1.14–1.98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2465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0.004</w:t>
            </w:r>
          </w:p>
        </w:tc>
      </w:tr>
      <w:tr w:rsidR="00814B7D" w:rsidRPr="003C7C08" w14:paraId="47CAED87" w14:textId="77777777" w:rsidTr="00D639B5">
        <w:trPr>
          <w:trHeight w:val="570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231F5" w14:textId="121547FB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Fluid balance</w:t>
            </w:r>
            <w:r w:rsidR="004A19E5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 </w:t>
            </w:r>
            <w:r w:rsidR="004A19E5"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(per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 1</w:t>
            </w:r>
            <w:r w:rsidR="004A19E5"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00 mL)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38780" w14:textId="4F9DCF5A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2314F" w14:textId="6EBCA65F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A8E9F" w14:textId="2483C3A2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06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E4B51" w14:textId="121CBBE0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1.0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2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–1.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C4F4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0.008</w:t>
            </w:r>
          </w:p>
        </w:tc>
      </w:tr>
      <w:tr w:rsidR="00814B7D" w:rsidRPr="003C7C08" w14:paraId="12E8EBC9" w14:textId="77777777" w:rsidTr="00D639B5">
        <w:trPr>
          <w:trHeight w:val="28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7227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Th17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31C6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68DF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0.31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0123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2.2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6D21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1.19–4.06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7AD8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0.011</w:t>
            </w:r>
          </w:p>
        </w:tc>
      </w:tr>
      <w:tr w:rsidR="00814B7D" w:rsidRPr="003C7C08" w14:paraId="2406CEDD" w14:textId="77777777" w:rsidTr="00DA2BD5">
        <w:trPr>
          <w:trHeight w:val="285"/>
        </w:trPr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AA4C66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IL-17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41986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FAB55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DCE3DF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1.21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ED5E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1.05–1.40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1BEEF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0.009</w:t>
            </w:r>
          </w:p>
        </w:tc>
      </w:tr>
    </w:tbl>
    <w:p w14:paraId="2B0D1AA6" w14:textId="7BDC28E0" w:rsidR="00814B7D" w:rsidRPr="003C7C08" w:rsidRDefault="00DA2BD5" w:rsidP="00D639B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 xml:space="preserve">Notes: </w:t>
      </w:r>
      <w:r w:rsidR="00D639B5" w:rsidRPr="003C7C08">
        <w:rPr>
          <w:rFonts w:ascii="Times New Roman" w:hAnsi="Times New Roman" w:cs="Times New Roman"/>
          <w:sz w:val="21"/>
          <w:szCs w:val="21"/>
        </w:rPr>
        <w:t>Outcome: 28-day all-cause mortality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="00D639B5" w:rsidRPr="003C7C08">
        <w:rPr>
          <w:rFonts w:ascii="Times New Roman" w:hAnsi="Times New Roman" w:cs="Times New Roman"/>
          <w:sz w:val="21"/>
          <w:szCs w:val="21"/>
        </w:rPr>
        <w:t>Landmark cohort: Patients surviving ≥48 hours after ICU admission (n = 210)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="00D639B5" w:rsidRPr="003C7C08">
        <w:rPr>
          <w:rFonts w:ascii="Times New Roman" w:hAnsi="Times New Roman" w:cs="Times New Roman"/>
          <w:sz w:val="21"/>
          <w:szCs w:val="21"/>
        </w:rPr>
        <w:t>A2 primary model: AKI stage + ICU length of stay + 24-hour fluid balance + Th17 + IL-17</w:t>
      </w:r>
      <w:r w:rsidRPr="003C7C08">
        <w:rPr>
          <w:rFonts w:ascii="Times New Roman" w:hAnsi="Times New Roman" w:cs="Times New Roman" w:hint="eastAsia"/>
          <w:sz w:val="21"/>
          <w:szCs w:val="21"/>
        </w:rPr>
        <w:t>.</w:t>
      </w:r>
    </w:p>
    <w:p w14:paraId="03F1ABCC" w14:textId="376B2648" w:rsidR="00DA2BD5" w:rsidRPr="003C7C08" w:rsidRDefault="00DA2BD5" w:rsidP="00D639B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 xml:space="preserve">Abbreviations: AKI: acute kidney injury; ICU: intensive care unit; LOS: length of stay; Th17: T helper 17 cells; IL-17: interleukin-17; OR: odds ratio; CI: confidence interval; SE: standard error; </w:t>
      </w:r>
      <w:r w:rsidRPr="003C7C08">
        <w:rPr>
          <w:rFonts w:ascii="Times New Roman" w:hAnsi="Times New Roman" w:cs="Times New Roman" w:hint="eastAsia"/>
          <w:sz w:val="21"/>
          <w:szCs w:val="21"/>
        </w:rPr>
        <w:t>β</w:t>
      </w:r>
      <w:r w:rsidRPr="003C7C08">
        <w:rPr>
          <w:rFonts w:ascii="Times New Roman" w:hAnsi="Times New Roman" w:cs="Times New Roman" w:hint="eastAsia"/>
          <w:sz w:val="21"/>
          <w:szCs w:val="21"/>
        </w:rPr>
        <w:t>: regression coefficient.</w:t>
      </w:r>
    </w:p>
    <w:p w14:paraId="32CD6CE8" w14:textId="77777777" w:rsidR="00814B7D" w:rsidRPr="003C7C08" w:rsidRDefault="00814B7D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br w:type="page"/>
      </w:r>
    </w:p>
    <w:p w14:paraId="0AEA999A" w14:textId="23B08225" w:rsidR="00814B7D" w:rsidRPr="003C7C08" w:rsidRDefault="006A23E7" w:rsidP="006A23E7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lastRenderedPageBreak/>
        <w:t>Supplementary Table S</w:t>
      </w:r>
      <w:r w:rsidR="004836AA" w:rsidRPr="003C7C08">
        <w:rPr>
          <w:rFonts w:ascii="Times New Roman" w:hAnsi="Times New Roman" w:cs="Times New Roman" w:hint="eastAsia"/>
          <w:sz w:val="21"/>
          <w:szCs w:val="21"/>
        </w:rPr>
        <w:t>4</w:t>
      </w:r>
      <w:r w:rsidRPr="003C7C08">
        <w:rPr>
          <w:rFonts w:ascii="Times New Roman" w:hAnsi="Times New Roman" w:cs="Times New Roman"/>
          <w:sz w:val="21"/>
          <w:szCs w:val="21"/>
        </w:rPr>
        <w:t>. Landmark sensitivity analysis A2 (≥48-hour survivors): Alternative severity model excluding ICU length of stay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09"/>
        <w:gridCol w:w="1395"/>
        <w:gridCol w:w="1537"/>
        <w:gridCol w:w="4154"/>
        <w:gridCol w:w="3557"/>
        <w:gridCol w:w="3046"/>
      </w:tblGrid>
      <w:tr w:rsidR="00814B7D" w:rsidRPr="003C7C08" w14:paraId="7F9424ED" w14:textId="77777777" w:rsidTr="00DA2BD5">
        <w:trPr>
          <w:trHeight w:val="285"/>
        </w:trPr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4602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Predictor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A2A1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β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DE61D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SE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5D587E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OR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8A14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95% CI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EF1F64" w14:textId="7C52BEEF" w:rsidR="00814B7D" w:rsidRPr="003C7C08" w:rsidRDefault="003624A0" w:rsidP="00DA2BD5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value</w:t>
            </w:r>
          </w:p>
        </w:tc>
      </w:tr>
      <w:tr w:rsidR="00814B7D" w:rsidRPr="003C7C08" w14:paraId="54FEAA23" w14:textId="77777777" w:rsidTr="00DA2BD5">
        <w:trPr>
          <w:trHeight w:val="285"/>
        </w:trPr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59A3F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stage 3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F4FF8C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1.29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FC613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0.41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2A868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3.63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76983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1.62–8.11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BA6D44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814B7D" w:rsidRPr="003C7C08" w14:paraId="3D34ADC8" w14:textId="77777777" w:rsidTr="00D639B5">
        <w:trPr>
          <w:trHeight w:val="28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1D1C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SOFA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9FA64" w14:textId="66F3D73F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</w:t>
            </w:r>
            <w:r w:rsidR="00655F23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79728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EC8A5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1.11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47074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1.03–1.21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AFE8F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0.005</w:t>
            </w:r>
          </w:p>
        </w:tc>
      </w:tr>
      <w:tr w:rsidR="00814B7D" w:rsidRPr="003C7C08" w14:paraId="65B366EC" w14:textId="77777777" w:rsidTr="00D639B5">
        <w:trPr>
          <w:trHeight w:val="570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BB8D6" w14:textId="4CE001CC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Fluid balance</w:t>
            </w:r>
            <w:r w:rsidR="004A19E5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 </w:t>
            </w:r>
            <w:r w:rsidR="004A19E5"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 xml:space="preserve">(per 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1</w:t>
            </w:r>
            <w:r w:rsidR="004A19E5"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00 mL)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EA1CA" w14:textId="690951D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6</w:t>
            </w:r>
            <w:r w:rsidR="00655F23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19720" w14:textId="0128E9C0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F912C" w14:textId="0CE1ACF8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06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12A37" w14:textId="2EF9FBE9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02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–1.</w:t>
            </w:r>
            <w:r w:rsidR="000B69C0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D42AB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0.004</w:t>
            </w:r>
          </w:p>
        </w:tc>
      </w:tr>
      <w:tr w:rsidR="00814B7D" w:rsidRPr="003C7C08" w14:paraId="6ECA11F7" w14:textId="77777777" w:rsidTr="00D639B5">
        <w:trPr>
          <w:trHeight w:val="28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04C8B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Th17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53E0D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A2C1F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0.33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B9254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2.29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97E06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1.20–4.38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4A066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0.012</w:t>
            </w:r>
          </w:p>
        </w:tc>
      </w:tr>
      <w:tr w:rsidR="00814B7D" w:rsidRPr="003C7C08" w14:paraId="3A5CEB5A" w14:textId="77777777" w:rsidTr="00DA2BD5">
        <w:trPr>
          <w:trHeight w:val="285"/>
        </w:trPr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01150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IL-17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450926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CBD89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801C97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1.2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D5B561" w14:textId="77777777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1.04–1.39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9C32FD" w14:textId="06645FA3" w:rsidR="00814B7D" w:rsidRPr="003C7C08" w:rsidRDefault="00814B7D" w:rsidP="00DA2BD5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0.01</w:t>
            </w:r>
            <w:r w:rsidR="00EA01DC"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</w:tbl>
    <w:p w14:paraId="5A99C493" w14:textId="762E8E09" w:rsidR="00DA2BD5" w:rsidRPr="003C7C08" w:rsidRDefault="00DA2BD5" w:rsidP="00DA2BD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Notes:</w:t>
      </w:r>
      <w:r w:rsidRPr="003C7C08">
        <w:rPr>
          <w:rFonts w:ascii="Times New Roman" w:hAnsi="Times New Roman" w:cs="Times New Roman"/>
          <w:sz w:val="21"/>
          <w:szCs w:val="21"/>
        </w:rPr>
        <w:t xml:space="preserve"> Outcome: 28-day all-cause mortality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Pr="003C7C08">
        <w:rPr>
          <w:rFonts w:ascii="Times New Roman" w:hAnsi="Times New Roman" w:cs="Times New Roman"/>
          <w:sz w:val="21"/>
          <w:szCs w:val="21"/>
        </w:rPr>
        <w:t>Landmark cohort: Patients surviving ≥48 hours after ICU admission (n = 210)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Pr="003C7C08">
        <w:rPr>
          <w:rFonts w:ascii="Times New Roman" w:hAnsi="Times New Roman" w:cs="Times New Roman"/>
          <w:sz w:val="21"/>
          <w:szCs w:val="21"/>
        </w:rPr>
        <w:t>A2 alternative model: AKI stage + SOFA + 24-hour fluid balance + Th17 + IL-17</w:t>
      </w:r>
      <w:r w:rsidRPr="003C7C08">
        <w:rPr>
          <w:rFonts w:ascii="Times New Roman" w:hAnsi="Times New Roman" w:cs="Times New Roman" w:hint="eastAsia"/>
          <w:sz w:val="21"/>
          <w:szCs w:val="21"/>
        </w:rPr>
        <w:t>.</w:t>
      </w:r>
    </w:p>
    <w:p w14:paraId="2CC669B6" w14:textId="4425624D" w:rsidR="00C4502B" w:rsidRPr="003C7C08" w:rsidRDefault="00DA2BD5" w:rsidP="00D639B5">
      <w:pPr>
        <w:spacing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 xml:space="preserve">Abbreviations: AKI: acute kidney injury; SOFA: Sequential Organ Failure Assessment; ICU: intensive care unit; Th17: T helper 17 cells; IL-17: interleukin-17; OR: odds ratio; CI: confidence interval; SE: standard error; </w:t>
      </w:r>
      <w:r w:rsidRPr="003C7C08">
        <w:rPr>
          <w:rFonts w:ascii="Times New Roman" w:hAnsi="Times New Roman" w:cs="Times New Roman" w:hint="eastAsia"/>
          <w:sz w:val="21"/>
          <w:szCs w:val="21"/>
        </w:rPr>
        <w:t>β</w:t>
      </w:r>
      <w:r w:rsidRPr="003C7C08">
        <w:rPr>
          <w:rFonts w:ascii="Times New Roman" w:hAnsi="Times New Roman" w:cs="Times New Roman" w:hint="eastAsia"/>
          <w:sz w:val="21"/>
          <w:szCs w:val="21"/>
        </w:rPr>
        <w:t>: regression coefficient.</w:t>
      </w:r>
    </w:p>
    <w:p w14:paraId="6938F0FF" w14:textId="77777777" w:rsidR="00C4502B" w:rsidRPr="003C7C08" w:rsidRDefault="00C4502B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br w:type="page"/>
      </w:r>
    </w:p>
    <w:p w14:paraId="3A35BF1A" w14:textId="5BAC3FBD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/>
          <w:sz w:val="21"/>
          <w:szCs w:val="21"/>
        </w:rPr>
        <w:lastRenderedPageBreak/>
        <w:t>Supplementary Table S</w:t>
      </w:r>
      <w:r w:rsidRPr="003C7C08">
        <w:rPr>
          <w:rFonts w:ascii="Times New Roman" w:hAnsi="Times New Roman" w:cs="Times New Roman" w:hint="eastAsia"/>
          <w:sz w:val="21"/>
          <w:szCs w:val="21"/>
        </w:rPr>
        <w:t>5</w:t>
      </w:r>
      <w:r w:rsidRPr="003C7C08">
        <w:rPr>
          <w:rFonts w:ascii="Times New Roman" w:hAnsi="Times New Roman" w:cs="Times New Roman"/>
          <w:sz w:val="21"/>
          <w:szCs w:val="21"/>
        </w:rPr>
        <w:t>.</w:t>
      </w:r>
      <w:r w:rsidRPr="003C7C08">
        <w:rPr>
          <w:rFonts w:ascii="Times New Roman" w:hAnsi="Times New Roman" w:cs="Times New Roman" w:hint="eastAsia"/>
          <w:sz w:val="21"/>
          <w:szCs w:val="21"/>
        </w:rPr>
        <w:t xml:space="preserve"> Clinical Application Example of the Nomogram for Sepsis-Associated AKI</w:t>
      </w:r>
    </w:p>
    <w:p w14:paraId="2D7E63BA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1. Hypothetical Patient Case</w:t>
      </w:r>
    </w:p>
    <w:p w14:paraId="64C4B1C2" w14:textId="6A5E2F0E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A 6</w:t>
      </w:r>
      <w:r w:rsidR="006D18AA" w:rsidRPr="003C7C08">
        <w:rPr>
          <w:rFonts w:ascii="Times New Roman" w:hAnsi="Times New Roman" w:cs="Times New Roman" w:hint="eastAsia"/>
          <w:sz w:val="21"/>
          <w:szCs w:val="21"/>
        </w:rPr>
        <w:t>1</w:t>
      </w:r>
      <w:r w:rsidRPr="003C7C08">
        <w:rPr>
          <w:rFonts w:ascii="Times New Roman" w:hAnsi="Times New Roman" w:cs="Times New Roman" w:hint="eastAsia"/>
          <w:sz w:val="21"/>
          <w:szCs w:val="21"/>
        </w:rPr>
        <w:t>-year-old male patient with sepsis-associated AKI was admitted to the ICU.</w:t>
      </w:r>
    </w:p>
    <w:p w14:paraId="68E43B7D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Clinical parameters within the first 24 hours were as follows:</w:t>
      </w:r>
    </w:p>
    <w:p w14:paraId="16CB065A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AKI stage: Stage 3</w:t>
      </w:r>
    </w:p>
    <w:p w14:paraId="05BF594E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ICU length of stay (current day of assessment): 10 days</w:t>
      </w:r>
    </w:p>
    <w:p w14:paraId="18D1B811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24-hour fluid balance: +1200 mL</w:t>
      </w:r>
    </w:p>
    <w:p w14:paraId="408F1687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Th17 cell count: 4.2 cells/µL</w:t>
      </w:r>
    </w:p>
    <w:p w14:paraId="4C601547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 xml:space="preserve">IL-17 level: 34 </w:t>
      </w:r>
      <w:proofErr w:type="spellStart"/>
      <w:r w:rsidRPr="003C7C08">
        <w:rPr>
          <w:rFonts w:ascii="Times New Roman" w:hAnsi="Times New Roman" w:cs="Times New Roman" w:hint="eastAsia"/>
          <w:sz w:val="21"/>
          <w:szCs w:val="21"/>
        </w:rPr>
        <w:t>pg</w:t>
      </w:r>
      <w:proofErr w:type="spellEnd"/>
      <w:r w:rsidRPr="003C7C08">
        <w:rPr>
          <w:rFonts w:ascii="Times New Roman" w:hAnsi="Times New Roman" w:cs="Times New Roman" w:hint="eastAsia"/>
          <w:sz w:val="21"/>
          <w:szCs w:val="21"/>
        </w:rPr>
        <w:t>/mL</w:t>
      </w:r>
    </w:p>
    <w:p w14:paraId="5ACB8656" w14:textId="1D1D35A3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The patient survived beyond 48 hours and had complete biomarker assessment.</w:t>
      </w:r>
    </w:p>
    <w:p w14:paraId="38269DF0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2. Nomogram-Based Risk Estimation</w:t>
      </w:r>
    </w:p>
    <w:p w14:paraId="37402845" w14:textId="3C85C160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Step 1: Assign Points According to Predictor Levels</w:t>
      </w:r>
    </w:p>
    <w:tbl>
      <w:tblPr>
        <w:tblW w:w="2583" w:type="pct"/>
        <w:tblLook w:val="04A0" w:firstRow="1" w:lastRow="0" w:firstColumn="1" w:lastColumn="0" w:noHBand="0" w:noVBand="1"/>
      </w:tblPr>
      <w:tblGrid>
        <w:gridCol w:w="2039"/>
        <w:gridCol w:w="1666"/>
        <w:gridCol w:w="4250"/>
      </w:tblGrid>
      <w:tr w:rsidR="00C4502B" w:rsidRPr="003C7C08" w14:paraId="5B21D9DF" w14:textId="77777777" w:rsidTr="00E644AB">
        <w:trPr>
          <w:trHeight w:val="570"/>
        </w:trPr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D2133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Predictor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EF9237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Patient Value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48226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Assigned Nomogram Points*</w:t>
            </w:r>
          </w:p>
        </w:tc>
      </w:tr>
      <w:tr w:rsidR="00C4502B" w:rsidRPr="003C7C08" w14:paraId="45B751F8" w14:textId="77777777" w:rsidTr="00E644AB">
        <w:trPr>
          <w:trHeight w:val="285"/>
        </w:trPr>
        <w:tc>
          <w:tcPr>
            <w:tcW w:w="12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B039C5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AKI Stage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A51AC6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Stage 3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6682DE" w14:textId="57FD3924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47</w:t>
            </w:r>
          </w:p>
        </w:tc>
      </w:tr>
      <w:tr w:rsidR="00C4502B" w:rsidRPr="003C7C08" w14:paraId="21CA58E8" w14:textId="77777777" w:rsidTr="00C4502B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07056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ICU LOS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25387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10 days</w:t>
            </w: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CCFBD" w14:textId="35110ABB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40</w:t>
            </w:r>
          </w:p>
        </w:tc>
      </w:tr>
      <w:tr w:rsidR="00C4502B" w:rsidRPr="003C7C08" w14:paraId="348C4E28" w14:textId="77777777" w:rsidTr="00C4502B">
        <w:trPr>
          <w:trHeight w:val="570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18E8D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Fluid Balance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6A1FF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+1200 mL</w:t>
            </w: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15EBD" w14:textId="679EEB00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49</w:t>
            </w:r>
          </w:p>
        </w:tc>
      </w:tr>
      <w:tr w:rsidR="00C4502B" w:rsidRPr="003C7C08" w14:paraId="4A5B8DC9" w14:textId="77777777" w:rsidTr="00C4502B">
        <w:trPr>
          <w:trHeight w:val="570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F11AD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Th17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5D5B7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4.2 cells/µL</w:t>
            </w: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F2CEF" w14:textId="43F7D601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38</w:t>
            </w:r>
          </w:p>
        </w:tc>
      </w:tr>
      <w:tr w:rsidR="00C4502B" w:rsidRPr="003C7C08" w14:paraId="559C1B70" w14:textId="77777777" w:rsidTr="00C4502B">
        <w:trPr>
          <w:trHeight w:val="570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B445E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IL-17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A96A7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 xml:space="preserve">34 </w:t>
            </w:r>
            <w:proofErr w:type="spellStart"/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pg</w:t>
            </w:r>
            <w:proofErr w:type="spellEnd"/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/mL</w:t>
            </w: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75387" w14:textId="5DD87D42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4</w:t>
            </w: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C4502B" w:rsidRPr="003C7C08" w14:paraId="6D56C832" w14:textId="77777777" w:rsidTr="00E644AB">
        <w:trPr>
          <w:trHeight w:val="570"/>
        </w:trPr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576C5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Total Score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3A50A9" w14:textId="77777777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A112AF" w14:textId="348A8E2D" w:rsidR="00C4502B" w:rsidRPr="003C7C08" w:rsidRDefault="00C4502B" w:rsidP="00C4502B">
            <w:pPr>
              <w:snapToGrid w:val="0"/>
              <w:spacing w:afterLines="50" w:after="156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3C7C08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2</w:t>
            </w:r>
            <w:r w:rsidRPr="003C7C08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15</w:t>
            </w:r>
          </w:p>
        </w:tc>
      </w:tr>
    </w:tbl>
    <w:p w14:paraId="658D17BF" w14:textId="6CF34883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Points are approximated based on proportional scaling of regression coefficients.</w:t>
      </w:r>
    </w:p>
    <w:p w14:paraId="70D4E1DC" w14:textId="77777777" w:rsidR="00C4502B" w:rsidRPr="003C7C08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Step 2: Estimated 28-Day Mortality Risk</w:t>
      </w:r>
    </w:p>
    <w:p w14:paraId="2FD61D0E" w14:textId="31E9AF35" w:rsidR="00814B7D" w:rsidRPr="00CC70E1" w:rsidRDefault="00C4502B" w:rsidP="00C4502B">
      <w:pPr>
        <w:snapToGrid w:val="0"/>
        <w:spacing w:afterLines="50" w:after="156"/>
        <w:rPr>
          <w:rFonts w:ascii="Times New Roman" w:hAnsi="Times New Roman" w:cs="Times New Roman"/>
          <w:sz w:val="21"/>
          <w:szCs w:val="21"/>
        </w:rPr>
      </w:pPr>
      <w:r w:rsidRPr="003C7C08">
        <w:rPr>
          <w:rFonts w:ascii="Times New Roman" w:hAnsi="Times New Roman" w:cs="Times New Roman" w:hint="eastAsia"/>
          <w:sz w:val="21"/>
          <w:szCs w:val="21"/>
        </w:rPr>
        <w:t>According to the total score of 215 points, the predicted probability of 28-day mortality is approximately 82%. This places the patient in the high-risk category.</w:t>
      </w:r>
    </w:p>
    <w:sectPr w:rsidR="00814B7D" w:rsidRPr="00CC70E1" w:rsidSect="00814B7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C70E7"/>
    <w:multiLevelType w:val="multilevel"/>
    <w:tmpl w:val="2EFA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86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7D"/>
    <w:rsid w:val="000B69C0"/>
    <w:rsid w:val="002F2864"/>
    <w:rsid w:val="003624A0"/>
    <w:rsid w:val="003C7C08"/>
    <w:rsid w:val="004746CD"/>
    <w:rsid w:val="004836AA"/>
    <w:rsid w:val="004A19E5"/>
    <w:rsid w:val="0055166F"/>
    <w:rsid w:val="00580CB3"/>
    <w:rsid w:val="00594998"/>
    <w:rsid w:val="005C617E"/>
    <w:rsid w:val="00655F23"/>
    <w:rsid w:val="006A23E7"/>
    <w:rsid w:val="006D18AA"/>
    <w:rsid w:val="00713596"/>
    <w:rsid w:val="007E5554"/>
    <w:rsid w:val="00814B7D"/>
    <w:rsid w:val="0097278E"/>
    <w:rsid w:val="009C6786"/>
    <w:rsid w:val="00B22BFA"/>
    <w:rsid w:val="00B31729"/>
    <w:rsid w:val="00B73FFE"/>
    <w:rsid w:val="00C4502B"/>
    <w:rsid w:val="00C64D14"/>
    <w:rsid w:val="00CB13CE"/>
    <w:rsid w:val="00CC70E1"/>
    <w:rsid w:val="00D639B5"/>
    <w:rsid w:val="00D711E7"/>
    <w:rsid w:val="00DA2BD5"/>
    <w:rsid w:val="00E25BD0"/>
    <w:rsid w:val="00E34725"/>
    <w:rsid w:val="00E644AB"/>
    <w:rsid w:val="00EA01DC"/>
    <w:rsid w:val="00EF0363"/>
    <w:rsid w:val="00FD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34190"/>
  <w15:chartTrackingRefBased/>
  <w15:docId w15:val="{1E850B67-2578-47E8-93FC-54C87F9E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814B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B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B7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B7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B7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B7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B7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B7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4B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4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4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4B7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4B7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14B7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4B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4B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4B7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4B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14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B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14B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B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14B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4B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4B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4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14B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4B7D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B73FFE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rsid w:val="00B73FFE"/>
  </w:style>
  <w:style w:type="character" w:customStyle="1" w:styleId="af0">
    <w:name w:val="批注文字 字符"/>
    <w:basedOn w:val="a0"/>
    <w:link w:val="af"/>
    <w:uiPriority w:val="99"/>
    <w:rsid w:val="00B73FF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3FFE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B73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5</Pages>
  <Words>709</Words>
  <Characters>4045</Characters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</dc:creator>
  <cp:keywords/>
  <dc:description/>
  <cp:lastModifiedBy>  </cp:lastModifiedBy>
  <dcterms:created xsi:type="dcterms:W3CDTF">2026-02-20T08:19:00Z</dcterms:created>
  <dcterms:modified xsi:type="dcterms:W3CDTF">2026-05-04T16:07:00Z</dcterms:modified>
</cp:coreProperties>
</file>