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B240B">
      <w:pPr>
        <w:rPr>
          <w:b/>
          <w:bCs/>
        </w:rPr>
      </w:pPr>
      <w:r>
        <w:rPr>
          <w:rFonts w:hint="eastAsia"/>
          <w:b/>
          <w:bCs/>
        </w:rPr>
        <w:t xml:space="preserve">Table S1 </w:t>
      </w:r>
      <w:bookmarkStart w:id="0" w:name="_Hlk181972847"/>
      <w:r>
        <w:rPr>
          <w:rFonts w:hint="eastAsia"/>
          <w:b/>
          <w:bCs/>
        </w:rPr>
        <w:t>S</w:t>
      </w:r>
      <w:r>
        <w:rPr>
          <w:b/>
          <w:bCs/>
        </w:rPr>
        <w:t>earch strategy</w:t>
      </w:r>
    </w:p>
    <w:p w14:paraId="0D3EF578">
      <w:pPr>
        <w:rPr>
          <w:b/>
          <w:bCs/>
        </w:rPr>
      </w:pPr>
      <w:r>
        <w:rPr>
          <w:b/>
          <w:bCs/>
        </w:rPr>
        <w:t>Pubmed</w:t>
      </w:r>
      <w:bookmarkEnd w:id="0"/>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434"/>
        <w:gridCol w:w="1016"/>
      </w:tblGrid>
      <w:tr w14:paraId="63A3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left w:val="nil"/>
              <w:bottom w:val="single" w:color="auto" w:sz="4" w:space="0"/>
              <w:right w:val="nil"/>
            </w:tcBorders>
          </w:tcPr>
          <w:p w14:paraId="435BB0E5">
            <w:pPr>
              <w:spacing w:after="0" w:line="240" w:lineRule="auto"/>
              <w:rPr>
                <w:rFonts w:cs="Times New Roman"/>
                <w:sz w:val="20"/>
                <w:szCs w:val="20"/>
              </w:rPr>
            </w:pPr>
            <w:r>
              <w:rPr>
                <w:rFonts w:cs="Times New Roman"/>
                <w:sz w:val="20"/>
                <w:szCs w:val="20"/>
              </w:rPr>
              <w:t>Search number</w:t>
            </w:r>
          </w:p>
        </w:tc>
        <w:tc>
          <w:tcPr>
            <w:tcW w:w="6434" w:type="dxa"/>
            <w:tcBorders>
              <w:left w:val="nil"/>
              <w:bottom w:val="single" w:color="auto" w:sz="4" w:space="0"/>
              <w:right w:val="nil"/>
            </w:tcBorders>
          </w:tcPr>
          <w:p w14:paraId="2F9E12CA">
            <w:pPr>
              <w:spacing w:after="0" w:line="240" w:lineRule="auto"/>
              <w:rPr>
                <w:rFonts w:cs="Times New Roman"/>
                <w:sz w:val="20"/>
                <w:szCs w:val="20"/>
              </w:rPr>
            </w:pPr>
            <w:r>
              <w:rPr>
                <w:rFonts w:cs="Times New Roman"/>
                <w:sz w:val="20"/>
                <w:szCs w:val="20"/>
              </w:rPr>
              <w:t>Query</w:t>
            </w:r>
          </w:p>
        </w:tc>
        <w:tc>
          <w:tcPr>
            <w:tcW w:w="1016" w:type="dxa"/>
            <w:tcBorders>
              <w:left w:val="nil"/>
              <w:bottom w:val="single" w:color="auto" w:sz="4" w:space="0"/>
              <w:right w:val="nil"/>
            </w:tcBorders>
          </w:tcPr>
          <w:p w14:paraId="5E43A1CD">
            <w:pPr>
              <w:spacing w:after="0" w:line="240" w:lineRule="auto"/>
              <w:rPr>
                <w:rFonts w:cs="Times New Roman"/>
                <w:sz w:val="20"/>
                <w:szCs w:val="20"/>
              </w:rPr>
            </w:pPr>
            <w:r>
              <w:rPr>
                <w:rFonts w:cs="Times New Roman"/>
                <w:sz w:val="20"/>
                <w:szCs w:val="20"/>
              </w:rPr>
              <w:t>Results</w:t>
            </w:r>
          </w:p>
        </w:tc>
      </w:tr>
      <w:tr w14:paraId="5077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left w:val="nil"/>
              <w:bottom w:val="nil"/>
              <w:right w:val="nil"/>
            </w:tcBorders>
          </w:tcPr>
          <w:p w14:paraId="062F8C75">
            <w:pPr>
              <w:spacing w:after="0" w:line="240" w:lineRule="auto"/>
              <w:rPr>
                <w:rFonts w:cs="Times New Roman"/>
                <w:sz w:val="20"/>
                <w:szCs w:val="20"/>
              </w:rPr>
            </w:pPr>
            <w:r>
              <w:rPr>
                <w:rFonts w:hint="eastAsia" w:cs="Times New Roman"/>
                <w:sz w:val="20"/>
                <w:szCs w:val="20"/>
              </w:rPr>
              <w:t>1</w:t>
            </w:r>
          </w:p>
        </w:tc>
        <w:tc>
          <w:tcPr>
            <w:tcW w:w="6434" w:type="dxa"/>
            <w:tcBorders>
              <w:left w:val="nil"/>
              <w:bottom w:val="nil"/>
              <w:right w:val="nil"/>
            </w:tcBorders>
          </w:tcPr>
          <w:p w14:paraId="692C0DA3">
            <w:pPr>
              <w:spacing w:after="0" w:line="240" w:lineRule="auto"/>
              <w:rPr>
                <w:rFonts w:cs="Times New Roman"/>
                <w:sz w:val="20"/>
                <w:szCs w:val="20"/>
              </w:rPr>
            </w:pPr>
            <w:r>
              <w:rPr>
                <w:rFonts w:cs="Times New Roman"/>
                <w:sz w:val="20"/>
                <w:szCs w:val="20"/>
              </w:rPr>
              <w:t>Glomerulonephritis, IGA[MeSH Terms]</w:t>
            </w:r>
          </w:p>
        </w:tc>
        <w:tc>
          <w:tcPr>
            <w:tcW w:w="1016" w:type="dxa"/>
            <w:tcBorders>
              <w:left w:val="nil"/>
              <w:bottom w:val="nil"/>
              <w:right w:val="nil"/>
            </w:tcBorders>
          </w:tcPr>
          <w:p w14:paraId="5A141BB3">
            <w:pPr>
              <w:spacing w:after="0" w:line="240" w:lineRule="auto"/>
              <w:rPr>
                <w:rFonts w:cs="Times New Roman"/>
                <w:sz w:val="20"/>
                <w:szCs w:val="20"/>
              </w:rPr>
            </w:pPr>
            <w:r>
              <w:rPr>
                <w:rFonts w:cs="Times New Roman"/>
                <w:sz w:val="20"/>
                <w:szCs w:val="20"/>
              </w:rPr>
              <w:t>8</w:t>
            </w:r>
            <w:r>
              <w:rPr>
                <w:rFonts w:hint="eastAsia" w:cs="Times New Roman"/>
                <w:sz w:val="20"/>
                <w:szCs w:val="20"/>
              </w:rPr>
              <w:t>,</w:t>
            </w:r>
            <w:r>
              <w:rPr>
                <w:rFonts w:cs="Times New Roman"/>
                <w:sz w:val="20"/>
                <w:szCs w:val="20"/>
              </w:rPr>
              <w:t>009</w:t>
            </w:r>
          </w:p>
        </w:tc>
      </w:tr>
      <w:tr w14:paraId="64D4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tcBorders>
              <w:top w:val="nil"/>
              <w:left w:val="nil"/>
              <w:bottom w:val="nil"/>
              <w:right w:val="nil"/>
            </w:tcBorders>
          </w:tcPr>
          <w:p w14:paraId="17838F86">
            <w:pPr>
              <w:spacing w:after="0" w:line="240" w:lineRule="auto"/>
              <w:rPr>
                <w:rFonts w:cs="Times New Roman"/>
                <w:sz w:val="20"/>
                <w:szCs w:val="20"/>
              </w:rPr>
            </w:pPr>
            <w:r>
              <w:rPr>
                <w:rFonts w:hint="eastAsia" w:cs="Times New Roman"/>
                <w:sz w:val="20"/>
                <w:szCs w:val="20"/>
              </w:rPr>
              <w:t>2</w:t>
            </w:r>
          </w:p>
        </w:tc>
        <w:tc>
          <w:tcPr>
            <w:tcW w:w="6434" w:type="dxa"/>
            <w:tcBorders>
              <w:top w:val="nil"/>
              <w:left w:val="nil"/>
              <w:bottom w:val="nil"/>
              <w:right w:val="nil"/>
            </w:tcBorders>
          </w:tcPr>
          <w:p w14:paraId="2D25C6B2">
            <w:pPr>
              <w:spacing w:after="0" w:line="240" w:lineRule="auto"/>
              <w:rPr>
                <w:rFonts w:cs="Times New Roman"/>
                <w:sz w:val="20"/>
                <w:szCs w:val="20"/>
              </w:rPr>
            </w:pPr>
            <w:r>
              <w:rPr>
                <w:rFonts w:cs="Times New Roman"/>
                <w:sz w:val="20"/>
                <w:szCs w:val="20"/>
              </w:rPr>
              <w:t>"Berger Disease"[Title/Abstract] OR "Berger nephropathy"[Title/Abstract] OR "Bergers Disease"[Title/Abstract] OR "Bergers glomerulonephritis"[Title/Abstract] OR "Bergers nephropathy"[Title/Abstract] OR "IgA associated glomerulonephritis"[Title/Abstract] OR "IgA associated nephropathy"[Title/Abstract] OR "IgA dominant glomerulonephritis"[Title/Abstract] OR "IgA glomerular nephritis"[Title/Abstract] OR "IgA glomerulo nephritis"[Title/Abstract] OR "IgA glomerulonephritis"[Title/Abstract] OR "IgA induced nephropathy"[Title/Abstract] OR "IgA nephropathy"[Title/Abstract] OR "Iga Nephropathy 1"[Title/Abstract] OR "IgA nephrotic syndrome"[Title/Abstract] OR "IgA related nephropathy"[Title/Abstract] OR "IGA Type Nephritis"[Title/Abstract] OR "IgAN immunoglobulin A nephropathy"[Title/Abstract] OR "immunoglobulin A glomerulonephritis"[Title/Abstract] OR "immunoglobulin A glomerulopathy"[Title/Abstract] OR "immunoglobulin A nephropathy"[Title/Abstract] OR "immunoglobulin A type nephropathy"[Title/Abstract]</w:t>
            </w:r>
          </w:p>
        </w:tc>
        <w:tc>
          <w:tcPr>
            <w:tcW w:w="1016" w:type="dxa"/>
            <w:tcBorders>
              <w:top w:val="nil"/>
              <w:left w:val="nil"/>
              <w:bottom w:val="nil"/>
              <w:right w:val="nil"/>
            </w:tcBorders>
          </w:tcPr>
          <w:p w14:paraId="1D446B4A">
            <w:pPr>
              <w:spacing w:after="0" w:line="240" w:lineRule="auto"/>
              <w:rPr>
                <w:rFonts w:cs="Times New Roman"/>
                <w:sz w:val="20"/>
                <w:szCs w:val="20"/>
              </w:rPr>
            </w:pPr>
            <w:r>
              <w:rPr>
                <w:rFonts w:cs="Times New Roman"/>
                <w:sz w:val="20"/>
                <w:szCs w:val="20"/>
              </w:rPr>
              <w:t>10</w:t>
            </w:r>
            <w:r>
              <w:rPr>
                <w:rFonts w:hint="eastAsia" w:cs="Times New Roman"/>
                <w:sz w:val="20"/>
                <w:szCs w:val="20"/>
              </w:rPr>
              <w:t>,</w:t>
            </w:r>
            <w:r>
              <w:rPr>
                <w:rFonts w:cs="Times New Roman"/>
                <w:sz w:val="20"/>
                <w:szCs w:val="20"/>
              </w:rPr>
              <w:t>507</w:t>
            </w:r>
          </w:p>
        </w:tc>
      </w:tr>
      <w:tr w14:paraId="62D6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tcPr>
          <w:p w14:paraId="5001629B">
            <w:pPr>
              <w:spacing w:after="0" w:line="240" w:lineRule="auto"/>
              <w:rPr>
                <w:rFonts w:cs="Times New Roman"/>
                <w:sz w:val="20"/>
                <w:szCs w:val="20"/>
              </w:rPr>
            </w:pPr>
            <w:r>
              <w:rPr>
                <w:rFonts w:hint="eastAsia" w:cs="Times New Roman"/>
                <w:sz w:val="20"/>
                <w:szCs w:val="20"/>
              </w:rPr>
              <w:t>3</w:t>
            </w:r>
          </w:p>
        </w:tc>
        <w:tc>
          <w:tcPr>
            <w:tcW w:w="6434" w:type="dxa"/>
            <w:tcBorders>
              <w:top w:val="nil"/>
              <w:left w:val="nil"/>
              <w:bottom w:val="nil"/>
              <w:right w:val="nil"/>
            </w:tcBorders>
          </w:tcPr>
          <w:p w14:paraId="6030C12E">
            <w:pPr>
              <w:spacing w:after="0" w:line="240" w:lineRule="auto"/>
              <w:rPr>
                <w:rFonts w:cs="Times New Roman"/>
                <w:sz w:val="20"/>
                <w:szCs w:val="20"/>
              </w:rPr>
            </w:pPr>
            <w:r>
              <w:rPr>
                <w:rFonts w:cs="Times New Roman"/>
                <w:sz w:val="20"/>
                <w:szCs w:val="20"/>
              </w:rPr>
              <w:t>((Thrombotic Microangiopathy[MeSH Terms]) OR (Arteriosclerosis[MeSH Terms])) OR (Nephrosclerosis[MeSH Terms])</w:t>
            </w:r>
          </w:p>
        </w:tc>
        <w:tc>
          <w:tcPr>
            <w:tcW w:w="1016" w:type="dxa"/>
            <w:tcBorders>
              <w:top w:val="nil"/>
              <w:left w:val="nil"/>
              <w:bottom w:val="nil"/>
              <w:right w:val="nil"/>
            </w:tcBorders>
          </w:tcPr>
          <w:p w14:paraId="496FD8A1">
            <w:pPr>
              <w:spacing w:after="0" w:line="240" w:lineRule="auto"/>
              <w:rPr>
                <w:rFonts w:cs="Times New Roman"/>
                <w:sz w:val="20"/>
                <w:szCs w:val="20"/>
              </w:rPr>
            </w:pPr>
            <w:r>
              <w:rPr>
                <w:rFonts w:cs="Times New Roman"/>
                <w:sz w:val="20"/>
                <w:szCs w:val="20"/>
              </w:rPr>
              <w:t>242</w:t>
            </w:r>
            <w:r>
              <w:rPr>
                <w:rFonts w:hint="eastAsia" w:cs="Times New Roman"/>
                <w:sz w:val="20"/>
                <w:szCs w:val="20"/>
              </w:rPr>
              <w:t>,</w:t>
            </w:r>
            <w:r>
              <w:rPr>
                <w:rFonts w:cs="Times New Roman"/>
                <w:sz w:val="20"/>
                <w:szCs w:val="20"/>
              </w:rPr>
              <w:t>215</w:t>
            </w:r>
          </w:p>
        </w:tc>
      </w:tr>
      <w:tr w14:paraId="7E67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tcPr>
          <w:p w14:paraId="5637E5D8">
            <w:pPr>
              <w:spacing w:after="0" w:line="240" w:lineRule="auto"/>
              <w:rPr>
                <w:rFonts w:cs="Times New Roman"/>
                <w:sz w:val="20"/>
                <w:szCs w:val="20"/>
              </w:rPr>
            </w:pPr>
            <w:r>
              <w:rPr>
                <w:rFonts w:hint="eastAsia" w:cs="Times New Roman"/>
                <w:sz w:val="20"/>
                <w:szCs w:val="20"/>
              </w:rPr>
              <w:t>4</w:t>
            </w:r>
          </w:p>
        </w:tc>
        <w:tc>
          <w:tcPr>
            <w:tcW w:w="6434" w:type="dxa"/>
            <w:tcBorders>
              <w:top w:val="nil"/>
              <w:left w:val="nil"/>
              <w:bottom w:val="nil"/>
              <w:right w:val="nil"/>
            </w:tcBorders>
          </w:tcPr>
          <w:p w14:paraId="39797572">
            <w:pPr>
              <w:spacing w:after="0" w:line="240" w:lineRule="auto"/>
              <w:rPr>
                <w:rFonts w:cs="Times New Roman"/>
                <w:sz w:val="20"/>
                <w:szCs w:val="20"/>
              </w:rPr>
            </w:pPr>
            <w:r>
              <w:rPr>
                <w:rFonts w:cs="Times New Roman"/>
                <w:sz w:val="20"/>
                <w:szCs w:val="20"/>
              </w:rPr>
              <w:t>"Arterial lesions"[Title/Abstract] OR "arterial sclerosis"[Title/Abstract] OR "arterioscleroses"[Title/Abstract] OR "arteriosclerosis"[Title/Abstract] OR "arterio-sclerosis"[Title/Abstract] OR "arteriosclerotic disease"[Title/Abstract] OR "arteriosclerotic diseases"[Title/Abstract] OR "arteriosclerotic disorder"[Title/Abstract] OR "arteriosclerotic disorders"[Title/Abstract] OR "arteriosclerotic vascular disease"[Title/Abstract] OR "arteriosclerotic vascular diseases"[Title/Abstract] OR "arteriosclerotic vascular disorder"[Title/Abstract] OR "arteriosclerotic vascular disorders"[Title/Abstract] OR "capillary disease"[Title/Abstract] OR "microangiopathia"[Title/Abstract] OR "microangiopathy"[Title/Abstract] OR "microcirculatory disease"[Title/Abstract] OR "microvascular angiopathy"[Title/Abstract] OR "microvascular disease"[Title/Abstract] OR "microvasculatory disease"[Title/Abstract] OR "microvasculopathy"[Title/Abstract] OR "Nephroscleroses"[Title/Abstract] OR "nephrosclerosis"[Title/Abstract] OR "renal arteriosclerosis"[Title/Abstract] OR "renal atherosclerosis"[Title/Abstract] OR "renosclerosis"[Title/Abstract] OR "thrombotic microangiopathies"[Title/Abstract] OR "Thrombotic Microangiopathy"[Title/Abstract] OR "Vascular lesions"[Title/Abstract] OR "vascular nephrosclerosis"[Title/Abstract] OR "vascular scleroses"[Title/Abstract] OR "vascular sclerosis"[Title/Abstract]</w:t>
            </w:r>
          </w:p>
        </w:tc>
        <w:tc>
          <w:tcPr>
            <w:tcW w:w="1016" w:type="dxa"/>
            <w:tcBorders>
              <w:top w:val="nil"/>
              <w:left w:val="nil"/>
              <w:bottom w:val="nil"/>
              <w:right w:val="nil"/>
            </w:tcBorders>
          </w:tcPr>
          <w:p w14:paraId="039B786D">
            <w:pPr>
              <w:spacing w:after="0" w:line="240" w:lineRule="auto"/>
              <w:rPr>
                <w:rFonts w:cs="Times New Roman"/>
                <w:sz w:val="20"/>
                <w:szCs w:val="20"/>
              </w:rPr>
            </w:pPr>
            <w:r>
              <w:rPr>
                <w:rFonts w:cs="Times New Roman"/>
                <w:sz w:val="20"/>
                <w:szCs w:val="20"/>
              </w:rPr>
              <w:t>48</w:t>
            </w:r>
            <w:r>
              <w:rPr>
                <w:rFonts w:hint="eastAsia" w:cs="Times New Roman"/>
                <w:sz w:val="20"/>
                <w:szCs w:val="20"/>
              </w:rPr>
              <w:t>,</w:t>
            </w:r>
            <w:r>
              <w:rPr>
                <w:rFonts w:cs="Times New Roman"/>
                <w:sz w:val="20"/>
                <w:szCs w:val="20"/>
              </w:rPr>
              <w:t>690</w:t>
            </w:r>
          </w:p>
        </w:tc>
      </w:tr>
      <w:tr w14:paraId="57F7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single" w:color="auto" w:sz="4" w:space="0"/>
              <w:right w:val="nil"/>
            </w:tcBorders>
          </w:tcPr>
          <w:p w14:paraId="6639C2FD">
            <w:pPr>
              <w:spacing w:after="0" w:line="240" w:lineRule="auto"/>
              <w:rPr>
                <w:rFonts w:cs="Times New Roman"/>
                <w:sz w:val="20"/>
                <w:szCs w:val="20"/>
              </w:rPr>
            </w:pPr>
            <w:r>
              <w:rPr>
                <w:rFonts w:hint="eastAsia" w:cs="Times New Roman"/>
                <w:sz w:val="20"/>
                <w:szCs w:val="20"/>
              </w:rPr>
              <w:t>5</w:t>
            </w:r>
          </w:p>
        </w:tc>
        <w:tc>
          <w:tcPr>
            <w:tcW w:w="6434" w:type="dxa"/>
            <w:tcBorders>
              <w:top w:val="nil"/>
              <w:left w:val="nil"/>
              <w:bottom w:val="single" w:color="auto" w:sz="4" w:space="0"/>
              <w:right w:val="nil"/>
            </w:tcBorders>
          </w:tcPr>
          <w:p w14:paraId="50FA5B1F">
            <w:pPr>
              <w:spacing w:after="0" w:line="240" w:lineRule="auto"/>
              <w:rPr>
                <w:rFonts w:cs="Times New Roman"/>
                <w:sz w:val="20"/>
                <w:szCs w:val="20"/>
              </w:rPr>
            </w:pPr>
            <w:r>
              <w:rPr>
                <w:rFonts w:cs="Times New Roman"/>
                <w:sz w:val="20"/>
                <w:szCs w:val="20"/>
              </w:rPr>
              <w:t>(#1 OR #2) AND (#3 OR #4)</w:t>
            </w:r>
          </w:p>
        </w:tc>
        <w:tc>
          <w:tcPr>
            <w:tcW w:w="1016" w:type="dxa"/>
            <w:tcBorders>
              <w:top w:val="nil"/>
              <w:left w:val="nil"/>
              <w:bottom w:val="single" w:color="auto" w:sz="4" w:space="0"/>
              <w:right w:val="nil"/>
            </w:tcBorders>
          </w:tcPr>
          <w:p w14:paraId="2F868DBA">
            <w:pPr>
              <w:spacing w:after="0" w:line="240" w:lineRule="auto"/>
              <w:rPr>
                <w:rFonts w:cs="Times New Roman"/>
                <w:sz w:val="20"/>
                <w:szCs w:val="20"/>
              </w:rPr>
            </w:pPr>
            <w:r>
              <w:rPr>
                <w:rFonts w:cs="Times New Roman"/>
                <w:sz w:val="20"/>
                <w:szCs w:val="20"/>
              </w:rPr>
              <w:t>359</w:t>
            </w:r>
          </w:p>
        </w:tc>
      </w:tr>
    </w:tbl>
    <w:p w14:paraId="5D693FD5">
      <w:pPr>
        <w:rPr>
          <w:rFonts w:cs="Times New Roman"/>
        </w:rPr>
      </w:pPr>
    </w:p>
    <w:p w14:paraId="29C2C119">
      <w:pPr>
        <w:rPr>
          <w:b/>
          <w:bCs/>
        </w:rPr>
      </w:pPr>
      <w:r>
        <w:rPr>
          <w:rFonts w:hint="eastAsia"/>
          <w:b/>
          <w:bCs/>
        </w:rPr>
        <w:t>Embase</w:t>
      </w:r>
      <w:r>
        <w:rPr>
          <w:b/>
          <w:bCs/>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434"/>
        <w:gridCol w:w="1016"/>
      </w:tblGrid>
      <w:tr w14:paraId="0585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left w:val="nil"/>
              <w:bottom w:val="single" w:color="auto" w:sz="4" w:space="0"/>
              <w:right w:val="nil"/>
            </w:tcBorders>
          </w:tcPr>
          <w:p w14:paraId="2F769315">
            <w:pPr>
              <w:spacing w:after="0" w:line="240" w:lineRule="auto"/>
              <w:rPr>
                <w:rFonts w:cs="Times New Roman"/>
                <w:sz w:val="20"/>
                <w:szCs w:val="20"/>
              </w:rPr>
            </w:pPr>
            <w:r>
              <w:rPr>
                <w:rFonts w:cs="Times New Roman"/>
                <w:sz w:val="20"/>
                <w:szCs w:val="20"/>
              </w:rPr>
              <w:t>Search number</w:t>
            </w:r>
          </w:p>
        </w:tc>
        <w:tc>
          <w:tcPr>
            <w:tcW w:w="6434" w:type="dxa"/>
            <w:tcBorders>
              <w:left w:val="nil"/>
              <w:bottom w:val="single" w:color="auto" w:sz="4" w:space="0"/>
              <w:right w:val="nil"/>
            </w:tcBorders>
          </w:tcPr>
          <w:p w14:paraId="72F54C8A">
            <w:pPr>
              <w:spacing w:after="0" w:line="240" w:lineRule="auto"/>
              <w:rPr>
                <w:rFonts w:cs="Times New Roman"/>
                <w:sz w:val="20"/>
                <w:szCs w:val="20"/>
              </w:rPr>
            </w:pPr>
            <w:r>
              <w:rPr>
                <w:rFonts w:cs="Times New Roman"/>
                <w:sz w:val="20"/>
                <w:szCs w:val="20"/>
              </w:rPr>
              <w:t>Query</w:t>
            </w:r>
          </w:p>
        </w:tc>
        <w:tc>
          <w:tcPr>
            <w:tcW w:w="1016" w:type="dxa"/>
            <w:tcBorders>
              <w:left w:val="nil"/>
              <w:bottom w:val="single" w:color="auto" w:sz="4" w:space="0"/>
              <w:right w:val="nil"/>
            </w:tcBorders>
          </w:tcPr>
          <w:p w14:paraId="47864803">
            <w:pPr>
              <w:spacing w:after="0" w:line="240" w:lineRule="auto"/>
              <w:rPr>
                <w:rFonts w:cs="Times New Roman"/>
                <w:sz w:val="20"/>
                <w:szCs w:val="20"/>
              </w:rPr>
            </w:pPr>
            <w:r>
              <w:rPr>
                <w:rFonts w:cs="Times New Roman"/>
                <w:sz w:val="20"/>
                <w:szCs w:val="20"/>
              </w:rPr>
              <w:t>Results</w:t>
            </w:r>
          </w:p>
        </w:tc>
      </w:tr>
      <w:tr w14:paraId="4B5A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left w:val="nil"/>
              <w:bottom w:val="nil"/>
              <w:right w:val="nil"/>
            </w:tcBorders>
          </w:tcPr>
          <w:p w14:paraId="6CC995C9">
            <w:pPr>
              <w:spacing w:after="0" w:line="240" w:lineRule="auto"/>
              <w:rPr>
                <w:rFonts w:cs="Times New Roman"/>
                <w:sz w:val="20"/>
                <w:szCs w:val="20"/>
              </w:rPr>
            </w:pPr>
            <w:r>
              <w:rPr>
                <w:rFonts w:hint="eastAsia" w:cs="Times New Roman"/>
                <w:sz w:val="20"/>
                <w:szCs w:val="20"/>
              </w:rPr>
              <w:t>1</w:t>
            </w:r>
          </w:p>
        </w:tc>
        <w:tc>
          <w:tcPr>
            <w:tcW w:w="6434" w:type="dxa"/>
            <w:tcBorders>
              <w:left w:val="nil"/>
              <w:bottom w:val="nil"/>
              <w:right w:val="nil"/>
            </w:tcBorders>
          </w:tcPr>
          <w:p w14:paraId="0C8428FF">
            <w:pPr>
              <w:spacing w:after="0" w:line="240" w:lineRule="auto"/>
              <w:rPr>
                <w:rFonts w:cs="Times New Roman"/>
                <w:sz w:val="20"/>
                <w:szCs w:val="20"/>
              </w:rPr>
            </w:pPr>
            <w:r>
              <w:rPr>
                <w:rFonts w:cs="Times New Roman"/>
                <w:sz w:val="20"/>
                <w:szCs w:val="20"/>
              </w:rPr>
              <w:t>'immunoglobulin a nephropathy'/exp</w:t>
            </w:r>
          </w:p>
        </w:tc>
        <w:tc>
          <w:tcPr>
            <w:tcW w:w="1016" w:type="dxa"/>
            <w:tcBorders>
              <w:left w:val="nil"/>
              <w:bottom w:val="nil"/>
              <w:right w:val="nil"/>
            </w:tcBorders>
          </w:tcPr>
          <w:p w14:paraId="4525848B">
            <w:pPr>
              <w:spacing w:after="0" w:line="240" w:lineRule="auto"/>
              <w:rPr>
                <w:rFonts w:cs="Times New Roman"/>
                <w:sz w:val="20"/>
                <w:szCs w:val="20"/>
              </w:rPr>
            </w:pPr>
            <w:r>
              <w:rPr>
                <w:rFonts w:cs="Times New Roman"/>
                <w:sz w:val="20"/>
                <w:szCs w:val="20"/>
              </w:rPr>
              <w:t>19</w:t>
            </w:r>
            <w:r>
              <w:rPr>
                <w:rFonts w:hint="eastAsia" w:cs="Times New Roman"/>
                <w:sz w:val="20"/>
                <w:szCs w:val="20"/>
              </w:rPr>
              <w:t>,</w:t>
            </w:r>
            <w:r>
              <w:rPr>
                <w:rFonts w:cs="Times New Roman"/>
                <w:sz w:val="20"/>
                <w:szCs w:val="20"/>
              </w:rPr>
              <w:t>136</w:t>
            </w:r>
          </w:p>
        </w:tc>
      </w:tr>
      <w:tr w14:paraId="5FD3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tcPr>
          <w:p w14:paraId="71C74FBE">
            <w:pPr>
              <w:spacing w:after="0" w:line="240" w:lineRule="auto"/>
              <w:rPr>
                <w:rFonts w:cs="Times New Roman"/>
                <w:sz w:val="20"/>
                <w:szCs w:val="20"/>
              </w:rPr>
            </w:pPr>
            <w:r>
              <w:rPr>
                <w:rFonts w:hint="eastAsia" w:cs="Times New Roman"/>
                <w:sz w:val="20"/>
                <w:szCs w:val="20"/>
              </w:rPr>
              <w:t>2</w:t>
            </w:r>
          </w:p>
        </w:tc>
        <w:tc>
          <w:tcPr>
            <w:tcW w:w="6434" w:type="dxa"/>
            <w:tcBorders>
              <w:top w:val="nil"/>
              <w:left w:val="nil"/>
              <w:bottom w:val="nil"/>
              <w:right w:val="nil"/>
            </w:tcBorders>
          </w:tcPr>
          <w:p w14:paraId="064B300D">
            <w:pPr>
              <w:spacing w:after="0" w:line="240" w:lineRule="auto"/>
              <w:rPr>
                <w:rFonts w:cs="Times New Roman"/>
                <w:sz w:val="20"/>
                <w:szCs w:val="20"/>
              </w:rPr>
            </w:pPr>
            <w:r>
              <w:rPr>
                <w:rFonts w:cs="Times New Roman"/>
                <w:sz w:val="20"/>
                <w:szCs w:val="20"/>
              </w:rPr>
              <w:t>'berger disease' OR 'berger nephropathy' OR 'bergers disease' OR 'bergers glomerulonephritis' OR 'bergers nephropathy' OR 'iga associated glomerulonephritis' OR 'iga associated nephropathy' OR 'iga dominant glomerulonephritis' OR 'iga glomerular nephritis' OR 'iga glomerulo nephritis' OR 'iga glomerulonephritis' OR 'iga induced nephropathy' OR 'iga nephropathy' OR 'iga nephropathy 1' OR 'iga nephrotic syndrome' OR 'iga related nephropathy' OR 'iga type nephritis' OR 'igan immunoglobulin a nephropathy' OR 'immunoglobulin a glomerulonephritis' OR 'immunoglobulin a glomerulopathy' OR 'immunoglobulin a nephropathy' OR 'immunoglobulin a type nephropathy'Sclerosis"[Title/Abstract]</w:t>
            </w:r>
          </w:p>
        </w:tc>
        <w:tc>
          <w:tcPr>
            <w:tcW w:w="1016" w:type="dxa"/>
            <w:tcBorders>
              <w:top w:val="nil"/>
              <w:left w:val="nil"/>
              <w:bottom w:val="nil"/>
              <w:right w:val="nil"/>
            </w:tcBorders>
          </w:tcPr>
          <w:p w14:paraId="0D7F184D">
            <w:pPr>
              <w:spacing w:after="0" w:line="240" w:lineRule="auto"/>
              <w:rPr>
                <w:rFonts w:cs="Times New Roman"/>
                <w:sz w:val="20"/>
                <w:szCs w:val="20"/>
              </w:rPr>
            </w:pPr>
            <w:r>
              <w:rPr>
                <w:rFonts w:cs="Times New Roman"/>
                <w:sz w:val="20"/>
                <w:szCs w:val="20"/>
              </w:rPr>
              <w:t>20</w:t>
            </w:r>
            <w:r>
              <w:rPr>
                <w:rFonts w:hint="eastAsia" w:cs="Times New Roman"/>
                <w:sz w:val="20"/>
                <w:szCs w:val="20"/>
              </w:rPr>
              <w:t>,</w:t>
            </w:r>
            <w:r>
              <w:rPr>
                <w:rFonts w:cs="Times New Roman"/>
                <w:sz w:val="20"/>
                <w:szCs w:val="20"/>
              </w:rPr>
              <w:t>680</w:t>
            </w:r>
          </w:p>
        </w:tc>
      </w:tr>
      <w:tr w14:paraId="252A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tcPr>
          <w:p w14:paraId="60C136DB">
            <w:pPr>
              <w:spacing w:after="0" w:line="240" w:lineRule="auto"/>
              <w:rPr>
                <w:rFonts w:cs="Times New Roman"/>
                <w:sz w:val="20"/>
                <w:szCs w:val="20"/>
              </w:rPr>
            </w:pPr>
            <w:r>
              <w:rPr>
                <w:rFonts w:hint="eastAsia" w:cs="Times New Roman"/>
                <w:sz w:val="20"/>
                <w:szCs w:val="20"/>
              </w:rPr>
              <w:t>3</w:t>
            </w:r>
          </w:p>
        </w:tc>
        <w:tc>
          <w:tcPr>
            <w:tcW w:w="6434" w:type="dxa"/>
            <w:tcBorders>
              <w:top w:val="nil"/>
              <w:left w:val="nil"/>
              <w:bottom w:val="nil"/>
              <w:right w:val="nil"/>
            </w:tcBorders>
          </w:tcPr>
          <w:p w14:paraId="6F624845">
            <w:pPr>
              <w:spacing w:after="0" w:line="240" w:lineRule="auto"/>
              <w:rPr>
                <w:rFonts w:cs="Times New Roman"/>
                <w:sz w:val="20"/>
                <w:szCs w:val="20"/>
              </w:rPr>
            </w:pPr>
            <w:r>
              <w:rPr>
                <w:rFonts w:cs="Times New Roman"/>
                <w:sz w:val="20"/>
                <w:szCs w:val="20"/>
              </w:rPr>
              <w:t>'microangiopathy'/exp OR 'arteriosclerosis'/exp OR 'thrombotic microangiopathy'/exp OR 'nephrosclerosis'/exp</w:t>
            </w:r>
          </w:p>
        </w:tc>
        <w:tc>
          <w:tcPr>
            <w:tcW w:w="1016" w:type="dxa"/>
            <w:tcBorders>
              <w:top w:val="nil"/>
              <w:left w:val="nil"/>
              <w:bottom w:val="nil"/>
              <w:right w:val="nil"/>
            </w:tcBorders>
          </w:tcPr>
          <w:p w14:paraId="287B81AB">
            <w:pPr>
              <w:spacing w:after="0" w:line="240" w:lineRule="auto"/>
              <w:rPr>
                <w:rFonts w:cs="Times New Roman"/>
                <w:sz w:val="20"/>
                <w:szCs w:val="20"/>
              </w:rPr>
            </w:pPr>
            <w:r>
              <w:rPr>
                <w:rFonts w:cs="Times New Roman"/>
                <w:sz w:val="20"/>
                <w:szCs w:val="20"/>
              </w:rPr>
              <w:t>541</w:t>
            </w:r>
            <w:r>
              <w:rPr>
                <w:rFonts w:hint="eastAsia" w:cs="Times New Roman"/>
                <w:sz w:val="20"/>
                <w:szCs w:val="20"/>
              </w:rPr>
              <w:t>,</w:t>
            </w:r>
            <w:r>
              <w:rPr>
                <w:rFonts w:cs="Times New Roman"/>
                <w:sz w:val="20"/>
                <w:szCs w:val="20"/>
              </w:rPr>
              <w:t>039</w:t>
            </w:r>
          </w:p>
        </w:tc>
      </w:tr>
      <w:tr w14:paraId="2276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tcPr>
          <w:p w14:paraId="620C876B">
            <w:pPr>
              <w:spacing w:after="0" w:line="240" w:lineRule="auto"/>
              <w:rPr>
                <w:rFonts w:cs="Times New Roman"/>
                <w:sz w:val="20"/>
                <w:szCs w:val="20"/>
              </w:rPr>
            </w:pPr>
            <w:r>
              <w:rPr>
                <w:rFonts w:hint="eastAsia" w:cs="Times New Roman"/>
                <w:sz w:val="20"/>
                <w:szCs w:val="20"/>
              </w:rPr>
              <w:t>4</w:t>
            </w:r>
          </w:p>
        </w:tc>
        <w:tc>
          <w:tcPr>
            <w:tcW w:w="6434" w:type="dxa"/>
            <w:tcBorders>
              <w:top w:val="nil"/>
              <w:left w:val="nil"/>
              <w:bottom w:val="nil"/>
              <w:right w:val="nil"/>
            </w:tcBorders>
          </w:tcPr>
          <w:p w14:paraId="15B41054">
            <w:pPr>
              <w:spacing w:after="0" w:line="240" w:lineRule="auto"/>
              <w:rPr>
                <w:rFonts w:cs="Times New Roman"/>
                <w:sz w:val="20"/>
                <w:szCs w:val="20"/>
              </w:rPr>
            </w:pPr>
            <w:r>
              <w:rPr>
                <w:rFonts w:cs="Times New Roman"/>
                <w:sz w:val="20"/>
                <w:szCs w:val="20"/>
              </w:rPr>
              <w:t>'arterial lesions' OR 'arterial sclerosis' OR 'arterioscleroses' OR 'arteriosclerosis' OR 'arterio-sclerosis' OR 'arteriosclerotic disease' OR 'arteriosclerotic diseases' OR 'arteriosclerotic disorder' OR 'arteriosclerotic disorders' OR 'arteriosclerotic vascular disease' OR 'arteriosclerotic vascular diseases' OR 'arteriosclerotic vascular disorder' OR 'arteriosclerotic vascular disorders' OR 'capillary disease' OR 'microangiopathia' OR 'microangiopathy' OR 'microcirculatory disease' OR 'microvascular angiopathy' OR 'microvascular disease' OR 'microvasculatory disease' OR 'microvasculopathy' OR 'nephroscleroses' OR 'nephrosclerosis' OR 'renal arteriosclerosis' OR 'renal atherosclerosis' OR 'renosclerosis' OR 'thrombotic microangiopathies' OR 'thrombotic microangiopathy' OR 'vascular lesions' OR 'vascular nephrosclerosis' OR 'vascular scleroses' OR 'vascular sclerosis'</w:t>
            </w:r>
          </w:p>
        </w:tc>
        <w:tc>
          <w:tcPr>
            <w:tcW w:w="1016" w:type="dxa"/>
            <w:tcBorders>
              <w:top w:val="nil"/>
              <w:left w:val="nil"/>
              <w:bottom w:val="nil"/>
              <w:right w:val="nil"/>
            </w:tcBorders>
          </w:tcPr>
          <w:p w14:paraId="37E3350B">
            <w:pPr>
              <w:spacing w:after="0" w:line="240" w:lineRule="auto"/>
              <w:rPr>
                <w:rFonts w:cs="Times New Roman"/>
                <w:sz w:val="20"/>
                <w:szCs w:val="20"/>
              </w:rPr>
            </w:pPr>
            <w:r>
              <w:rPr>
                <w:rFonts w:cs="Times New Roman"/>
                <w:sz w:val="20"/>
                <w:szCs w:val="20"/>
              </w:rPr>
              <w:t>133</w:t>
            </w:r>
            <w:r>
              <w:rPr>
                <w:rFonts w:hint="eastAsia" w:cs="Times New Roman"/>
                <w:sz w:val="20"/>
                <w:szCs w:val="20"/>
              </w:rPr>
              <w:t>,</w:t>
            </w:r>
            <w:r>
              <w:rPr>
                <w:rFonts w:cs="Times New Roman"/>
                <w:sz w:val="20"/>
                <w:szCs w:val="20"/>
              </w:rPr>
              <w:t>812</w:t>
            </w:r>
          </w:p>
        </w:tc>
      </w:tr>
      <w:tr w14:paraId="2289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single" w:color="auto" w:sz="4" w:space="0"/>
              <w:right w:val="nil"/>
            </w:tcBorders>
          </w:tcPr>
          <w:p w14:paraId="3D21CDD5">
            <w:pPr>
              <w:spacing w:after="0" w:line="240" w:lineRule="auto"/>
              <w:rPr>
                <w:rFonts w:cs="Times New Roman"/>
                <w:sz w:val="20"/>
                <w:szCs w:val="20"/>
              </w:rPr>
            </w:pPr>
            <w:r>
              <w:rPr>
                <w:rFonts w:hint="eastAsia" w:cs="Times New Roman"/>
                <w:sz w:val="20"/>
                <w:szCs w:val="20"/>
              </w:rPr>
              <w:t>5</w:t>
            </w:r>
          </w:p>
        </w:tc>
        <w:tc>
          <w:tcPr>
            <w:tcW w:w="6434" w:type="dxa"/>
            <w:tcBorders>
              <w:top w:val="nil"/>
              <w:left w:val="nil"/>
              <w:bottom w:val="single" w:color="auto" w:sz="4" w:space="0"/>
              <w:right w:val="nil"/>
            </w:tcBorders>
          </w:tcPr>
          <w:p w14:paraId="54E246C2">
            <w:pPr>
              <w:spacing w:after="0" w:line="240" w:lineRule="auto"/>
              <w:rPr>
                <w:rFonts w:cs="Times New Roman"/>
                <w:sz w:val="20"/>
                <w:szCs w:val="20"/>
              </w:rPr>
            </w:pPr>
            <w:r>
              <w:rPr>
                <w:rFonts w:cs="Times New Roman"/>
                <w:sz w:val="20"/>
                <w:szCs w:val="20"/>
              </w:rPr>
              <w:t>(#1 OR #2) AND (#3 OR #4)</w:t>
            </w:r>
          </w:p>
        </w:tc>
        <w:tc>
          <w:tcPr>
            <w:tcW w:w="1016" w:type="dxa"/>
            <w:tcBorders>
              <w:top w:val="nil"/>
              <w:left w:val="nil"/>
              <w:bottom w:val="single" w:color="auto" w:sz="4" w:space="0"/>
              <w:right w:val="nil"/>
            </w:tcBorders>
          </w:tcPr>
          <w:p w14:paraId="07C16D47">
            <w:pPr>
              <w:spacing w:after="0" w:line="240" w:lineRule="auto"/>
              <w:rPr>
                <w:rFonts w:cs="Times New Roman"/>
                <w:sz w:val="20"/>
                <w:szCs w:val="20"/>
              </w:rPr>
            </w:pPr>
            <w:r>
              <w:rPr>
                <w:rFonts w:cs="Times New Roman"/>
                <w:sz w:val="20"/>
                <w:szCs w:val="20"/>
              </w:rPr>
              <w:t>2131</w:t>
            </w:r>
          </w:p>
        </w:tc>
      </w:tr>
    </w:tbl>
    <w:p w14:paraId="1F57E9D0">
      <w:pPr>
        <w:rPr>
          <w:rFonts w:cs="Times New Roman"/>
        </w:rPr>
      </w:pPr>
    </w:p>
    <w:p w14:paraId="0AB18A7C">
      <w:pPr>
        <w:rPr>
          <w:b/>
          <w:bCs/>
        </w:rPr>
      </w:pPr>
      <w:r>
        <w:rPr>
          <w:rFonts w:hint="eastAsia"/>
          <w:b/>
          <w:bCs/>
        </w:rPr>
        <w:t>Cochrane</w:t>
      </w:r>
    </w:p>
    <w:tbl>
      <w:tblPr>
        <w:tblStyle w:val="17"/>
        <w:tblW w:w="8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434"/>
        <w:gridCol w:w="1520"/>
      </w:tblGrid>
      <w:tr w14:paraId="77A97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left w:val="nil"/>
              <w:bottom w:val="single" w:color="auto" w:sz="4" w:space="0"/>
              <w:right w:val="nil"/>
            </w:tcBorders>
          </w:tcPr>
          <w:p w14:paraId="581A7A2E">
            <w:pPr>
              <w:spacing w:after="0" w:line="240" w:lineRule="auto"/>
              <w:rPr>
                <w:rFonts w:cs="Times New Roman"/>
                <w:sz w:val="20"/>
                <w:szCs w:val="20"/>
              </w:rPr>
            </w:pPr>
            <w:r>
              <w:rPr>
                <w:rFonts w:cs="Times New Roman"/>
                <w:sz w:val="20"/>
                <w:szCs w:val="20"/>
              </w:rPr>
              <w:t>Search number</w:t>
            </w:r>
          </w:p>
        </w:tc>
        <w:tc>
          <w:tcPr>
            <w:tcW w:w="6434" w:type="dxa"/>
            <w:tcBorders>
              <w:left w:val="nil"/>
              <w:bottom w:val="single" w:color="auto" w:sz="4" w:space="0"/>
              <w:right w:val="nil"/>
            </w:tcBorders>
          </w:tcPr>
          <w:p w14:paraId="0ACE2D53">
            <w:pPr>
              <w:spacing w:after="0" w:line="240" w:lineRule="auto"/>
              <w:rPr>
                <w:rFonts w:cs="Times New Roman"/>
                <w:sz w:val="20"/>
                <w:szCs w:val="20"/>
              </w:rPr>
            </w:pPr>
            <w:r>
              <w:rPr>
                <w:rFonts w:cs="Times New Roman"/>
                <w:sz w:val="20"/>
                <w:szCs w:val="20"/>
              </w:rPr>
              <w:t>Query</w:t>
            </w:r>
          </w:p>
        </w:tc>
        <w:tc>
          <w:tcPr>
            <w:tcW w:w="1520" w:type="dxa"/>
            <w:tcBorders>
              <w:left w:val="nil"/>
              <w:bottom w:val="single" w:color="auto" w:sz="4" w:space="0"/>
              <w:right w:val="nil"/>
            </w:tcBorders>
          </w:tcPr>
          <w:p w14:paraId="22AD913C">
            <w:pPr>
              <w:spacing w:after="0" w:line="240" w:lineRule="auto"/>
              <w:rPr>
                <w:rFonts w:cs="Times New Roman"/>
                <w:sz w:val="20"/>
                <w:szCs w:val="20"/>
              </w:rPr>
            </w:pPr>
            <w:r>
              <w:rPr>
                <w:rFonts w:cs="Times New Roman"/>
                <w:sz w:val="20"/>
                <w:szCs w:val="20"/>
              </w:rPr>
              <w:t>Results</w:t>
            </w:r>
          </w:p>
        </w:tc>
      </w:tr>
      <w:tr w14:paraId="3BC6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left w:val="nil"/>
              <w:bottom w:val="nil"/>
              <w:right w:val="nil"/>
            </w:tcBorders>
          </w:tcPr>
          <w:p w14:paraId="3BD10438">
            <w:pPr>
              <w:spacing w:after="0" w:line="240" w:lineRule="auto"/>
              <w:rPr>
                <w:rFonts w:cs="Times New Roman"/>
                <w:sz w:val="20"/>
                <w:szCs w:val="20"/>
              </w:rPr>
            </w:pPr>
            <w:r>
              <w:rPr>
                <w:rFonts w:hint="eastAsia" w:cs="Times New Roman"/>
                <w:sz w:val="20"/>
                <w:szCs w:val="20"/>
              </w:rPr>
              <w:t>1</w:t>
            </w:r>
          </w:p>
        </w:tc>
        <w:tc>
          <w:tcPr>
            <w:tcW w:w="6434" w:type="dxa"/>
            <w:tcBorders>
              <w:left w:val="nil"/>
              <w:bottom w:val="nil"/>
              <w:right w:val="nil"/>
            </w:tcBorders>
          </w:tcPr>
          <w:p w14:paraId="5C9B9A81">
            <w:pPr>
              <w:spacing w:after="0" w:line="240" w:lineRule="auto"/>
              <w:rPr>
                <w:rFonts w:cs="Times New Roman"/>
                <w:sz w:val="20"/>
                <w:szCs w:val="20"/>
              </w:rPr>
            </w:pPr>
            <w:r>
              <w:rPr>
                <w:rFonts w:cs="Times New Roman"/>
                <w:sz w:val="20"/>
                <w:szCs w:val="20"/>
              </w:rPr>
              <w:t>MeSH descriptor: [Glomerulonephritis, IGA] explode all trees</w:t>
            </w:r>
          </w:p>
        </w:tc>
        <w:tc>
          <w:tcPr>
            <w:tcW w:w="1520" w:type="dxa"/>
            <w:tcBorders>
              <w:left w:val="nil"/>
              <w:bottom w:val="nil"/>
              <w:right w:val="nil"/>
            </w:tcBorders>
          </w:tcPr>
          <w:p w14:paraId="58832F9D">
            <w:pPr>
              <w:spacing w:after="0" w:line="240" w:lineRule="auto"/>
              <w:rPr>
                <w:rFonts w:cs="Times New Roman"/>
                <w:sz w:val="20"/>
                <w:szCs w:val="20"/>
              </w:rPr>
            </w:pPr>
            <w:r>
              <w:rPr>
                <w:rFonts w:hint="eastAsia" w:cs="Times New Roman"/>
                <w:sz w:val="20"/>
                <w:szCs w:val="20"/>
              </w:rPr>
              <w:t>382</w:t>
            </w:r>
          </w:p>
        </w:tc>
      </w:tr>
      <w:tr w14:paraId="509B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tcPr>
          <w:p w14:paraId="46F66E72">
            <w:pPr>
              <w:spacing w:after="0" w:line="240" w:lineRule="auto"/>
              <w:rPr>
                <w:rFonts w:cs="Times New Roman"/>
                <w:sz w:val="20"/>
                <w:szCs w:val="20"/>
              </w:rPr>
            </w:pPr>
            <w:r>
              <w:rPr>
                <w:rFonts w:hint="eastAsia" w:cs="Times New Roman"/>
                <w:sz w:val="20"/>
                <w:szCs w:val="20"/>
              </w:rPr>
              <w:t>2</w:t>
            </w:r>
          </w:p>
        </w:tc>
        <w:tc>
          <w:tcPr>
            <w:tcW w:w="6434" w:type="dxa"/>
            <w:tcBorders>
              <w:top w:val="nil"/>
              <w:left w:val="nil"/>
              <w:bottom w:val="nil"/>
              <w:right w:val="nil"/>
            </w:tcBorders>
          </w:tcPr>
          <w:p w14:paraId="76F7D777">
            <w:pPr>
              <w:spacing w:after="0" w:line="240" w:lineRule="auto"/>
              <w:rPr>
                <w:rFonts w:cs="Times New Roman"/>
                <w:sz w:val="20"/>
                <w:szCs w:val="20"/>
              </w:rPr>
            </w:pPr>
            <w:r>
              <w:rPr>
                <w:rFonts w:cs="Times New Roman"/>
                <w:sz w:val="20"/>
                <w:szCs w:val="20"/>
              </w:rPr>
              <w:t>'Berger Disease' OR 'Berger nephropathy' OR 'Bergers Disease' OR 'Bergers glomerulonephritis' OR 'Bergers nephropathy' OR 'IgA associated glomerulonephritis' OR 'IgA associated nephropathy' OR 'IgA dominant glomerulonephritis' OR 'IgA glomerular nephritis' OR 'IgA glomerulo nephritis' OR 'IgA glomerulonephritis' OR 'IgA induced nephropathy' OR 'IgA nephropathy' OR 'Iga Nephropathy 1' OR 'IgA nephrotic syndrome' OR 'IgA related nephropathy' OR 'IGA Type Nephritis' OR 'IgAN immunoglobulin A nephropathy' OR 'immunoglobulin A glomerulonephritis' OR 'immunoglobulin A glomerulopathy' OR 'immunoglobulin A nephropathy' OR 'immunoglobulin A type nephropathy'</w:t>
            </w:r>
          </w:p>
        </w:tc>
        <w:tc>
          <w:tcPr>
            <w:tcW w:w="1520" w:type="dxa"/>
            <w:tcBorders>
              <w:top w:val="nil"/>
              <w:left w:val="nil"/>
              <w:bottom w:val="nil"/>
              <w:right w:val="nil"/>
            </w:tcBorders>
          </w:tcPr>
          <w:p w14:paraId="1D11D815">
            <w:pPr>
              <w:spacing w:after="0" w:line="240" w:lineRule="auto"/>
              <w:rPr>
                <w:rFonts w:cs="Times New Roman"/>
                <w:sz w:val="20"/>
                <w:szCs w:val="20"/>
              </w:rPr>
            </w:pPr>
            <w:r>
              <w:rPr>
                <w:rFonts w:hint="eastAsia" w:cs="Times New Roman"/>
                <w:sz w:val="20"/>
                <w:szCs w:val="20"/>
              </w:rPr>
              <w:t>2,493</w:t>
            </w:r>
          </w:p>
        </w:tc>
      </w:tr>
      <w:tr w14:paraId="316C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tcPr>
          <w:p w14:paraId="75DE984D">
            <w:pPr>
              <w:spacing w:after="0" w:line="240" w:lineRule="auto"/>
              <w:rPr>
                <w:rFonts w:cs="Times New Roman"/>
                <w:sz w:val="20"/>
                <w:szCs w:val="20"/>
              </w:rPr>
            </w:pPr>
            <w:r>
              <w:rPr>
                <w:rFonts w:hint="eastAsia" w:cs="Times New Roman"/>
                <w:sz w:val="20"/>
                <w:szCs w:val="20"/>
              </w:rPr>
              <w:t>3</w:t>
            </w:r>
          </w:p>
        </w:tc>
        <w:tc>
          <w:tcPr>
            <w:tcW w:w="6434" w:type="dxa"/>
            <w:tcBorders>
              <w:top w:val="nil"/>
              <w:left w:val="nil"/>
              <w:bottom w:val="nil"/>
              <w:right w:val="nil"/>
            </w:tcBorders>
          </w:tcPr>
          <w:p w14:paraId="7785A7A6">
            <w:pPr>
              <w:spacing w:after="0" w:line="240" w:lineRule="auto"/>
              <w:rPr>
                <w:rFonts w:cs="Times New Roman"/>
                <w:sz w:val="20"/>
                <w:szCs w:val="20"/>
              </w:rPr>
            </w:pPr>
            <w:r>
              <w:rPr>
                <w:rFonts w:cs="Times New Roman"/>
                <w:sz w:val="20"/>
                <w:szCs w:val="20"/>
              </w:rPr>
              <w:t>MeSH descriptor: [Arteriosclerosis] explode all trees</w:t>
            </w:r>
          </w:p>
        </w:tc>
        <w:tc>
          <w:tcPr>
            <w:tcW w:w="1520" w:type="dxa"/>
            <w:tcBorders>
              <w:top w:val="nil"/>
              <w:left w:val="nil"/>
              <w:bottom w:val="nil"/>
              <w:right w:val="nil"/>
            </w:tcBorders>
          </w:tcPr>
          <w:p w14:paraId="5D7D77E0">
            <w:pPr>
              <w:spacing w:after="0" w:line="240" w:lineRule="auto"/>
              <w:rPr>
                <w:rFonts w:cs="Times New Roman"/>
                <w:sz w:val="20"/>
                <w:szCs w:val="20"/>
              </w:rPr>
            </w:pPr>
            <w:r>
              <w:rPr>
                <w:rFonts w:hint="eastAsia" w:cs="Times New Roman"/>
                <w:sz w:val="20"/>
                <w:szCs w:val="20"/>
              </w:rPr>
              <w:t>14,989</w:t>
            </w:r>
          </w:p>
        </w:tc>
      </w:tr>
      <w:tr w14:paraId="5F5D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tcPr>
          <w:p w14:paraId="31569076">
            <w:pPr>
              <w:spacing w:after="0" w:line="240" w:lineRule="auto"/>
              <w:rPr>
                <w:rFonts w:cs="Times New Roman"/>
                <w:sz w:val="20"/>
                <w:szCs w:val="20"/>
              </w:rPr>
            </w:pPr>
            <w:r>
              <w:rPr>
                <w:rFonts w:hint="eastAsia" w:cs="Times New Roman"/>
                <w:sz w:val="20"/>
                <w:szCs w:val="20"/>
              </w:rPr>
              <w:t>4</w:t>
            </w:r>
          </w:p>
        </w:tc>
        <w:tc>
          <w:tcPr>
            <w:tcW w:w="6434" w:type="dxa"/>
            <w:tcBorders>
              <w:top w:val="nil"/>
              <w:left w:val="nil"/>
              <w:bottom w:val="nil"/>
              <w:right w:val="nil"/>
            </w:tcBorders>
          </w:tcPr>
          <w:p w14:paraId="60F0D9E7">
            <w:pPr>
              <w:spacing w:after="0" w:line="240" w:lineRule="auto"/>
              <w:rPr>
                <w:rFonts w:cs="Times New Roman"/>
                <w:sz w:val="20"/>
                <w:szCs w:val="20"/>
              </w:rPr>
            </w:pPr>
            <w:r>
              <w:rPr>
                <w:rFonts w:cs="Times New Roman"/>
                <w:sz w:val="20"/>
                <w:szCs w:val="20"/>
              </w:rPr>
              <w:t>'Arterial lesions' OR 'arterial sclerosis' OR 'arterioscleroses' OR 'arteriosclerosis' OR 'arterio-sclerosis' OR 'arteriosclerotic disease' OR 'arteriosclerotic diseases' OR 'arteriosclerotic disorder' OR 'arteriosclerotic disorders' OR 'arteriosclerotic vascular disease' OR 'arteriosclerotic vascular diseases' OR 'arteriosclerotic vascular disorder' OR 'arteriosclerotic vascular disorders' OR 'capillary disease' OR 'microangiopathia' OR 'microangiopathy' OR 'microcirculatory disease' OR 'microvascular angiopathy' OR 'microvascular disease' OR 'microvasculatory disease' OR 'microvasculopathy' OR 'Nephroscleroses' OR 'nephrosclerosis' OR 'renal arteriosclerosis' OR 'renal atherosclerosis' OR 'renosclerosis' OR 'thrombotic microangiopathies' OR 'Thrombotic Microangiopathy' OR 'Vascular lesions' OR 'vascular nephrosclerosis' OR 'vascular scleroses' OR 'vascular sclerosis'</w:t>
            </w:r>
          </w:p>
        </w:tc>
        <w:tc>
          <w:tcPr>
            <w:tcW w:w="1520" w:type="dxa"/>
            <w:tcBorders>
              <w:top w:val="nil"/>
              <w:left w:val="nil"/>
              <w:bottom w:val="nil"/>
              <w:right w:val="nil"/>
            </w:tcBorders>
          </w:tcPr>
          <w:p w14:paraId="12E4675C">
            <w:pPr>
              <w:spacing w:after="0" w:line="240" w:lineRule="auto"/>
              <w:rPr>
                <w:rFonts w:cs="Times New Roman"/>
                <w:sz w:val="20"/>
                <w:szCs w:val="20"/>
              </w:rPr>
            </w:pPr>
            <w:r>
              <w:rPr>
                <w:rFonts w:cs="Times New Roman"/>
                <w:sz w:val="20"/>
                <w:szCs w:val="20"/>
              </w:rPr>
              <w:t>14</w:t>
            </w:r>
            <w:r>
              <w:rPr>
                <w:rFonts w:hint="eastAsia" w:cs="Times New Roman"/>
                <w:sz w:val="20"/>
                <w:szCs w:val="20"/>
              </w:rPr>
              <w:t>,</w:t>
            </w:r>
            <w:r>
              <w:rPr>
                <w:rFonts w:cs="Times New Roman"/>
                <w:sz w:val="20"/>
                <w:szCs w:val="20"/>
              </w:rPr>
              <w:t>145</w:t>
            </w:r>
          </w:p>
        </w:tc>
      </w:tr>
      <w:tr w14:paraId="56C0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46" w:type="dxa"/>
            <w:tcBorders>
              <w:top w:val="nil"/>
              <w:left w:val="nil"/>
              <w:bottom w:val="single" w:color="auto" w:sz="4" w:space="0"/>
              <w:right w:val="nil"/>
            </w:tcBorders>
          </w:tcPr>
          <w:p w14:paraId="3222E261">
            <w:pPr>
              <w:spacing w:after="0" w:line="240" w:lineRule="auto"/>
              <w:rPr>
                <w:rFonts w:cs="Times New Roman"/>
                <w:sz w:val="20"/>
                <w:szCs w:val="20"/>
              </w:rPr>
            </w:pPr>
            <w:r>
              <w:rPr>
                <w:rFonts w:hint="eastAsia" w:cs="Times New Roman"/>
                <w:sz w:val="20"/>
                <w:szCs w:val="20"/>
              </w:rPr>
              <w:t>5</w:t>
            </w:r>
          </w:p>
        </w:tc>
        <w:tc>
          <w:tcPr>
            <w:tcW w:w="6434" w:type="dxa"/>
            <w:tcBorders>
              <w:top w:val="nil"/>
              <w:left w:val="nil"/>
              <w:bottom w:val="single" w:color="auto" w:sz="4" w:space="0"/>
              <w:right w:val="nil"/>
            </w:tcBorders>
          </w:tcPr>
          <w:p w14:paraId="7F53835E">
            <w:pPr>
              <w:spacing w:after="0" w:line="240" w:lineRule="auto"/>
              <w:rPr>
                <w:rFonts w:cs="Times New Roman"/>
                <w:sz w:val="20"/>
                <w:szCs w:val="20"/>
              </w:rPr>
            </w:pPr>
            <w:r>
              <w:rPr>
                <w:rFonts w:cs="Times New Roman"/>
                <w:sz w:val="20"/>
                <w:szCs w:val="20"/>
              </w:rPr>
              <w:t>(#1 OR #2) AND (#3 OR #4)</w:t>
            </w:r>
          </w:p>
        </w:tc>
        <w:tc>
          <w:tcPr>
            <w:tcW w:w="1520" w:type="dxa"/>
            <w:tcBorders>
              <w:top w:val="nil"/>
              <w:left w:val="nil"/>
              <w:bottom w:val="single" w:color="auto" w:sz="4" w:space="0"/>
              <w:right w:val="nil"/>
            </w:tcBorders>
          </w:tcPr>
          <w:p w14:paraId="41E3AF13">
            <w:pPr>
              <w:keepNext w:val="0"/>
              <w:keepLines w:val="0"/>
              <w:pageBreakBefore w:val="0"/>
              <w:widowControl w:val="0"/>
              <w:kinsoku/>
              <w:wordWrap/>
              <w:overflowPunct/>
              <w:topLinePunct w:val="0"/>
              <w:autoSpaceDE/>
              <w:autoSpaceDN/>
              <w:bidi w:val="0"/>
              <w:adjustRightInd/>
              <w:snapToGrid/>
              <w:spacing w:after="0" w:line="280" w:lineRule="exact"/>
              <w:textAlignment w:val="auto"/>
              <w:rPr>
                <w:rFonts w:cs="Times New Roman"/>
                <w:sz w:val="20"/>
                <w:szCs w:val="20"/>
              </w:rPr>
            </w:pPr>
            <w:r>
              <w:rPr>
                <w:rFonts w:cs="Times New Roman"/>
                <w:sz w:val="20"/>
                <w:szCs w:val="20"/>
              </w:rPr>
              <w:t>173</w:t>
            </w:r>
          </w:p>
          <w:p w14:paraId="16076BEE">
            <w:pPr>
              <w:keepNext w:val="0"/>
              <w:keepLines w:val="0"/>
              <w:pageBreakBefore w:val="0"/>
              <w:widowControl w:val="0"/>
              <w:kinsoku/>
              <w:wordWrap/>
              <w:overflowPunct/>
              <w:topLinePunct w:val="0"/>
              <w:autoSpaceDE/>
              <w:autoSpaceDN/>
              <w:bidi w:val="0"/>
              <w:adjustRightInd/>
              <w:snapToGrid/>
              <w:spacing w:after="0" w:line="280" w:lineRule="exact"/>
              <w:textAlignment w:val="auto"/>
              <w:rPr>
                <w:rFonts w:hint="default" w:cs="Times New Roman"/>
                <w:sz w:val="20"/>
                <w:szCs w:val="20"/>
                <w:lang w:val="en-US" w:eastAsia="zh-CN"/>
              </w:rPr>
            </w:pPr>
            <w:r>
              <w:rPr>
                <w:rFonts w:hint="eastAsia" w:cs="Times New Roman"/>
                <w:sz w:val="20"/>
                <w:szCs w:val="20"/>
                <w:lang w:val="en-US" w:eastAsia="zh-CN"/>
              </w:rPr>
              <w:t>Triles：132</w:t>
            </w:r>
          </w:p>
          <w:p w14:paraId="466ACB2E">
            <w:pPr>
              <w:keepNext w:val="0"/>
              <w:keepLines w:val="0"/>
              <w:pageBreakBefore w:val="0"/>
              <w:widowControl w:val="0"/>
              <w:kinsoku/>
              <w:wordWrap/>
              <w:overflowPunct/>
              <w:topLinePunct w:val="0"/>
              <w:autoSpaceDE/>
              <w:autoSpaceDN/>
              <w:bidi w:val="0"/>
              <w:adjustRightInd/>
              <w:snapToGrid/>
              <w:spacing w:after="0" w:line="280" w:lineRule="exact"/>
              <w:textAlignment w:val="auto"/>
              <w:rPr>
                <w:rFonts w:hint="default" w:eastAsia="微软雅黑" w:cs="Times New Roman"/>
                <w:sz w:val="20"/>
                <w:szCs w:val="20"/>
                <w:lang w:val="en-US" w:eastAsia="zh-CN"/>
              </w:rPr>
            </w:pPr>
            <w:r>
              <w:rPr>
                <w:rFonts w:hint="eastAsia" w:cs="Times New Roman"/>
                <w:sz w:val="20"/>
                <w:szCs w:val="20"/>
                <w:lang w:eastAsia="zh-CN"/>
              </w:rPr>
              <w:t>Review</w:t>
            </w:r>
            <w:r>
              <w:rPr>
                <w:rFonts w:hint="eastAsia" w:cs="Times New Roman"/>
                <w:sz w:val="20"/>
                <w:szCs w:val="20"/>
                <w:lang w:val="en-US" w:eastAsia="zh-CN"/>
              </w:rPr>
              <w:t>：41</w:t>
            </w:r>
          </w:p>
        </w:tc>
      </w:tr>
    </w:tbl>
    <w:p w14:paraId="29125DC4">
      <w:pPr>
        <w:rPr>
          <w:rFonts w:cs="Times New Roman"/>
        </w:rPr>
      </w:pPr>
    </w:p>
    <w:p w14:paraId="40A3F6CE">
      <w:pPr>
        <w:rPr>
          <w:b/>
          <w:bCs/>
        </w:rPr>
      </w:pPr>
      <w:r>
        <w:rPr>
          <w:rFonts w:hint="eastAsia"/>
          <w:b/>
          <w:bCs/>
        </w:rPr>
        <w:t>WOS</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434"/>
        <w:gridCol w:w="1016"/>
      </w:tblGrid>
      <w:tr w14:paraId="4FB1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left w:val="nil"/>
              <w:bottom w:val="single" w:color="auto" w:sz="4" w:space="0"/>
              <w:right w:val="nil"/>
            </w:tcBorders>
          </w:tcPr>
          <w:p w14:paraId="6D400510">
            <w:pPr>
              <w:spacing w:after="0" w:line="240" w:lineRule="auto"/>
              <w:rPr>
                <w:rFonts w:cs="Times New Roman"/>
                <w:sz w:val="20"/>
                <w:szCs w:val="20"/>
              </w:rPr>
            </w:pPr>
            <w:r>
              <w:rPr>
                <w:rFonts w:cs="Times New Roman"/>
                <w:sz w:val="20"/>
                <w:szCs w:val="20"/>
              </w:rPr>
              <w:t>Search number</w:t>
            </w:r>
          </w:p>
        </w:tc>
        <w:tc>
          <w:tcPr>
            <w:tcW w:w="6434" w:type="dxa"/>
            <w:tcBorders>
              <w:left w:val="nil"/>
              <w:bottom w:val="single" w:color="auto" w:sz="4" w:space="0"/>
              <w:right w:val="nil"/>
            </w:tcBorders>
          </w:tcPr>
          <w:p w14:paraId="4C0F3AE9">
            <w:pPr>
              <w:spacing w:after="0" w:line="240" w:lineRule="auto"/>
              <w:rPr>
                <w:rFonts w:cs="Times New Roman"/>
                <w:sz w:val="20"/>
                <w:szCs w:val="20"/>
              </w:rPr>
            </w:pPr>
            <w:r>
              <w:rPr>
                <w:rFonts w:cs="Times New Roman"/>
                <w:sz w:val="20"/>
                <w:szCs w:val="20"/>
              </w:rPr>
              <w:t>Query</w:t>
            </w:r>
          </w:p>
        </w:tc>
        <w:tc>
          <w:tcPr>
            <w:tcW w:w="1016" w:type="dxa"/>
            <w:tcBorders>
              <w:left w:val="nil"/>
              <w:bottom w:val="single" w:color="auto" w:sz="4" w:space="0"/>
              <w:right w:val="nil"/>
            </w:tcBorders>
          </w:tcPr>
          <w:p w14:paraId="7F53DF79">
            <w:pPr>
              <w:spacing w:after="0" w:line="240" w:lineRule="auto"/>
              <w:rPr>
                <w:rFonts w:cs="Times New Roman"/>
                <w:sz w:val="20"/>
                <w:szCs w:val="20"/>
              </w:rPr>
            </w:pPr>
            <w:r>
              <w:rPr>
                <w:rFonts w:cs="Times New Roman"/>
                <w:sz w:val="20"/>
                <w:szCs w:val="20"/>
              </w:rPr>
              <w:t>Results</w:t>
            </w:r>
          </w:p>
        </w:tc>
      </w:tr>
      <w:tr w14:paraId="0A4C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left w:val="nil"/>
              <w:bottom w:val="nil"/>
              <w:right w:val="nil"/>
            </w:tcBorders>
          </w:tcPr>
          <w:p w14:paraId="57872343">
            <w:pPr>
              <w:spacing w:after="0" w:line="240" w:lineRule="auto"/>
              <w:rPr>
                <w:rFonts w:cs="Times New Roman"/>
                <w:sz w:val="20"/>
                <w:szCs w:val="20"/>
              </w:rPr>
            </w:pPr>
            <w:r>
              <w:rPr>
                <w:rFonts w:hint="eastAsia" w:cs="Times New Roman"/>
                <w:sz w:val="20"/>
                <w:szCs w:val="20"/>
              </w:rPr>
              <w:t>1</w:t>
            </w:r>
          </w:p>
        </w:tc>
        <w:tc>
          <w:tcPr>
            <w:tcW w:w="6434" w:type="dxa"/>
            <w:tcBorders>
              <w:left w:val="nil"/>
              <w:bottom w:val="nil"/>
              <w:right w:val="nil"/>
            </w:tcBorders>
          </w:tcPr>
          <w:p w14:paraId="7660A418">
            <w:pPr>
              <w:spacing w:after="0" w:line="240" w:lineRule="auto"/>
              <w:rPr>
                <w:rFonts w:cs="Times New Roman"/>
                <w:sz w:val="20"/>
                <w:szCs w:val="20"/>
              </w:rPr>
            </w:pPr>
            <w:r>
              <w:rPr>
                <w:rFonts w:cs="Times New Roman"/>
                <w:sz w:val="20"/>
                <w:szCs w:val="20"/>
              </w:rPr>
              <w:t>TS=((Berger Disease) OR (Berger nephropathy) OR (Bergers Disease) OR (Bergers glomerulonephritis) OR (Bergers nephropathy) OR (IgA associated glomerulonephritis) OR (IgA associated nephropathy) OR (IgA dominant glomerulonephritis) OR (IgA glomerular nephritis) OR (IgA glomerulo nephritis) OR (IgA glomerulonephritis) OR (IgA induced nephropathy) OR (IgA nephropathy) OR (Iga Nephropathy 1) OR (IgA nephrotic syndrome) OR (IgA related nephropathy) OR (IGA Type Nephritis) OR (IgAN immunoglobulin A nephropathy) OR (immunoglobulin A glomerulonephritis) OR (immunoglobulin A glomerulopathy) OR (immunoglobulin A nephropathy) OR (immunoglobulin A type nephropathy))</w:t>
            </w:r>
            <w:r>
              <w:rPr>
                <w:rFonts w:cs="Times New Roman"/>
                <w:sz w:val="20"/>
                <w:szCs w:val="20"/>
              </w:rPr>
              <w:tab/>
            </w:r>
            <w:r>
              <w:rPr>
                <w:rFonts w:cs="Times New Roman"/>
                <w:sz w:val="20"/>
                <w:szCs w:val="20"/>
              </w:rPr>
              <w:tab/>
            </w:r>
          </w:p>
        </w:tc>
        <w:tc>
          <w:tcPr>
            <w:tcW w:w="1016" w:type="dxa"/>
            <w:tcBorders>
              <w:left w:val="nil"/>
              <w:bottom w:val="nil"/>
              <w:right w:val="nil"/>
            </w:tcBorders>
          </w:tcPr>
          <w:p w14:paraId="748415FD">
            <w:pPr>
              <w:spacing w:after="0" w:line="240" w:lineRule="auto"/>
              <w:rPr>
                <w:rFonts w:cs="Times New Roman"/>
                <w:sz w:val="20"/>
                <w:szCs w:val="20"/>
              </w:rPr>
            </w:pPr>
            <w:r>
              <w:rPr>
                <w:rFonts w:cs="Times New Roman"/>
                <w:sz w:val="20"/>
                <w:szCs w:val="20"/>
              </w:rPr>
              <w:t>11</w:t>
            </w:r>
            <w:r>
              <w:rPr>
                <w:rFonts w:hint="eastAsia" w:cs="Times New Roman"/>
                <w:sz w:val="20"/>
                <w:szCs w:val="20"/>
              </w:rPr>
              <w:t>,</w:t>
            </w:r>
            <w:r>
              <w:rPr>
                <w:rFonts w:cs="Times New Roman"/>
                <w:sz w:val="20"/>
                <w:szCs w:val="20"/>
              </w:rPr>
              <w:t>812</w:t>
            </w:r>
          </w:p>
        </w:tc>
      </w:tr>
      <w:tr w14:paraId="40D0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nil"/>
              <w:right w:val="nil"/>
            </w:tcBorders>
          </w:tcPr>
          <w:p w14:paraId="36B25B93">
            <w:pPr>
              <w:spacing w:after="0" w:line="240" w:lineRule="auto"/>
              <w:rPr>
                <w:rFonts w:cs="Times New Roman"/>
                <w:sz w:val="20"/>
                <w:szCs w:val="20"/>
              </w:rPr>
            </w:pPr>
            <w:r>
              <w:rPr>
                <w:rFonts w:hint="eastAsia" w:cs="Times New Roman"/>
                <w:sz w:val="20"/>
                <w:szCs w:val="20"/>
              </w:rPr>
              <w:t>2</w:t>
            </w:r>
          </w:p>
        </w:tc>
        <w:tc>
          <w:tcPr>
            <w:tcW w:w="6434" w:type="dxa"/>
            <w:tcBorders>
              <w:top w:val="nil"/>
              <w:left w:val="nil"/>
              <w:bottom w:val="nil"/>
              <w:right w:val="nil"/>
            </w:tcBorders>
          </w:tcPr>
          <w:p w14:paraId="736FE7EC">
            <w:pPr>
              <w:spacing w:after="0" w:line="240" w:lineRule="auto"/>
              <w:rPr>
                <w:rFonts w:cs="Times New Roman"/>
                <w:sz w:val="20"/>
                <w:szCs w:val="20"/>
              </w:rPr>
            </w:pPr>
            <w:r>
              <w:rPr>
                <w:rFonts w:cs="Times New Roman"/>
                <w:sz w:val="20"/>
                <w:szCs w:val="20"/>
              </w:rPr>
              <w:t>TS=((Arterial lesions) OR (arterial sclerosis) OR (arterioscleroses) OR (arteriosclerosis) OR (arterio-sclerosis) OR (arteriosclerotic disease) OR (arteriosclerotic diseases) OR (arteriosclerotic disorder) OR (arteriosclerotic disorders) OR (arteriosclerotic vascular disease) OR (arteriosclerotic vascular diseases) OR (arteriosclerotic vascular disorder) OR (arteriosclerotic vascular disorders) OR (capillary disease) OR (microangiopathia) OR (microangiopathy) OR (microcirculatory disease) OR (microvascular angiopathy) OR (microvascular disease) OR (microvasculatory disease) OR (microvasculopathy) OR (Nephroscleroses) OR (nephrosclerosis) OR (renal arteriosclerosis) OR (renal atherosclerosis) OR (renosclerosis) OR (thrombotic microangiopathies) OR (Thrombotic Microangiopathy) OR (Vascular lesions) OR (vascular nephrosclerosis) OR (vascular scleroses) OR (vascular sclerosis))</w:t>
            </w:r>
            <w:r>
              <w:rPr>
                <w:rFonts w:cs="Times New Roman"/>
                <w:sz w:val="20"/>
                <w:szCs w:val="20"/>
              </w:rPr>
              <w:tab/>
            </w:r>
            <w:r>
              <w:rPr>
                <w:rFonts w:cs="Times New Roman"/>
                <w:sz w:val="20"/>
                <w:szCs w:val="20"/>
              </w:rPr>
              <w:tab/>
            </w:r>
          </w:p>
        </w:tc>
        <w:tc>
          <w:tcPr>
            <w:tcW w:w="1016" w:type="dxa"/>
            <w:tcBorders>
              <w:top w:val="nil"/>
              <w:left w:val="nil"/>
              <w:bottom w:val="nil"/>
              <w:right w:val="nil"/>
            </w:tcBorders>
          </w:tcPr>
          <w:p w14:paraId="27213A8D">
            <w:pPr>
              <w:spacing w:after="0" w:line="240" w:lineRule="auto"/>
              <w:rPr>
                <w:rFonts w:cs="Times New Roman"/>
                <w:sz w:val="20"/>
                <w:szCs w:val="20"/>
              </w:rPr>
            </w:pPr>
            <w:r>
              <w:rPr>
                <w:rFonts w:cs="Times New Roman"/>
                <w:sz w:val="20"/>
                <w:szCs w:val="20"/>
              </w:rPr>
              <w:t>140</w:t>
            </w:r>
            <w:r>
              <w:rPr>
                <w:rFonts w:hint="eastAsia" w:cs="Times New Roman"/>
                <w:sz w:val="20"/>
                <w:szCs w:val="20"/>
              </w:rPr>
              <w:t>,</w:t>
            </w:r>
            <w:r>
              <w:rPr>
                <w:rFonts w:cs="Times New Roman"/>
                <w:sz w:val="20"/>
                <w:szCs w:val="20"/>
              </w:rPr>
              <w:t>236</w:t>
            </w:r>
          </w:p>
        </w:tc>
      </w:tr>
      <w:tr w14:paraId="45CB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Borders>
              <w:top w:val="nil"/>
              <w:left w:val="nil"/>
              <w:bottom w:val="single" w:color="auto" w:sz="4" w:space="0"/>
              <w:right w:val="nil"/>
            </w:tcBorders>
          </w:tcPr>
          <w:p w14:paraId="0813762E">
            <w:pPr>
              <w:spacing w:after="0" w:line="240" w:lineRule="auto"/>
              <w:rPr>
                <w:rFonts w:cs="Times New Roman"/>
                <w:sz w:val="20"/>
                <w:szCs w:val="20"/>
              </w:rPr>
            </w:pPr>
            <w:r>
              <w:rPr>
                <w:rFonts w:hint="eastAsia" w:cs="Times New Roman"/>
                <w:sz w:val="20"/>
                <w:szCs w:val="20"/>
              </w:rPr>
              <w:t>3</w:t>
            </w:r>
          </w:p>
        </w:tc>
        <w:tc>
          <w:tcPr>
            <w:tcW w:w="6434" w:type="dxa"/>
            <w:tcBorders>
              <w:top w:val="nil"/>
              <w:left w:val="nil"/>
              <w:bottom w:val="single" w:color="auto" w:sz="4" w:space="0"/>
              <w:right w:val="nil"/>
            </w:tcBorders>
          </w:tcPr>
          <w:p w14:paraId="6DA96B3F">
            <w:pPr>
              <w:spacing w:after="0" w:line="240" w:lineRule="auto"/>
              <w:rPr>
                <w:rFonts w:cs="Times New Roman"/>
                <w:sz w:val="20"/>
                <w:szCs w:val="20"/>
              </w:rPr>
            </w:pPr>
            <w:r>
              <w:rPr>
                <w:rFonts w:cs="Times New Roman"/>
                <w:sz w:val="20"/>
                <w:szCs w:val="20"/>
              </w:rPr>
              <w:t>L#2 AND #1</w:t>
            </w:r>
            <w:r>
              <w:rPr>
                <w:rFonts w:cs="Times New Roman"/>
                <w:sz w:val="20"/>
                <w:szCs w:val="20"/>
              </w:rPr>
              <w:tab/>
            </w:r>
            <w:r>
              <w:rPr>
                <w:rFonts w:cs="Times New Roman"/>
                <w:sz w:val="20"/>
                <w:szCs w:val="20"/>
              </w:rPr>
              <w:tab/>
            </w:r>
          </w:p>
        </w:tc>
        <w:tc>
          <w:tcPr>
            <w:tcW w:w="1016" w:type="dxa"/>
            <w:tcBorders>
              <w:top w:val="nil"/>
              <w:left w:val="nil"/>
              <w:bottom w:val="single" w:color="auto" w:sz="4" w:space="0"/>
              <w:right w:val="nil"/>
            </w:tcBorders>
          </w:tcPr>
          <w:p w14:paraId="178433FE">
            <w:pPr>
              <w:spacing w:after="0" w:line="240" w:lineRule="auto"/>
              <w:rPr>
                <w:rFonts w:cs="Times New Roman"/>
                <w:sz w:val="20"/>
                <w:szCs w:val="20"/>
              </w:rPr>
            </w:pPr>
            <w:r>
              <w:rPr>
                <w:rFonts w:cs="Times New Roman"/>
                <w:sz w:val="20"/>
                <w:szCs w:val="20"/>
              </w:rPr>
              <w:t>730</w:t>
            </w:r>
          </w:p>
        </w:tc>
      </w:tr>
    </w:tbl>
    <w:p w14:paraId="2AD030CA">
      <w:pPr>
        <w:rPr>
          <w:rFonts w:cs="Times New Roman"/>
        </w:rPr>
      </w:pPr>
    </w:p>
    <w:p w14:paraId="395771D3">
      <w:pPr>
        <w:rPr>
          <w:rFonts w:hint="eastAsia" w:eastAsia="微软雅黑" w:cs="Times New Roman"/>
          <w:lang w:val="en-US" w:eastAsia="zh-CN"/>
        </w:rPr>
        <w:sectPr>
          <w:footerReference r:id="rId5" w:type="default"/>
          <w:pgSz w:w="11906" w:h="16838"/>
          <w:pgMar w:top="1440" w:right="1800" w:bottom="1440" w:left="1800" w:header="851" w:footer="992" w:gutter="0"/>
          <w:cols w:space="425" w:num="1"/>
          <w:docGrid w:type="lines" w:linePitch="312" w:charSpace="0"/>
        </w:sectPr>
      </w:pPr>
      <w:r>
        <w:rPr>
          <w:rFonts w:hint="eastAsia" w:ascii="Times New Roman" w:hAnsi="Times New Roman" w:cs="Times New Roman"/>
          <w:sz w:val="22"/>
        </w:rPr>
        <w:t>No eligible literature was identified from the grey literature and reference lists of other relevant studies</w:t>
      </w:r>
      <w:r>
        <w:rPr>
          <w:rFonts w:hint="eastAsia" w:cs="Times New Roman"/>
          <w:sz w:val="22"/>
          <w:lang w:val="en-US" w:eastAsia="zh-CN"/>
        </w:rPr>
        <w:t>.</w:t>
      </w:r>
    </w:p>
    <w:p w14:paraId="1E6BF490">
      <w:pPr>
        <w:rPr>
          <w:rFonts w:cs="Times New Roman"/>
          <w:b/>
          <w:bCs/>
        </w:rPr>
      </w:pPr>
      <w:r>
        <w:rPr>
          <w:rFonts w:cs="Times New Roman"/>
          <w:b/>
          <w:bCs/>
        </w:rPr>
        <w:t xml:space="preserve">Table </w:t>
      </w:r>
      <w:r>
        <w:rPr>
          <w:rFonts w:hint="eastAsia" w:cs="Times New Roman"/>
          <w:b/>
          <w:bCs/>
        </w:rPr>
        <w:t>S</w:t>
      </w:r>
      <w:r>
        <w:rPr>
          <w:rFonts w:cs="Times New Roman"/>
          <w:b/>
          <w:bCs/>
        </w:rPr>
        <w:t>2</w:t>
      </w:r>
      <w:r>
        <w:rPr>
          <w:rFonts w:hint="eastAsia" w:cs="Times New Roman"/>
          <w:b/>
          <w:bCs/>
        </w:rPr>
        <w:t xml:space="preserve"> </w:t>
      </w:r>
      <w:r>
        <w:rPr>
          <w:rFonts w:hint="eastAsia"/>
          <w:b/>
          <w:bCs/>
        </w:rPr>
        <w:t>Quality assessment scores for included studies</w:t>
      </w:r>
    </w:p>
    <w:tbl>
      <w:tblPr>
        <w:tblStyle w:val="16"/>
        <w:tblW w:w="9156"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2608"/>
        <w:gridCol w:w="503"/>
        <w:gridCol w:w="503"/>
        <w:gridCol w:w="503"/>
        <w:gridCol w:w="596"/>
        <w:gridCol w:w="1498"/>
        <w:gridCol w:w="569"/>
        <w:gridCol w:w="569"/>
        <w:gridCol w:w="571"/>
        <w:gridCol w:w="1236"/>
      </w:tblGrid>
      <w:tr w14:paraId="73316D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vMerge w:val="restart"/>
            <w:tcBorders>
              <w:top w:val="single" w:color="auto" w:sz="4" w:space="0"/>
              <w:bottom w:val="nil"/>
            </w:tcBorders>
            <w:shd w:val="clear" w:color="auto" w:fill="FFFFFF" w:themeFill="background1"/>
            <w:noWrap/>
            <w:vAlign w:val="center"/>
          </w:tcPr>
          <w:p w14:paraId="2E91FB3A">
            <w:pPr>
              <w:widowControl/>
              <w:spacing w:after="0" w:line="240" w:lineRule="auto"/>
              <w:jc w:val="center"/>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Author, year</w:t>
            </w:r>
          </w:p>
        </w:tc>
        <w:tc>
          <w:tcPr>
            <w:tcW w:w="2105" w:type="dxa"/>
            <w:gridSpan w:val="4"/>
            <w:tcBorders>
              <w:top w:val="single" w:color="auto" w:sz="4" w:space="0"/>
              <w:bottom w:val="nil"/>
            </w:tcBorders>
            <w:shd w:val="clear" w:color="auto" w:fill="FFFFFF" w:themeFill="background1"/>
            <w:noWrap/>
            <w:vAlign w:val="center"/>
          </w:tcPr>
          <w:p w14:paraId="315F9B6A">
            <w:pPr>
              <w:widowControl/>
              <w:spacing w:after="0" w:line="240" w:lineRule="auto"/>
              <w:jc w:val="center"/>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selection</w:t>
            </w:r>
          </w:p>
        </w:tc>
        <w:tc>
          <w:tcPr>
            <w:tcW w:w="1498" w:type="dxa"/>
            <w:tcBorders>
              <w:top w:val="single" w:color="auto" w:sz="4" w:space="0"/>
              <w:bottom w:val="nil"/>
            </w:tcBorders>
            <w:shd w:val="clear" w:color="auto" w:fill="FFFFFF" w:themeFill="background1"/>
            <w:noWrap/>
            <w:vAlign w:val="center"/>
          </w:tcPr>
          <w:p w14:paraId="3BDA05F4">
            <w:pPr>
              <w:widowControl/>
              <w:spacing w:after="0" w:line="240" w:lineRule="auto"/>
              <w:jc w:val="center"/>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Comparability</w:t>
            </w:r>
          </w:p>
        </w:tc>
        <w:tc>
          <w:tcPr>
            <w:tcW w:w="1709" w:type="dxa"/>
            <w:gridSpan w:val="3"/>
            <w:tcBorders>
              <w:top w:val="single" w:color="auto" w:sz="4" w:space="0"/>
              <w:bottom w:val="nil"/>
            </w:tcBorders>
            <w:shd w:val="clear" w:color="auto" w:fill="FFFFFF" w:themeFill="background1"/>
            <w:noWrap/>
            <w:vAlign w:val="center"/>
          </w:tcPr>
          <w:p w14:paraId="36233051">
            <w:pPr>
              <w:widowControl/>
              <w:spacing w:after="0" w:line="240" w:lineRule="auto"/>
              <w:jc w:val="center"/>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Outcome</w:t>
            </w:r>
          </w:p>
        </w:tc>
        <w:tc>
          <w:tcPr>
            <w:tcW w:w="1236" w:type="dxa"/>
            <w:vMerge w:val="restart"/>
            <w:tcBorders>
              <w:top w:val="single" w:color="auto" w:sz="4" w:space="0"/>
              <w:bottom w:val="single" w:color="auto" w:sz="4" w:space="0"/>
            </w:tcBorders>
            <w:shd w:val="clear" w:color="auto" w:fill="FFFFFF" w:themeFill="background1"/>
            <w:noWrap/>
            <w:vAlign w:val="center"/>
          </w:tcPr>
          <w:p w14:paraId="7F01629F">
            <w:pPr>
              <w:widowControl/>
              <w:spacing w:after="0" w:line="240" w:lineRule="auto"/>
              <w:jc w:val="center"/>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Total Score</w:t>
            </w:r>
          </w:p>
        </w:tc>
      </w:tr>
      <w:tr w14:paraId="0A1B40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vMerge w:val="continue"/>
            <w:tcBorders>
              <w:top w:val="nil"/>
              <w:bottom w:val="single" w:color="auto" w:sz="4" w:space="0"/>
            </w:tcBorders>
            <w:shd w:val="clear" w:color="auto" w:fill="FFFFFF" w:themeFill="background1"/>
            <w:noWrap/>
            <w:vAlign w:val="center"/>
          </w:tcPr>
          <w:p w14:paraId="4A4BCECA">
            <w:pPr>
              <w:spacing w:after="0" w:line="240" w:lineRule="auto"/>
              <w:rPr>
                <w:rFonts w:eastAsia="等线" w:cs="Times New Roman"/>
                <w:color w:val="000000"/>
                <w:sz w:val="21"/>
                <w:szCs w:val="21"/>
              </w:rPr>
            </w:pPr>
          </w:p>
        </w:tc>
        <w:tc>
          <w:tcPr>
            <w:tcW w:w="503" w:type="dxa"/>
            <w:tcBorders>
              <w:top w:val="nil"/>
              <w:bottom w:val="single" w:color="auto" w:sz="4" w:space="0"/>
            </w:tcBorders>
            <w:shd w:val="clear" w:color="auto" w:fill="FFFFFF" w:themeFill="background1"/>
            <w:noWrap/>
            <w:vAlign w:val="center"/>
          </w:tcPr>
          <w:p w14:paraId="59490136">
            <w:pPr>
              <w:widowControl/>
              <w:spacing w:after="0" w:line="240" w:lineRule="auto"/>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#1</w:t>
            </w:r>
          </w:p>
        </w:tc>
        <w:tc>
          <w:tcPr>
            <w:tcW w:w="503" w:type="dxa"/>
            <w:tcBorders>
              <w:top w:val="nil"/>
              <w:bottom w:val="single" w:color="auto" w:sz="4" w:space="0"/>
            </w:tcBorders>
            <w:shd w:val="clear" w:color="auto" w:fill="FFFFFF" w:themeFill="background1"/>
            <w:noWrap/>
            <w:vAlign w:val="center"/>
          </w:tcPr>
          <w:p w14:paraId="60C048AF">
            <w:pPr>
              <w:widowControl/>
              <w:spacing w:after="0" w:line="240" w:lineRule="auto"/>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#2</w:t>
            </w:r>
          </w:p>
        </w:tc>
        <w:tc>
          <w:tcPr>
            <w:tcW w:w="503" w:type="dxa"/>
            <w:tcBorders>
              <w:top w:val="nil"/>
              <w:bottom w:val="single" w:color="auto" w:sz="4" w:space="0"/>
            </w:tcBorders>
            <w:shd w:val="clear" w:color="auto" w:fill="FFFFFF" w:themeFill="background1"/>
            <w:noWrap/>
            <w:vAlign w:val="center"/>
          </w:tcPr>
          <w:p w14:paraId="4BB15A22">
            <w:pPr>
              <w:widowControl/>
              <w:spacing w:after="0" w:line="240" w:lineRule="auto"/>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#3</w:t>
            </w:r>
          </w:p>
        </w:tc>
        <w:tc>
          <w:tcPr>
            <w:tcW w:w="596" w:type="dxa"/>
            <w:tcBorders>
              <w:top w:val="nil"/>
              <w:bottom w:val="single" w:color="auto" w:sz="4" w:space="0"/>
            </w:tcBorders>
            <w:shd w:val="clear" w:color="auto" w:fill="FFFFFF" w:themeFill="background1"/>
            <w:noWrap/>
            <w:vAlign w:val="center"/>
          </w:tcPr>
          <w:p w14:paraId="6DDBAE27">
            <w:pPr>
              <w:widowControl/>
              <w:spacing w:after="0" w:line="240" w:lineRule="auto"/>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#4</w:t>
            </w:r>
          </w:p>
        </w:tc>
        <w:tc>
          <w:tcPr>
            <w:tcW w:w="1498" w:type="dxa"/>
            <w:tcBorders>
              <w:top w:val="nil"/>
              <w:bottom w:val="single" w:color="auto" w:sz="4" w:space="0"/>
            </w:tcBorders>
            <w:shd w:val="clear" w:color="auto" w:fill="FFFFFF" w:themeFill="background1"/>
            <w:noWrap/>
            <w:vAlign w:val="center"/>
          </w:tcPr>
          <w:p w14:paraId="1FB50C46">
            <w:pPr>
              <w:widowControl/>
              <w:spacing w:after="0" w:line="240" w:lineRule="auto"/>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#1</w:t>
            </w:r>
          </w:p>
        </w:tc>
        <w:tc>
          <w:tcPr>
            <w:tcW w:w="569" w:type="dxa"/>
            <w:tcBorders>
              <w:top w:val="nil"/>
              <w:bottom w:val="single" w:color="auto" w:sz="4" w:space="0"/>
            </w:tcBorders>
            <w:shd w:val="clear" w:color="auto" w:fill="FFFFFF" w:themeFill="background1"/>
            <w:noWrap/>
            <w:vAlign w:val="center"/>
          </w:tcPr>
          <w:p w14:paraId="7FA4A7E0">
            <w:pPr>
              <w:widowControl/>
              <w:spacing w:after="0" w:line="240" w:lineRule="auto"/>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#1</w:t>
            </w:r>
          </w:p>
        </w:tc>
        <w:tc>
          <w:tcPr>
            <w:tcW w:w="569" w:type="dxa"/>
            <w:tcBorders>
              <w:top w:val="nil"/>
              <w:bottom w:val="single" w:color="auto" w:sz="4" w:space="0"/>
            </w:tcBorders>
            <w:shd w:val="clear" w:color="auto" w:fill="FFFFFF" w:themeFill="background1"/>
            <w:noWrap/>
            <w:vAlign w:val="center"/>
          </w:tcPr>
          <w:p w14:paraId="6AC94365">
            <w:pPr>
              <w:widowControl/>
              <w:spacing w:after="0" w:line="240" w:lineRule="auto"/>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#2</w:t>
            </w:r>
          </w:p>
        </w:tc>
        <w:tc>
          <w:tcPr>
            <w:tcW w:w="571" w:type="dxa"/>
            <w:tcBorders>
              <w:top w:val="nil"/>
              <w:bottom w:val="single" w:color="auto" w:sz="4" w:space="0"/>
            </w:tcBorders>
            <w:shd w:val="clear" w:color="auto" w:fill="FFFFFF" w:themeFill="background1"/>
            <w:noWrap/>
            <w:vAlign w:val="center"/>
          </w:tcPr>
          <w:p w14:paraId="462B5FD2">
            <w:pPr>
              <w:widowControl/>
              <w:spacing w:after="0" w:line="240" w:lineRule="auto"/>
              <w:textAlignment w:val="center"/>
              <w:rPr>
                <w:rFonts w:eastAsia="等线" w:cs="Times New Roman"/>
                <w:color w:val="000000"/>
                <w:sz w:val="21"/>
                <w:szCs w:val="21"/>
              </w:rPr>
            </w:pPr>
            <w:r>
              <w:rPr>
                <w:rStyle w:val="45"/>
                <w:rFonts w:hint="default" w:ascii="Times New Roman" w:hAnsi="Times New Roman" w:eastAsia="等线" w:cs="Times New Roman"/>
                <w:sz w:val="21"/>
                <w:szCs w:val="21"/>
                <w:lang w:bidi="ar"/>
              </w:rPr>
              <w:t>#3</w:t>
            </w:r>
          </w:p>
        </w:tc>
        <w:tc>
          <w:tcPr>
            <w:tcW w:w="1236" w:type="dxa"/>
            <w:vMerge w:val="continue"/>
            <w:tcBorders>
              <w:top w:val="nil"/>
              <w:bottom w:val="single" w:color="auto" w:sz="4" w:space="0"/>
            </w:tcBorders>
            <w:shd w:val="clear" w:color="auto" w:fill="FFFFFF" w:themeFill="background1"/>
            <w:noWrap/>
            <w:vAlign w:val="center"/>
          </w:tcPr>
          <w:p w14:paraId="0907C4F2">
            <w:pPr>
              <w:spacing w:after="0" w:line="240" w:lineRule="auto"/>
              <w:rPr>
                <w:rFonts w:eastAsia="等线" w:cs="Times New Roman"/>
                <w:color w:val="000000"/>
                <w:sz w:val="21"/>
                <w:szCs w:val="21"/>
              </w:rPr>
            </w:pPr>
          </w:p>
        </w:tc>
      </w:tr>
      <w:tr w14:paraId="7361E9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tcBorders>
              <w:top w:val="single" w:color="auto" w:sz="4" w:space="0"/>
            </w:tcBorders>
            <w:shd w:val="clear" w:color="auto" w:fill="FFFFFF" w:themeFill="background1"/>
            <w:noWrap/>
            <w:vAlign w:val="center"/>
          </w:tcPr>
          <w:p w14:paraId="5289E866">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P. D. M. D. M. Neves 2020</w:t>
            </w:r>
          </w:p>
        </w:tc>
        <w:tc>
          <w:tcPr>
            <w:tcW w:w="503" w:type="dxa"/>
            <w:tcBorders>
              <w:top w:val="single" w:color="auto" w:sz="4" w:space="0"/>
            </w:tcBorders>
            <w:shd w:val="clear" w:color="auto" w:fill="FFFFFF" w:themeFill="background1"/>
            <w:noWrap/>
            <w:vAlign w:val="center"/>
          </w:tcPr>
          <w:p w14:paraId="0FA58173">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tcBorders>
              <w:top w:val="single" w:color="auto" w:sz="4" w:space="0"/>
            </w:tcBorders>
            <w:shd w:val="clear" w:color="auto" w:fill="FFFFFF" w:themeFill="background1"/>
            <w:noWrap/>
            <w:vAlign w:val="center"/>
          </w:tcPr>
          <w:p w14:paraId="5B63DDEF">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tcBorders>
              <w:top w:val="single" w:color="auto" w:sz="4" w:space="0"/>
            </w:tcBorders>
            <w:shd w:val="clear" w:color="auto" w:fill="FFFFFF" w:themeFill="background1"/>
            <w:noWrap/>
            <w:vAlign w:val="center"/>
          </w:tcPr>
          <w:p w14:paraId="21460CC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tcBorders>
              <w:top w:val="single" w:color="auto" w:sz="4" w:space="0"/>
            </w:tcBorders>
            <w:shd w:val="clear" w:color="auto" w:fill="FFFFFF" w:themeFill="background1"/>
            <w:noWrap/>
            <w:vAlign w:val="center"/>
          </w:tcPr>
          <w:p w14:paraId="1764871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tcBorders>
              <w:top w:val="single" w:color="auto" w:sz="4" w:space="0"/>
            </w:tcBorders>
            <w:shd w:val="clear" w:color="auto" w:fill="FFFFFF" w:themeFill="background1"/>
            <w:noWrap/>
            <w:vAlign w:val="center"/>
          </w:tcPr>
          <w:p w14:paraId="069FF0BA">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tcBorders>
              <w:top w:val="single" w:color="auto" w:sz="4" w:space="0"/>
            </w:tcBorders>
            <w:shd w:val="clear" w:color="auto" w:fill="FFFFFF" w:themeFill="background1"/>
            <w:noWrap/>
            <w:vAlign w:val="center"/>
          </w:tcPr>
          <w:p w14:paraId="40E2C1D9">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tcBorders>
              <w:top w:val="single" w:color="auto" w:sz="4" w:space="0"/>
            </w:tcBorders>
            <w:shd w:val="clear" w:color="auto" w:fill="FFFFFF" w:themeFill="background1"/>
            <w:noWrap/>
            <w:vAlign w:val="center"/>
          </w:tcPr>
          <w:p w14:paraId="56337719">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tcBorders>
              <w:top w:val="single" w:color="auto" w:sz="4" w:space="0"/>
            </w:tcBorders>
            <w:shd w:val="clear" w:color="auto" w:fill="FFFFFF" w:themeFill="background1"/>
            <w:noWrap/>
            <w:vAlign w:val="center"/>
          </w:tcPr>
          <w:p w14:paraId="0F6CEF0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tcBorders>
              <w:top w:val="single" w:color="auto" w:sz="4" w:space="0"/>
            </w:tcBorders>
            <w:shd w:val="clear" w:color="auto" w:fill="FFFFFF" w:themeFill="background1"/>
            <w:noWrap/>
            <w:vAlign w:val="center"/>
          </w:tcPr>
          <w:p w14:paraId="611B6797">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2EF453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0E4B289D">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Y. Shen, 2022</w:t>
            </w:r>
          </w:p>
        </w:tc>
        <w:tc>
          <w:tcPr>
            <w:tcW w:w="503" w:type="dxa"/>
            <w:shd w:val="clear" w:color="auto" w:fill="FFFFFF" w:themeFill="background1"/>
            <w:noWrap/>
            <w:vAlign w:val="center"/>
          </w:tcPr>
          <w:p w14:paraId="7461D218">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67C5D25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2B24062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200C4A1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1282A12F">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386E393A">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779645E7">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5B0494F8">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59D3D738">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5CF71D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6E255C38">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Q. Wu, 2025</w:t>
            </w:r>
          </w:p>
        </w:tc>
        <w:tc>
          <w:tcPr>
            <w:tcW w:w="503" w:type="dxa"/>
            <w:shd w:val="clear" w:color="auto" w:fill="FFFFFF" w:themeFill="background1"/>
            <w:noWrap/>
            <w:vAlign w:val="center"/>
          </w:tcPr>
          <w:p w14:paraId="2A4FC4A2">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51375118">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522EE22E">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6BA7DE18">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2200215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7A0B487D">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1DE8CD5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071B164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3532125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1B831B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0F2910B1">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H. T. Yang, 2024</w:t>
            </w:r>
          </w:p>
        </w:tc>
        <w:tc>
          <w:tcPr>
            <w:tcW w:w="503" w:type="dxa"/>
            <w:shd w:val="clear" w:color="auto" w:fill="FFFFFF" w:themeFill="background1"/>
            <w:noWrap/>
            <w:vAlign w:val="center"/>
          </w:tcPr>
          <w:p w14:paraId="357208E1">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72CB6A8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00C22E70">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347C2221">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1936229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4CDA78C0">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7457372D">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50EC9E33">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236" w:type="dxa"/>
            <w:shd w:val="clear" w:color="auto" w:fill="FFFFFF" w:themeFill="background1"/>
            <w:noWrap/>
            <w:vAlign w:val="center"/>
          </w:tcPr>
          <w:p w14:paraId="207DF740">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6</w:t>
            </w:r>
          </w:p>
        </w:tc>
      </w:tr>
      <w:tr w14:paraId="39820F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0FB87D21">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L. Dong, 2021</w:t>
            </w:r>
          </w:p>
        </w:tc>
        <w:tc>
          <w:tcPr>
            <w:tcW w:w="503" w:type="dxa"/>
            <w:shd w:val="clear" w:color="auto" w:fill="FFFFFF" w:themeFill="background1"/>
            <w:noWrap/>
            <w:vAlign w:val="center"/>
          </w:tcPr>
          <w:p w14:paraId="33A51489">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5F11926D">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402B447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56EDDC59">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7E2B23B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5806E898">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1C15EE7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1069ACD0">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411764C7">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1EBCDF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4D992F83">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Z. Y. Huang,</w:t>
            </w:r>
            <w:r>
              <w:rPr>
                <w:rFonts w:hint="eastAsia" w:eastAsia="等线" w:cs="Times New Roman"/>
                <w:color w:val="000000"/>
                <w:kern w:val="0"/>
                <w:sz w:val="21"/>
                <w:szCs w:val="21"/>
                <w:lang w:bidi="ar"/>
              </w:rPr>
              <w:t xml:space="preserve"> </w:t>
            </w:r>
            <w:r>
              <w:rPr>
                <w:rFonts w:eastAsia="等线" w:cs="Times New Roman"/>
                <w:color w:val="000000"/>
                <w:kern w:val="0"/>
                <w:sz w:val="21"/>
                <w:szCs w:val="21"/>
                <w:lang w:bidi="ar"/>
              </w:rPr>
              <w:t>2023</w:t>
            </w:r>
          </w:p>
        </w:tc>
        <w:tc>
          <w:tcPr>
            <w:tcW w:w="503" w:type="dxa"/>
            <w:shd w:val="clear" w:color="auto" w:fill="FFFFFF" w:themeFill="background1"/>
            <w:noWrap/>
            <w:vAlign w:val="center"/>
          </w:tcPr>
          <w:p w14:paraId="08C08D29">
            <w:pPr>
              <w:widowControl/>
              <w:spacing w:after="0" w:line="240" w:lineRule="auto"/>
              <w:jc w:val="center"/>
              <w:textAlignment w:val="center"/>
              <w:rPr>
                <w:rFonts w:hint="eastAsia" w:eastAsia="等线" w:cs="Times New Roman"/>
                <w:color w:val="000000"/>
                <w:sz w:val="21"/>
                <w:szCs w:val="21"/>
                <w:lang w:eastAsia="zh-CN"/>
              </w:rPr>
            </w:pPr>
            <w:r>
              <w:rPr>
                <w:rFonts w:hint="eastAsia" w:eastAsia="等线" w:cs="Times New Roman"/>
                <w:color w:val="000000"/>
                <w:kern w:val="0"/>
                <w:sz w:val="21"/>
                <w:szCs w:val="21"/>
                <w:lang w:val="en-US" w:eastAsia="zh-CN" w:bidi="ar"/>
              </w:rPr>
              <w:t>1</w:t>
            </w:r>
          </w:p>
        </w:tc>
        <w:tc>
          <w:tcPr>
            <w:tcW w:w="503" w:type="dxa"/>
            <w:shd w:val="clear" w:color="auto" w:fill="FFFFFF" w:themeFill="background1"/>
            <w:noWrap/>
            <w:vAlign w:val="center"/>
          </w:tcPr>
          <w:p w14:paraId="5DF405D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75908F19">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45CEA04D">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22E88B4E">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4E35074D">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6365F840">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59F1A2F0">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2604BC69">
            <w:pPr>
              <w:widowControl/>
              <w:spacing w:after="0" w:line="240" w:lineRule="auto"/>
              <w:jc w:val="center"/>
              <w:textAlignment w:val="center"/>
              <w:rPr>
                <w:rFonts w:hint="eastAsia" w:eastAsia="等线" w:cs="Times New Roman"/>
                <w:color w:val="000000"/>
                <w:sz w:val="21"/>
                <w:szCs w:val="21"/>
                <w:lang w:eastAsia="zh-CN"/>
              </w:rPr>
            </w:pPr>
            <w:r>
              <w:rPr>
                <w:rFonts w:hint="eastAsia" w:eastAsia="等线" w:cs="Times New Roman"/>
                <w:color w:val="000000"/>
                <w:kern w:val="0"/>
                <w:sz w:val="21"/>
                <w:szCs w:val="21"/>
                <w:lang w:val="en-US" w:eastAsia="zh-CN" w:bidi="ar"/>
              </w:rPr>
              <w:t>8</w:t>
            </w:r>
          </w:p>
        </w:tc>
      </w:tr>
      <w:tr w14:paraId="5E81DF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4ECBF701">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K. El Karoui,</w:t>
            </w:r>
            <w:r>
              <w:rPr>
                <w:rFonts w:hint="eastAsia" w:eastAsia="等线" w:cs="Times New Roman"/>
                <w:color w:val="000000"/>
                <w:kern w:val="0"/>
                <w:sz w:val="21"/>
                <w:szCs w:val="21"/>
                <w:lang w:bidi="ar"/>
              </w:rPr>
              <w:t xml:space="preserve"> </w:t>
            </w:r>
            <w:r>
              <w:rPr>
                <w:rFonts w:eastAsia="等线" w:cs="Times New Roman"/>
                <w:color w:val="000000"/>
                <w:kern w:val="0"/>
                <w:sz w:val="21"/>
                <w:szCs w:val="21"/>
                <w:lang w:bidi="ar"/>
              </w:rPr>
              <w:t>2012</w:t>
            </w:r>
          </w:p>
        </w:tc>
        <w:tc>
          <w:tcPr>
            <w:tcW w:w="503" w:type="dxa"/>
            <w:shd w:val="clear" w:color="auto" w:fill="FFFFFF" w:themeFill="background1"/>
            <w:noWrap/>
            <w:vAlign w:val="center"/>
          </w:tcPr>
          <w:p w14:paraId="01CFB9C8">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1916EE06">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1FB610C9">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26AEA6C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15408C71">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6858795B">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25347BA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69780569">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3C748E3F">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7</w:t>
            </w:r>
          </w:p>
        </w:tc>
      </w:tr>
      <w:tr w14:paraId="28E618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37663371">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Y. Kaneko,</w:t>
            </w:r>
            <w:r>
              <w:rPr>
                <w:rFonts w:hint="eastAsia" w:eastAsia="等线" w:cs="Times New Roman"/>
                <w:color w:val="000000"/>
                <w:kern w:val="0"/>
                <w:sz w:val="21"/>
                <w:szCs w:val="21"/>
                <w:lang w:bidi="ar"/>
              </w:rPr>
              <w:t xml:space="preserve"> </w:t>
            </w:r>
            <w:r>
              <w:rPr>
                <w:rFonts w:eastAsia="等线" w:cs="Times New Roman"/>
                <w:color w:val="000000"/>
                <w:kern w:val="0"/>
                <w:sz w:val="21"/>
                <w:szCs w:val="21"/>
                <w:lang w:bidi="ar"/>
              </w:rPr>
              <w:t>2016</w:t>
            </w:r>
          </w:p>
        </w:tc>
        <w:tc>
          <w:tcPr>
            <w:tcW w:w="503" w:type="dxa"/>
            <w:shd w:val="clear" w:color="auto" w:fill="FFFFFF" w:themeFill="background1"/>
            <w:noWrap/>
            <w:vAlign w:val="center"/>
          </w:tcPr>
          <w:p w14:paraId="66D048C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5F849BC9">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7D594F46">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664327CA">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395A57D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59E966D7">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6A1B30BA">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30293B9E">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38E0F36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1DEA0D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1E5033ED">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J. Tu,</w:t>
            </w:r>
            <w:r>
              <w:rPr>
                <w:rFonts w:hint="eastAsia" w:eastAsia="等线" w:cs="Times New Roman"/>
                <w:color w:val="000000"/>
                <w:kern w:val="0"/>
                <w:sz w:val="21"/>
                <w:szCs w:val="21"/>
                <w:lang w:bidi="ar"/>
              </w:rPr>
              <w:t xml:space="preserve"> </w:t>
            </w:r>
            <w:r>
              <w:rPr>
                <w:rFonts w:eastAsia="等线" w:cs="Times New Roman"/>
                <w:color w:val="000000"/>
                <w:kern w:val="0"/>
                <w:sz w:val="21"/>
                <w:szCs w:val="21"/>
                <w:lang w:bidi="ar"/>
              </w:rPr>
              <w:t>2025</w:t>
            </w:r>
          </w:p>
        </w:tc>
        <w:tc>
          <w:tcPr>
            <w:tcW w:w="503" w:type="dxa"/>
            <w:shd w:val="clear" w:color="auto" w:fill="FFFFFF" w:themeFill="background1"/>
            <w:noWrap/>
            <w:vAlign w:val="center"/>
          </w:tcPr>
          <w:p w14:paraId="05E4CB17">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354FE97A">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55BCC908">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46791E5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2F8D885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63B3FC78">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0AE96E66">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383CFAA0">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16678F1D">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6C5EF3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37220E28">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Ying Zhang,</w:t>
            </w:r>
            <w:r>
              <w:rPr>
                <w:rFonts w:hint="eastAsia" w:eastAsia="等线" w:cs="Times New Roman"/>
                <w:color w:val="000000"/>
                <w:kern w:val="0"/>
                <w:sz w:val="21"/>
                <w:szCs w:val="21"/>
                <w:lang w:bidi="ar"/>
              </w:rPr>
              <w:t xml:space="preserve"> </w:t>
            </w:r>
            <w:r>
              <w:rPr>
                <w:rFonts w:eastAsia="等线" w:cs="Times New Roman"/>
                <w:color w:val="000000"/>
                <w:kern w:val="0"/>
                <w:sz w:val="21"/>
                <w:szCs w:val="21"/>
                <w:lang w:bidi="ar"/>
              </w:rPr>
              <w:t>2018</w:t>
            </w:r>
          </w:p>
        </w:tc>
        <w:tc>
          <w:tcPr>
            <w:tcW w:w="503" w:type="dxa"/>
            <w:shd w:val="clear" w:color="auto" w:fill="FFFFFF" w:themeFill="background1"/>
            <w:noWrap/>
            <w:vAlign w:val="center"/>
          </w:tcPr>
          <w:p w14:paraId="3085E39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1B7896CF">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7C3E483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7C64FE41">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497AFE1F">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0E73C481">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0A464928">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4571312A">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2277E37D">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3B010D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11C26ED4">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L. Dong,</w:t>
            </w:r>
            <w:r>
              <w:rPr>
                <w:rFonts w:hint="eastAsia" w:eastAsia="等线" w:cs="Times New Roman"/>
                <w:color w:val="000000"/>
                <w:kern w:val="0"/>
                <w:sz w:val="21"/>
                <w:szCs w:val="21"/>
                <w:lang w:bidi="ar"/>
              </w:rPr>
              <w:t xml:space="preserve"> </w:t>
            </w:r>
            <w:r>
              <w:rPr>
                <w:rFonts w:eastAsia="等线" w:cs="Times New Roman"/>
                <w:color w:val="000000"/>
                <w:kern w:val="0"/>
                <w:sz w:val="21"/>
                <w:szCs w:val="21"/>
                <w:lang w:bidi="ar"/>
              </w:rPr>
              <w:t>2024</w:t>
            </w:r>
          </w:p>
        </w:tc>
        <w:tc>
          <w:tcPr>
            <w:tcW w:w="503" w:type="dxa"/>
            <w:shd w:val="clear" w:color="auto" w:fill="FFFFFF" w:themeFill="background1"/>
            <w:noWrap/>
            <w:vAlign w:val="center"/>
          </w:tcPr>
          <w:p w14:paraId="6B2266B2">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21CAB6E6">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78D74F52">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770AFEB6">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7BDA8B1E">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0A17F99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54CF84F3">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382C4FB8">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16FB1FD6">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7F4E60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3282740F">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N. Sugiura,</w:t>
            </w:r>
            <w:r>
              <w:rPr>
                <w:rFonts w:hint="eastAsia" w:eastAsia="等线" w:cs="Times New Roman"/>
                <w:color w:val="000000"/>
                <w:kern w:val="0"/>
                <w:sz w:val="21"/>
                <w:szCs w:val="21"/>
                <w:lang w:bidi="ar"/>
              </w:rPr>
              <w:t xml:space="preserve"> </w:t>
            </w:r>
            <w:r>
              <w:rPr>
                <w:rFonts w:eastAsia="等线" w:cs="Times New Roman"/>
                <w:color w:val="000000"/>
                <w:kern w:val="0"/>
                <w:sz w:val="21"/>
                <w:szCs w:val="21"/>
                <w:lang w:bidi="ar"/>
              </w:rPr>
              <w:t>2021</w:t>
            </w:r>
          </w:p>
        </w:tc>
        <w:tc>
          <w:tcPr>
            <w:tcW w:w="503" w:type="dxa"/>
            <w:shd w:val="clear" w:color="auto" w:fill="FFFFFF" w:themeFill="background1"/>
            <w:noWrap/>
            <w:vAlign w:val="center"/>
          </w:tcPr>
          <w:p w14:paraId="51AB326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2FBA444F">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17DB53D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542BD0A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2FF0219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2A46251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60094E13">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600518A0">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3E8E9747">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73619E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7CE7424B">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Qingqing Cai,</w:t>
            </w:r>
            <w:r>
              <w:rPr>
                <w:rFonts w:hint="eastAsia" w:eastAsia="等线" w:cs="Times New Roman"/>
                <w:color w:val="000000"/>
                <w:kern w:val="0"/>
                <w:sz w:val="21"/>
                <w:szCs w:val="21"/>
                <w:lang w:bidi="ar"/>
              </w:rPr>
              <w:t xml:space="preserve"> </w:t>
            </w:r>
            <w:r>
              <w:rPr>
                <w:rFonts w:eastAsia="等线" w:cs="Times New Roman"/>
                <w:color w:val="000000"/>
                <w:kern w:val="0"/>
                <w:sz w:val="21"/>
                <w:szCs w:val="21"/>
                <w:lang w:bidi="ar"/>
              </w:rPr>
              <w:t>2019</w:t>
            </w:r>
          </w:p>
        </w:tc>
        <w:tc>
          <w:tcPr>
            <w:tcW w:w="503" w:type="dxa"/>
            <w:shd w:val="clear" w:color="auto" w:fill="FFFFFF" w:themeFill="background1"/>
            <w:noWrap/>
            <w:vAlign w:val="center"/>
          </w:tcPr>
          <w:p w14:paraId="4EE73E0B">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1843FD2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0353436B">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2C4E249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4CDE3143">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0314AC9D">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4B2EAB4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586D64A9">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77BB9C21">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293368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02F8CFCF">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Y. Ruan,</w:t>
            </w:r>
            <w:r>
              <w:rPr>
                <w:rFonts w:hint="eastAsia" w:eastAsia="等线" w:cs="Times New Roman"/>
                <w:color w:val="000000"/>
                <w:kern w:val="0"/>
                <w:sz w:val="21"/>
                <w:szCs w:val="21"/>
                <w:lang w:bidi="ar"/>
              </w:rPr>
              <w:t xml:space="preserve"> </w:t>
            </w:r>
            <w:r>
              <w:rPr>
                <w:rFonts w:eastAsia="等线" w:cs="Times New Roman"/>
                <w:color w:val="000000"/>
                <w:kern w:val="0"/>
                <w:sz w:val="21"/>
                <w:szCs w:val="21"/>
                <w:lang w:bidi="ar"/>
              </w:rPr>
              <w:t>2023</w:t>
            </w:r>
          </w:p>
        </w:tc>
        <w:tc>
          <w:tcPr>
            <w:tcW w:w="503" w:type="dxa"/>
            <w:shd w:val="clear" w:color="auto" w:fill="FFFFFF" w:themeFill="background1"/>
            <w:noWrap/>
            <w:vAlign w:val="center"/>
          </w:tcPr>
          <w:p w14:paraId="1E48FA83">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70BF43EA">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749D4E0F">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51C87E93">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13ACA140">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60B2D18A">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471D8B4D">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5375DF97">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6C0F7CCB">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2BB89B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344BB118">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Pongpratch Puapatanakul,</w:t>
            </w:r>
            <w:r>
              <w:rPr>
                <w:rFonts w:hint="eastAsia" w:eastAsia="等线" w:cs="Times New Roman"/>
                <w:color w:val="000000"/>
                <w:kern w:val="0"/>
                <w:sz w:val="21"/>
                <w:szCs w:val="21"/>
                <w:lang w:bidi="ar"/>
              </w:rPr>
              <w:t xml:space="preserve"> </w:t>
            </w:r>
            <w:r>
              <w:rPr>
                <w:rFonts w:eastAsia="等线" w:cs="Times New Roman"/>
                <w:color w:val="000000"/>
                <w:kern w:val="0"/>
                <w:sz w:val="21"/>
                <w:szCs w:val="21"/>
                <w:lang w:bidi="ar"/>
              </w:rPr>
              <w:t>2023</w:t>
            </w:r>
          </w:p>
        </w:tc>
        <w:tc>
          <w:tcPr>
            <w:tcW w:w="503" w:type="dxa"/>
            <w:shd w:val="clear" w:color="auto" w:fill="FFFFFF" w:themeFill="background1"/>
            <w:noWrap/>
            <w:vAlign w:val="center"/>
          </w:tcPr>
          <w:p w14:paraId="56D5BD62">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60CF465F">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0ACB8853">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3D399B83">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660FD5BE">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0887BC1C">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5A4828BB">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1D4F6E5E">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0B49DD39">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r w14:paraId="6B31AF5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608" w:type="dxa"/>
            <w:shd w:val="clear" w:color="auto" w:fill="FFFFFF" w:themeFill="background1"/>
            <w:noWrap/>
            <w:vAlign w:val="center"/>
          </w:tcPr>
          <w:p w14:paraId="643A844F">
            <w:pPr>
              <w:widowControl/>
              <w:spacing w:after="0" w:line="240" w:lineRule="auto"/>
              <w:textAlignment w:val="center"/>
              <w:rPr>
                <w:rFonts w:eastAsia="等线" w:cs="Times New Roman"/>
                <w:color w:val="000000"/>
                <w:sz w:val="21"/>
                <w:szCs w:val="21"/>
              </w:rPr>
            </w:pPr>
            <w:r>
              <w:rPr>
                <w:rFonts w:eastAsia="等线" w:cs="Times New Roman"/>
                <w:color w:val="000000"/>
                <w:kern w:val="0"/>
                <w:sz w:val="21"/>
                <w:szCs w:val="21"/>
                <w:lang w:bidi="ar"/>
              </w:rPr>
              <w:t>Jamie S,</w:t>
            </w:r>
            <w:r>
              <w:rPr>
                <w:rFonts w:hint="eastAsia" w:eastAsia="等线" w:cs="Times New Roman"/>
                <w:color w:val="000000"/>
                <w:kern w:val="0"/>
                <w:sz w:val="21"/>
                <w:szCs w:val="21"/>
                <w:lang w:bidi="ar"/>
              </w:rPr>
              <w:t xml:space="preserve"> </w:t>
            </w:r>
            <w:r>
              <w:rPr>
                <w:rFonts w:eastAsia="等线" w:cs="Times New Roman"/>
                <w:color w:val="000000"/>
                <w:kern w:val="0"/>
                <w:sz w:val="21"/>
                <w:szCs w:val="21"/>
                <w:lang w:bidi="ar"/>
              </w:rPr>
              <w:t>2019</w:t>
            </w:r>
          </w:p>
        </w:tc>
        <w:tc>
          <w:tcPr>
            <w:tcW w:w="503" w:type="dxa"/>
            <w:shd w:val="clear" w:color="auto" w:fill="FFFFFF" w:themeFill="background1"/>
            <w:noWrap/>
            <w:vAlign w:val="center"/>
          </w:tcPr>
          <w:p w14:paraId="33F2B9D2">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01CF6F15">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03" w:type="dxa"/>
            <w:shd w:val="clear" w:color="auto" w:fill="FFFFFF" w:themeFill="background1"/>
            <w:noWrap/>
            <w:vAlign w:val="center"/>
          </w:tcPr>
          <w:p w14:paraId="0DE5182D">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96" w:type="dxa"/>
            <w:shd w:val="clear" w:color="auto" w:fill="FFFFFF" w:themeFill="background1"/>
            <w:noWrap/>
            <w:vAlign w:val="center"/>
          </w:tcPr>
          <w:p w14:paraId="28DD3BE3">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0</w:t>
            </w:r>
          </w:p>
        </w:tc>
        <w:tc>
          <w:tcPr>
            <w:tcW w:w="1498" w:type="dxa"/>
            <w:shd w:val="clear" w:color="auto" w:fill="FFFFFF" w:themeFill="background1"/>
            <w:noWrap/>
            <w:vAlign w:val="center"/>
          </w:tcPr>
          <w:p w14:paraId="4A4F2D29">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2</w:t>
            </w:r>
          </w:p>
        </w:tc>
        <w:tc>
          <w:tcPr>
            <w:tcW w:w="569" w:type="dxa"/>
            <w:shd w:val="clear" w:color="auto" w:fill="FFFFFF" w:themeFill="background1"/>
            <w:noWrap/>
            <w:vAlign w:val="center"/>
          </w:tcPr>
          <w:p w14:paraId="5A84527D">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69" w:type="dxa"/>
            <w:shd w:val="clear" w:color="auto" w:fill="FFFFFF" w:themeFill="background1"/>
            <w:noWrap/>
            <w:vAlign w:val="center"/>
          </w:tcPr>
          <w:p w14:paraId="215D6206">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571" w:type="dxa"/>
            <w:shd w:val="clear" w:color="auto" w:fill="FFFFFF" w:themeFill="background1"/>
            <w:noWrap/>
            <w:vAlign w:val="center"/>
          </w:tcPr>
          <w:p w14:paraId="1686472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1</w:t>
            </w:r>
          </w:p>
        </w:tc>
        <w:tc>
          <w:tcPr>
            <w:tcW w:w="1236" w:type="dxa"/>
            <w:shd w:val="clear" w:color="auto" w:fill="FFFFFF" w:themeFill="background1"/>
            <w:noWrap/>
            <w:vAlign w:val="center"/>
          </w:tcPr>
          <w:p w14:paraId="3863E414">
            <w:pPr>
              <w:widowControl/>
              <w:spacing w:after="0" w:line="240" w:lineRule="auto"/>
              <w:jc w:val="center"/>
              <w:textAlignment w:val="center"/>
              <w:rPr>
                <w:rFonts w:eastAsia="等线" w:cs="Times New Roman"/>
                <w:color w:val="000000"/>
                <w:sz w:val="21"/>
                <w:szCs w:val="21"/>
              </w:rPr>
            </w:pPr>
            <w:r>
              <w:rPr>
                <w:rFonts w:eastAsia="等线" w:cs="Times New Roman"/>
                <w:color w:val="000000"/>
                <w:kern w:val="0"/>
                <w:sz w:val="21"/>
                <w:szCs w:val="21"/>
                <w:lang w:bidi="ar"/>
              </w:rPr>
              <w:t>8</w:t>
            </w:r>
          </w:p>
        </w:tc>
      </w:tr>
    </w:tbl>
    <w:p w14:paraId="6C804802">
      <w:pPr>
        <w:rPr>
          <w:rFonts w:hint="eastAsia" w:cs="Times New Roman"/>
        </w:rPr>
      </w:pPr>
    </w:p>
    <w:p w14:paraId="219278B4">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45"/>
          <w:rFonts w:hint="default" w:ascii="Times New Roman" w:hAnsi="Times New Roman" w:eastAsia="等线" w:cs="Times New Roman"/>
          <w:b/>
          <w:bCs/>
          <w:sz w:val="21"/>
          <w:szCs w:val="21"/>
          <w:u w:val="none"/>
          <w:lang w:bidi="ar"/>
        </w:rPr>
      </w:pPr>
      <w:r>
        <w:rPr>
          <w:rStyle w:val="45"/>
          <w:rFonts w:hint="default" w:ascii="Times New Roman" w:hAnsi="Times New Roman" w:eastAsia="等线" w:cs="Times New Roman"/>
          <w:b/>
          <w:bCs/>
          <w:sz w:val="21"/>
          <w:szCs w:val="21"/>
          <w:u w:val="none"/>
          <w:lang w:bidi="ar"/>
        </w:rPr>
        <w:t>Legend</w:t>
      </w:r>
    </w:p>
    <w:p w14:paraId="0A3EB9DB">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45"/>
          <w:rFonts w:hint="eastAsia" w:ascii="Times New Roman" w:hAnsi="Times New Roman" w:eastAsia="等线" w:cs="Times New Roman"/>
          <w:sz w:val="21"/>
          <w:szCs w:val="21"/>
          <w:u w:val="none"/>
          <w:lang w:eastAsia="zh-CN" w:bidi="ar"/>
        </w:rPr>
      </w:pPr>
      <w:r>
        <w:rPr>
          <w:rStyle w:val="45"/>
          <w:rFonts w:hint="default" w:ascii="Times New Roman" w:hAnsi="Times New Roman" w:eastAsia="等线" w:cs="Times New Roman"/>
          <w:sz w:val="21"/>
          <w:szCs w:val="21"/>
          <w:u w:val="none"/>
          <w:lang w:bidi="ar"/>
        </w:rPr>
        <w:t>Selection</w:t>
      </w:r>
      <w:r>
        <w:rPr>
          <w:rStyle w:val="45"/>
          <w:rFonts w:hint="eastAsia" w:ascii="Times New Roman" w:hAnsi="Times New Roman" w:eastAsia="等线" w:cs="Times New Roman"/>
          <w:sz w:val="21"/>
          <w:szCs w:val="21"/>
          <w:u w:val="none"/>
          <w:lang w:val="en-US" w:eastAsia="zh-CN" w:bidi="ar"/>
        </w:rPr>
        <w:t xml:space="preserve"> </w:t>
      </w:r>
      <w:r>
        <w:rPr>
          <w:rStyle w:val="45"/>
          <w:rFonts w:hint="default" w:ascii="Times New Roman" w:hAnsi="Times New Roman" w:eastAsia="等线" w:cs="Times New Roman"/>
          <w:sz w:val="21"/>
          <w:szCs w:val="21"/>
          <w:u w:val="none"/>
          <w:lang w:bidi="ar"/>
        </w:rPr>
        <w:t>#1</w:t>
      </w:r>
      <w:r>
        <w:rPr>
          <w:rStyle w:val="45"/>
          <w:rFonts w:hint="eastAsia" w:ascii="Times New Roman" w:hAnsi="Times New Roman" w:eastAsia="等线" w:cs="Times New Roman"/>
          <w:sz w:val="21"/>
          <w:szCs w:val="21"/>
          <w:u w:val="none"/>
          <w:lang w:val="en-US" w:eastAsia="zh-CN" w:bidi="ar"/>
        </w:rPr>
        <w:t xml:space="preserve">: </w:t>
      </w:r>
      <w:r>
        <w:rPr>
          <w:rStyle w:val="45"/>
          <w:rFonts w:hint="default" w:ascii="Times New Roman" w:hAnsi="Times New Roman" w:eastAsia="等线" w:cs="Times New Roman"/>
          <w:sz w:val="21"/>
          <w:szCs w:val="21"/>
          <w:u w:val="none"/>
          <w:lang w:val="en-GB" w:bidi="ar"/>
        </w:rPr>
        <w:t>Representativeness of the exposed cohort</w:t>
      </w:r>
    </w:p>
    <w:p w14:paraId="7A4D4CD2">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45"/>
          <w:rFonts w:hint="eastAsia" w:ascii="Times New Roman" w:hAnsi="Times New Roman" w:eastAsia="等线" w:cs="Times New Roman"/>
          <w:sz w:val="21"/>
          <w:szCs w:val="21"/>
          <w:u w:val="none"/>
          <w:lang w:bidi="ar"/>
        </w:rPr>
        <w:sectPr>
          <w:pgSz w:w="11906" w:h="16838"/>
          <w:pgMar w:top="1440" w:right="1800" w:bottom="1440" w:left="1800" w:header="851" w:footer="992" w:gutter="0"/>
          <w:cols w:space="425" w:num="1"/>
          <w:docGrid w:type="lines" w:linePitch="312" w:charSpace="0"/>
        </w:sectPr>
      </w:pPr>
    </w:p>
    <w:p w14:paraId="5924D16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45"/>
          <w:rFonts w:hint="eastAsia" w:ascii="Times New Roman" w:hAnsi="Times New Roman" w:eastAsia="等线" w:cs="Times New Roman"/>
          <w:sz w:val="21"/>
          <w:szCs w:val="21"/>
          <w:u w:val="none"/>
          <w:lang w:eastAsia="zh-CN" w:bidi="ar"/>
        </w:rPr>
      </w:pPr>
      <w:r>
        <w:rPr>
          <w:rStyle w:val="45"/>
          <w:rFonts w:hint="default" w:ascii="Times New Roman" w:hAnsi="Times New Roman" w:eastAsia="等线" w:cs="Times New Roman"/>
          <w:sz w:val="21"/>
          <w:szCs w:val="21"/>
          <w:u w:val="none"/>
          <w:lang w:bidi="ar"/>
        </w:rPr>
        <w:t>Selection</w:t>
      </w:r>
      <w:r>
        <w:rPr>
          <w:rStyle w:val="45"/>
          <w:rFonts w:hint="eastAsia" w:ascii="Times New Roman" w:hAnsi="Times New Roman" w:eastAsia="等线" w:cs="Times New Roman"/>
          <w:sz w:val="21"/>
          <w:szCs w:val="21"/>
          <w:u w:val="none"/>
          <w:lang w:val="en-US" w:eastAsia="zh-CN" w:bidi="ar"/>
        </w:rPr>
        <w:t xml:space="preserve"> </w:t>
      </w:r>
      <w:r>
        <w:rPr>
          <w:rStyle w:val="45"/>
          <w:rFonts w:hint="default" w:ascii="Times New Roman" w:hAnsi="Times New Roman" w:eastAsia="等线" w:cs="Times New Roman"/>
          <w:sz w:val="21"/>
          <w:szCs w:val="21"/>
          <w:u w:val="none"/>
          <w:lang w:bidi="ar"/>
        </w:rPr>
        <w:t>#</w:t>
      </w:r>
      <w:r>
        <w:rPr>
          <w:rStyle w:val="45"/>
          <w:rFonts w:hint="eastAsia" w:ascii="Times New Roman" w:hAnsi="Times New Roman" w:eastAsia="等线" w:cs="Times New Roman"/>
          <w:sz w:val="21"/>
          <w:szCs w:val="21"/>
          <w:u w:val="none"/>
          <w:lang w:val="en-US" w:eastAsia="zh-CN" w:bidi="ar"/>
        </w:rPr>
        <w:t xml:space="preserve">2: </w:t>
      </w:r>
      <w:r>
        <w:rPr>
          <w:rStyle w:val="45"/>
          <w:rFonts w:hint="default" w:ascii="Times New Roman" w:hAnsi="Times New Roman" w:eastAsia="等线" w:cs="Times New Roman"/>
          <w:sz w:val="21"/>
          <w:szCs w:val="21"/>
          <w:u w:val="none"/>
          <w:lang w:val="en-GB" w:bidi="ar"/>
        </w:rPr>
        <w:t>Selection of the non exposed cohort</w:t>
      </w:r>
    </w:p>
    <w:p w14:paraId="64DCEAE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45"/>
          <w:rFonts w:hint="eastAsia" w:ascii="Times New Roman" w:hAnsi="Times New Roman" w:eastAsia="等线" w:cs="Times New Roman"/>
          <w:sz w:val="21"/>
          <w:szCs w:val="21"/>
          <w:u w:val="none"/>
          <w:lang w:eastAsia="zh-CN" w:bidi="ar"/>
        </w:rPr>
      </w:pPr>
      <w:r>
        <w:rPr>
          <w:rStyle w:val="45"/>
          <w:rFonts w:hint="default" w:ascii="Times New Roman" w:hAnsi="Times New Roman" w:eastAsia="等线" w:cs="Times New Roman"/>
          <w:sz w:val="21"/>
          <w:szCs w:val="21"/>
          <w:u w:val="none"/>
          <w:lang w:bidi="ar"/>
        </w:rPr>
        <w:t>Selection</w:t>
      </w:r>
      <w:r>
        <w:rPr>
          <w:rStyle w:val="45"/>
          <w:rFonts w:hint="eastAsia" w:ascii="Times New Roman" w:hAnsi="Times New Roman" w:eastAsia="等线" w:cs="Times New Roman"/>
          <w:sz w:val="21"/>
          <w:szCs w:val="21"/>
          <w:u w:val="none"/>
          <w:lang w:val="en-US" w:eastAsia="zh-CN" w:bidi="ar"/>
        </w:rPr>
        <w:t xml:space="preserve"> </w:t>
      </w:r>
      <w:r>
        <w:rPr>
          <w:rStyle w:val="45"/>
          <w:rFonts w:hint="default" w:ascii="Times New Roman" w:hAnsi="Times New Roman" w:eastAsia="等线" w:cs="Times New Roman"/>
          <w:sz w:val="21"/>
          <w:szCs w:val="21"/>
          <w:u w:val="none"/>
          <w:lang w:bidi="ar"/>
        </w:rPr>
        <w:t>#</w:t>
      </w:r>
      <w:r>
        <w:rPr>
          <w:rStyle w:val="45"/>
          <w:rFonts w:hint="eastAsia" w:ascii="Times New Roman" w:hAnsi="Times New Roman" w:eastAsia="等线" w:cs="Times New Roman"/>
          <w:sz w:val="21"/>
          <w:szCs w:val="21"/>
          <w:u w:val="none"/>
          <w:lang w:val="en-US" w:eastAsia="zh-CN" w:bidi="ar"/>
        </w:rPr>
        <w:t xml:space="preserve">3: </w:t>
      </w:r>
      <w:r>
        <w:rPr>
          <w:rStyle w:val="45"/>
          <w:rFonts w:hint="default" w:ascii="Times New Roman" w:hAnsi="Times New Roman" w:eastAsia="等线" w:cs="Times New Roman"/>
          <w:sz w:val="21"/>
          <w:szCs w:val="21"/>
          <w:u w:val="none"/>
          <w:lang w:val="en-GB" w:bidi="ar"/>
        </w:rPr>
        <w:t>Ascertainment of exposure</w:t>
      </w:r>
    </w:p>
    <w:p w14:paraId="4D5C9365">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45"/>
          <w:rFonts w:hint="eastAsia" w:ascii="Times New Roman" w:hAnsi="Times New Roman" w:eastAsia="等线" w:cs="Times New Roman"/>
          <w:sz w:val="21"/>
          <w:szCs w:val="21"/>
          <w:u w:val="none"/>
          <w:lang w:eastAsia="zh-CN" w:bidi="ar"/>
        </w:rPr>
      </w:pPr>
      <w:r>
        <w:rPr>
          <w:rStyle w:val="45"/>
          <w:rFonts w:hint="default" w:ascii="Times New Roman" w:hAnsi="Times New Roman" w:eastAsia="等线" w:cs="Times New Roman"/>
          <w:sz w:val="21"/>
          <w:szCs w:val="21"/>
          <w:u w:val="none"/>
          <w:lang w:bidi="ar"/>
        </w:rPr>
        <w:t>Selection</w:t>
      </w:r>
      <w:r>
        <w:rPr>
          <w:rStyle w:val="45"/>
          <w:rFonts w:hint="eastAsia" w:ascii="Times New Roman" w:hAnsi="Times New Roman" w:eastAsia="等线" w:cs="Times New Roman"/>
          <w:sz w:val="21"/>
          <w:szCs w:val="21"/>
          <w:u w:val="none"/>
          <w:lang w:val="en-US" w:eastAsia="zh-CN" w:bidi="ar"/>
        </w:rPr>
        <w:t xml:space="preserve"> </w:t>
      </w:r>
      <w:r>
        <w:rPr>
          <w:rStyle w:val="45"/>
          <w:rFonts w:hint="default" w:ascii="Times New Roman" w:hAnsi="Times New Roman" w:eastAsia="等线" w:cs="Times New Roman"/>
          <w:sz w:val="21"/>
          <w:szCs w:val="21"/>
          <w:u w:val="none"/>
          <w:lang w:bidi="ar"/>
        </w:rPr>
        <w:t>#</w:t>
      </w:r>
      <w:r>
        <w:rPr>
          <w:rStyle w:val="45"/>
          <w:rFonts w:hint="eastAsia" w:ascii="Times New Roman" w:hAnsi="Times New Roman" w:eastAsia="等线" w:cs="Times New Roman"/>
          <w:sz w:val="21"/>
          <w:szCs w:val="21"/>
          <w:u w:val="none"/>
          <w:lang w:val="en-US" w:eastAsia="zh-CN" w:bidi="ar"/>
        </w:rPr>
        <w:t xml:space="preserve">4: </w:t>
      </w:r>
      <w:r>
        <w:rPr>
          <w:rStyle w:val="45"/>
          <w:rFonts w:hint="default" w:ascii="Times New Roman" w:hAnsi="Times New Roman" w:eastAsia="等线" w:cs="Times New Roman"/>
          <w:sz w:val="21"/>
          <w:szCs w:val="21"/>
          <w:u w:val="none"/>
          <w:lang w:val="en-GB" w:bidi="ar"/>
        </w:rPr>
        <w:t>Demonstration that outcome of interest was not present at start of study</w:t>
      </w:r>
    </w:p>
    <w:p w14:paraId="7AFC5DE0">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45"/>
          <w:rFonts w:hint="eastAsia" w:ascii="Times New Roman" w:hAnsi="Times New Roman" w:eastAsia="等线" w:cs="Times New Roman"/>
          <w:sz w:val="21"/>
          <w:szCs w:val="21"/>
          <w:u w:val="none"/>
          <w:lang w:eastAsia="zh-CN" w:bidi="ar"/>
        </w:rPr>
      </w:pPr>
      <w:r>
        <w:rPr>
          <w:rStyle w:val="45"/>
          <w:rFonts w:hint="eastAsia" w:ascii="Times New Roman" w:hAnsi="Times New Roman" w:eastAsia="等线" w:cs="Times New Roman"/>
          <w:sz w:val="21"/>
          <w:szCs w:val="21"/>
          <w:u w:val="none"/>
          <w:lang w:val="en-US" w:eastAsia="zh-CN" w:bidi="ar"/>
        </w:rPr>
        <w:t xml:space="preserve">Comparability </w:t>
      </w:r>
      <w:r>
        <w:rPr>
          <w:rStyle w:val="45"/>
          <w:rFonts w:hint="default" w:ascii="Times New Roman" w:hAnsi="Times New Roman" w:eastAsia="等线" w:cs="Times New Roman"/>
          <w:sz w:val="21"/>
          <w:szCs w:val="21"/>
          <w:u w:val="none"/>
          <w:lang w:bidi="ar"/>
        </w:rPr>
        <w:t>#1</w:t>
      </w:r>
      <w:r>
        <w:rPr>
          <w:rStyle w:val="45"/>
          <w:rFonts w:hint="eastAsia" w:ascii="Times New Roman" w:hAnsi="Times New Roman" w:eastAsia="等线" w:cs="Times New Roman"/>
          <w:sz w:val="21"/>
          <w:szCs w:val="21"/>
          <w:u w:val="none"/>
          <w:lang w:val="en-US" w:eastAsia="zh-CN" w:bidi="ar"/>
        </w:rPr>
        <w:t>: Comparability of cohorts on the basis of the design or analysis</w:t>
      </w:r>
    </w:p>
    <w:p w14:paraId="5A4869B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45"/>
          <w:rFonts w:hint="eastAsia" w:ascii="Times New Roman" w:hAnsi="Times New Roman" w:eastAsia="等线" w:cs="Times New Roman"/>
          <w:sz w:val="21"/>
          <w:szCs w:val="21"/>
          <w:u w:val="none"/>
          <w:lang w:val="en-US" w:eastAsia="zh-CN" w:bidi="ar"/>
        </w:rPr>
      </w:pPr>
      <w:r>
        <w:rPr>
          <w:rStyle w:val="45"/>
          <w:rFonts w:hint="default" w:ascii="Times New Roman" w:hAnsi="Times New Roman" w:eastAsia="等线" w:cs="Times New Roman"/>
          <w:sz w:val="21"/>
          <w:szCs w:val="21"/>
          <w:u w:val="none"/>
          <w:lang w:bidi="ar"/>
        </w:rPr>
        <w:t>Outcome</w:t>
      </w:r>
      <w:r>
        <w:rPr>
          <w:rStyle w:val="45"/>
          <w:rFonts w:hint="eastAsia" w:ascii="Times New Roman" w:hAnsi="Times New Roman" w:eastAsia="等线" w:cs="Times New Roman"/>
          <w:sz w:val="21"/>
          <w:szCs w:val="21"/>
          <w:u w:val="none"/>
          <w:lang w:val="en-US" w:eastAsia="zh-CN" w:bidi="ar"/>
        </w:rPr>
        <w:t xml:space="preserve"> </w:t>
      </w:r>
      <w:r>
        <w:rPr>
          <w:rStyle w:val="45"/>
          <w:rFonts w:hint="default" w:ascii="Times New Roman" w:hAnsi="Times New Roman" w:eastAsia="等线" w:cs="Times New Roman"/>
          <w:sz w:val="21"/>
          <w:szCs w:val="21"/>
          <w:u w:val="none"/>
          <w:lang w:bidi="ar"/>
        </w:rPr>
        <w:t>#1</w:t>
      </w:r>
      <w:r>
        <w:rPr>
          <w:rStyle w:val="45"/>
          <w:rFonts w:hint="eastAsia" w:ascii="Times New Roman" w:hAnsi="Times New Roman" w:eastAsia="等线" w:cs="Times New Roman"/>
          <w:sz w:val="21"/>
          <w:szCs w:val="21"/>
          <w:u w:val="none"/>
          <w:lang w:val="en-US" w:eastAsia="zh-CN" w:bidi="ar"/>
        </w:rPr>
        <w:t xml:space="preserve">: Assessment of outcome </w:t>
      </w:r>
    </w:p>
    <w:p w14:paraId="172E8407">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45"/>
          <w:rFonts w:hint="eastAsia" w:ascii="Times New Roman" w:hAnsi="Times New Roman" w:eastAsia="等线" w:cs="Times New Roman"/>
          <w:sz w:val="21"/>
          <w:szCs w:val="21"/>
          <w:u w:val="none"/>
          <w:lang w:eastAsia="zh-CN" w:bidi="ar"/>
        </w:rPr>
      </w:pPr>
      <w:r>
        <w:rPr>
          <w:rStyle w:val="45"/>
          <w:rFonts w:hint="default" w:ascii="Times New Roman" w:hAnsi="Times New Roman" w:eastAsia="等线" w:cs="Times New Roman"/>
          <w:sz w:val="21"/>
          <w:szCs w:val="21"/>
          <w:u w:val="none"/>
          <w:lang w:bidi="ar"/>
        </w:rPr>
        <w:t>Outcome</w:t>
      </w:r>
      <w:r>
        <w:rPr>
          <w:rStyle w:val="45"/>
          <w:rFonts w:hint="eastAsia" w:ascii="Times New Roman" w:hAnsi="Times New Roman" w:eastAsia="等线" w:cs="Times New Roman"/>
          <w:sz w:val="21"/>
          <w:szCs w:val="21"/>
          <w:u w:val="none"/>
          <w:lang w:val="en-US" w:eastAsia="zh-CN" w:bidi="ar"/>
        </w:rPr>
        <w:t xml:space="preserve"> </w:t>
      </w:r>
      <w:r>
        <w:rPr>
          <w:rStyle w:val="45"/>
          <w:rFonts w:hint="default" w:ascii="Times New Roman" w:hAnsi="Times New Roman" w:eastAsia="等线" w:cs="Times New Roman"/>
          <w:sz w:val="21"/>
          <w:szCs w:val="21"/>
          <w:u w:val="none"/>
          <w:lang w:bidi="ar"/>
        </w:rPr>
        <w:t>#</w:t>
      </w:r>
      <w:r>
        <w:rPr>
          <w:rStyle w:val="45"/>
          <w:rFonts w:hint="eastAsia" w:ascii="Times New Roman" w:hAnsi="Times New Roman" w:eastAsia="等线" w:cs="Times New Roman"/>
          <w:sz w:val="21"/>
          <w:szCs w:val="21"/>
          <w:u w:val="none"/>
          <w:lang w:val="en-US" w:eastAsia="zh-CN" w:bidi="ar"/>
        </w:rPr>
        <w:t>2: Was follow-up long enough for outcomes to occur</w:t>
      </w:r>
    </w:p>
    <w:p w14:paraId="513337A9">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45"/>
          <w:rFonts w:hint="eastAsia" w:ascii="Times New Roman" w:hAnsi="Times New Roman" w:eastAsia="等线" w:cs="Times New Roman"/>
          <w:sz w:val="21"/>
          <w:szCs w:val="21"/>
          <w:u w:val="none"/>
          <w:lang w:eastAsia="zh-CN" w:bidi="ar"/>
        </w:rPr>
      </w:pPr>
      <w:r>
        <w:rPr>
          <w:rStyle w:val="45"/>
          <w:rFonts w:hint="default" w:ascii="Times New Roman" w:hAnsi="Times New Roman" w:eastAsia="等线" w:cs="Times New Roman"/>
          <w:sz w:val="21"/>
          <w:szCs w:val="21"/>
          <w:u w:val="none"/>
          <w:lang w:bidi="ar"/>
        </w:rPr>
        <w:t>Outcome</w:t>
      </w:r>
      <w:r>
        <w:rPr>
          <w:rStyle w:val="45"/>
          <w:rFonts w:hint="eastAsia" w:ascii="Times New Roman" w:hAnsi="Times New Roman" w:eastAsia="等线" w:cs="Times New Roman"/>
          <w:sz w:val="21"/>
          <w:szCs w:val="21"/>
          <w:u w:val="none"/>
          <w:lang w:val="en-US" w:eastAsia="zh-CN" w:bidi="ar"/>
        </w:rPr>
        <w:t xml:space="preserve"> </w:t>
      </w:r>
      <w:r>
        <w:rPr>
          <w:rStyle w:val="45"/>
          <w:rFonts w:hint="default" w:ascii="Times New Roman" w:hAnsi="Times New Roman" w:eastAsia="等线" w:cs="Times New Roman"/>
          <w:sz w:val="21"/>
          <w:szCs w:val="21"/>
          <w:u w:val="none"/>
          <w:lang w:bidi="ar"/>
        </w:rPr>
        <w:t>#</w:t>
      </w:r>
      <w:r>
        <w:rPr>
          <w:rStyle w:val="45"/>
          <w:rFonts w:hint="eastAsia" w:ascii="Times New Roman" w:hAnsi="Times New Roman" w:eastAsia="等线" w:cs="Times New Roman"/>
          <w:sz w:val="21"/>
          <w:szCs w:val="21"/>
          <w:u w:val="none"/>
          <w:lang w:val="en-US" w:eastAsia="zh-CN" w:bidi="ar"/>
        </w:rPr>
        <w:t>3: Adequacy of follow up of cohorts</w:t>
      </w:r>
    </w:p>
    <w:p w14:paraId="5DCE1491">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textAlignment w:val="auto"/>
        <w:rPr>
          <w:rStyle w:val="45"/>
          <w:rFonts w:hint="eastAsia" w:ascii="Times New Roman" w:hAnsi="Times New Roman" w:eastAsia="等线" w:cs="Times New Roman"/>
          <w:sz w:val="21"/>
          <w:szCs w:val="21"/>
          <w:u w:val="none"/>
          <w:lang w:bidi="ar"/>
        </w:rPr>
      </w:pPr>
      <w:r>
        <w:rPr>
          <w:rStyle w:val="45"/>
          <w:rFonts w:hint="eastAsia" w:ascii="Times New Roman" w:hAnsi="Times New Roman" w:eastAsia="等线" w:cs="Times New Roman"/>
          <w:sz w:val="21"/>
          <w:szCs w:val="21"/>
          <w:u w:val="none"/>
          <w:lang w:bidi="ar"/>
        </w:rPr>
        <w:br w:type="page"/>
      </w:r>
    </w:p>
    <w:p w14:paraId="1BD69CFB">
      <w:pPr>
        <w:rPr>
          <w:rFonts w:hint="eastAsia" w:cs="Times New Roman"/>
          <w:b/>
          <w:bCs/>
        </w:rPr>
        <w:sectPr>
          <w:type w:val="continuous"/>
          <w:pgSz w:w="11906" w:h="16838"/>
          <w:pgMar w:top="1440" w:right="1800" w:bottom="1440" w:left="1800" w:header="851" w:footer="992" w:gutter="0"/>
          <w:cols w:space="425" w:num="1"/>
          <w:docGrid w:type="lines" w:linePitch="312" w:charSpace="0"/>
        </w:sectPr>
      </w:pPr>
    </w:p>
    <w:p w14:paraId="0F9BCB2C">
      <w:pPr>
        <w:widowControl/>
        <w:textAlignment w:val="center"/>
      </w:pPr>
      <w:r>
        <w:rPr>
          <w:rFonts w:hint="eastAsia" w:ascii="Times New Roman" w:hAnsi="Times New Roman" w:eastAsia="宋体" w:cs="Times New Roman"/>
          <w:b/>
          <w:bCs/>
          <w:color w:val="000000"/>
          <w:kern w:val="0"/>
          <w:sz w:val="24"/>
          <w:lang w:bidi="ar"/>
        </w:rPr>
        <w:t>Table S</w:t>
      </w:r>
      <w:r>
        <w:rPr>
          <w:rFonts w:hint="eastAsia" w:ascii="Times New Roman" w:hAnsi="Times New Roman" w:eastAsia="宋体" w:cs="Times New Roman"/>
          <w:b/>
          <w:bCs/>
          <w:color w:val="000000"/>
          <w:kern w:val="0"/>
          <w:sz w:val="24"/>
          <w:lang w:val="en-US" w:eastAsia="zh-CN" w:bidi="ar"/>
        </w:rPr>
        <w:t>3</w:t>
      </w:r>
      <w:bookmarkStart w:id="1" w:name="_GoBack"/>
      <w:bookmarkEnd w:id="1"/>
      <w:r>
        <w:rPr>
          <w:rFonts w:hint="eastAsia" w:ascii="Times New Roman" w:hAnsi="Times New Roman" w:eastAsia="宋体" w:cs="Times New Roman"/>
          <w:b/>
          <w:bCs/>
          <w:color w:val="000000"/>
          <w:kern w:val="0"/>
          <w:sz w:val="24"/>
          <w:lang w:val="en-US" w:eastAsia="zh-CN" w:bidi="ar"/>
        </w:rPr>
        <w:t xml:space="preserve"> </w:t>
      </w:r>
      <w:r>
        <w:rPr>
          <w:rFonts w:hint="eastAsia" w:ascii="Times New Roman" w:hAnsi="Times New Roman"/>
          <w:sz w:val="24"/>
        </w:rPr>
        <w:t>Definition and classification of vascular lesions in included studies</w:t>
      </w:r>
    </w:p>
    <w:tbl>
      <w:tblPr>
        <w:tblStyle w:val="16"/>
        <w:tblW w:w="4971" w:type="pct"/>
        <w:tblInd w:w="0" w:type="dxa"/>
        <w:tblLayout w:type="fixed"/>
        <w:tblCellMar>
          <w:top w:w="0" w:type="dxa"/>
          <w:left w:w="108" w:type="dxa"/>
          <w:bottom w:w="0" w:type="dxa"/>
          <w:right w:w="108" w:type="dxa"/>
        </w:tblCellMar>
      </w:tblPr>
      <w:tblGrid>
        <w:gridCol w:w="1367"/>
        <w:gridCol w:w="711"/>
        <w:gridCol w:w="2366"/>
        <w:gridCol w:w="2183"/>
        <w:gridCol w:w="2499"/>
        <w:gridCol w:w="4967"/>
      </w:tblGrid>
      <w:tr w14:paraId="343C16C6">
        <w:tblPrEx>
          <w:tblCellMar>
            <w:top w:w="0" w:type="dxa"/>
            <w:left w:w="108" w:type="dxa"/>
            <w:bottom w:w="0" w:type="dxa"/>
            <w:right w:w="108" w:type="dxa"/>
          </w:tblCellMar>
        </w:tblPrEx>
        <w:trPr>
          <w:trHeight w:val="860" w:hRule="atLeast"/>
        </w:trPr>
        <w:tc>
          <w:tcPr>
            <w:tcW w:w="484" w:type="pct"/>
            <w:tcBorders>
              <w:top w:val="single" w:color="auto" w:sz="4" w:space="0"/>
              <w:bottom w:val="single" w:color="auto" w:sz="4" w:space="0"/>
            </w:tcBorders>
            <w:noWrap/>
            <w:vAlign w:val="center"/>
          </w:tcPr>
          <w:p w14:paraId="4C2AFDA1">
            <w:pPr>
              <w:widowControl/>
              <w:spacing w:line="240" w:lineRule="auto"/>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kern w:val="0"/>
                <w:sz w:val="21"/>
                <w:szCs w:val="21"/>
                <w:lang w:bidi="ar"/>
              </w:rPr>
              <w:t>First author</w:t>
            </w:r>
          </w:p>
        </w:tc>
        <w:tc>
          <w:tcPr>
            <w:tcW w:w="252" w:type="pct"/>
            <w:tcBorders>
              <w:top w:val="single" w:color="auto" w:sz="4" w:space="0"/>
              <w:bottom w:val="single" w:color="auto" w:sz="4" w:space="0"/>
            </w:tcBorders>
            <w:noWrap/>
            <w:vAlign w:val="center"/>
          </w:tcPr>
          <w:p w14:paraId="112FF77D">
            <w:pPr>
              <w:widowControl/>
              <w:spacing w:line="240" w:lineRule="auto"/>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kern w:val="0"/>
                <w:sz w:val="21"/>
                <w:szCs w:val="21"/>
                <w:lang w:bidi="ar"/>
              </w:rPr>
              <w:t>Year</w:t>
            </w:r>
          </w:p>
        </w:tc>
        <w:tc>
          <w:tcPr>
            <w:tcW w:w="839" w:type="pct"/>
            <w:tcBorders>
              <w:top w:val="single" w:color="auto" w:sz="4" w:space="0"/>
              <w:bottom w:val="single" w:color="auto" w:sz="4" w:space="0"/>
            </w:tcBorders>
            <w:noWrap/>
            <w:vAlign w:val="center"/>
          </w:tcPr>
          <w:p w14:paraId="3B2770F0">
            <w:pPr>
              <w:widowControl/>
              <w:spacing w:line="240" w:lineRule="auto"/>
              <w:jc w:val="center"/>
              <w:textAlignment w:val="center"/>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rPr>
              <w:t xml:space="preserve">Type of vascular lesions </w:t>
            </w:r>
          </w:p>
        </w:tc>
        <w:tc>
          <w:tcPr>
            <w:tcW w:w="774" w:type="pct"/>
            <w:tcBorders>
              <w:top w:val="single" w:color="auto" w:sz="4" w:space="0"/>
              <w:bottom w:val="single" w:color="auto" w:sz="4" w:space="0"/>
            </w:tcBorders>
            <w:noWrap/>
            <w:vAlign w:val="center"/>
          </w:tcPr>
          <w:p w14:paraId="180A2DFC">
            <w:pPr>
              <w:widowControl/>
              <w:spacing w:line="240" w:lineRule="auto"/>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Classification</w:t>
            </w:r>
          </w:p>
        </w:tc>
        <w:tc>
          <w:tcPr>
            <w:tcW w:w="886" w:type="pct"/>
            <w:tcBorders>
              <w:top w:val="single" w:color="auto" w:sz="4" w:space="0"/>
              <w:bottom w:val="single" w:color="auto" w:sz="4" w:space="0"/>
            </w:tcBorders>
            <w:noWrap/>
            <w:vAlign w:val="center"/>
          </w:tcPr>
          <w:p w14:paraId="5DB1DCBD">
            <w:pPr>
              <w:widowControl/>
              <w:spacing w:line="240" w:lineRule="auto"/>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Grading</w:t>
            </w:r>
          </w:p>
        </w:tc>
        <w:tc>
          <w:tcPr>
            <w:tcW w:w="1762" w:type="pct"/>
            <w:tcBorders>
              <w:top w:val="single" w:color="auto" w:sz="4" w:space="0"/>
              <w:bottom w:val="single" w:color="auto" w:sz="4" w:space="0"/>
            </w:tcBorders>
            <w:noWrap/>
            <w:vAlign w:val="center"/>
          </w:tcPr>
          <w:p w14:paraId="6731310E">
            <w:pPr>
              <w:widowControl/>
              <w:spacing w:line="240" w:lineRule="auto"/>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Definition Criteria</w:t>
            </w:r>
          </w:p>
        </w:tc>
      </w:tr>
      <w:tr w14:paraId="567ADB03">
        <w:tblPrEx>
          <w:tblCellMar>
            <w:top w:w="0" w:type="dxa"/>
            <w:left w:w="108" w:type="dxa"/>
            <w:bottom w:w="0" w:type="dxa"/>
            <w:right w:w="108" w:type="dxa"/>
          </w:tblCellMar>
        </w:tblPrEx>
        <w:trPr>
          <w:trHeight w:val="1140" w:hRule="atLeast"/>
        </w:trPr>
        <w:tc>
          <w:tcPr>
            <w:tcW w:w="484" w:type="pct"/>
            <w:tcBorders>
              <w:top w:val="single" w:color="auto" w:sz="4" w:space="0"/>
            </w:tcBorders>
            <w:noWrap/>
            <w:vAlign w:val="center"/>
          </w:tcPr>
          <w:p w14:paraId="6F6DBEF4">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P. D. M. D. M. Neves, et al.</w:t>
            </w:r>
          </w:p>
        </w:tc>
        <w:tc>
          <w:tcPr>
            <w:tcW w:w="252" w:type="pct"/>
            <w:tcBorders>
              <w:top w:val="single" w:color="auto" w:sz="4" w:space="0"/>
            </w:tcBorders>
            <w:noWrap/>
            <w:vAlign w:val="center"/>
          </w:tcPr>
          <w:p w14:paraId="60AAD759">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2020</w:t>
            </w:r>
          </w:p>
        </w:tc>
        <w:tc>
          <w:tcPr>
            <w:tcW w:w="839" w:type="pct"/>
            <w:tcBorders>
              <w:top w:val="single" w:color="auto" w:sz="4" w:space="0"/>
            </w:tcBorders>
            <w:noWrap/>
            <w:vAlign w:val="center"/>
          </w:tcPr>
          <w:p w14:paraId="6F11C910">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val="en-US" w:eastAsia="zh-CN"/>
              </w:rPr>
              <w:t>T</w:t>
            </w:r>
            <w:r>
              <w:rPr>
                <w:rFonts w:hint="default" w:ascii="Times New Roman" w:hAnsi="Times New Roman" w:eastAsia="宋体" w:cs="Times New Roman"/>
                <w:color w:val="000000"/>
                <w:sz w:val="21"/>
                <w:szCs w:val="21"/>
              </w:rPr>
              <w:t>hrombotic</w:t>
            </w:r>
          </w:p>
          <w:p w14:paraId="4479D0F9">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sz w:val="21"/>
                <w:szCs w:val="21"/>
                <w:lang w:val="en-US" w:eastAsia="zh-CN"/>
              </w:rPr>
              <w:t>M</w:t>
            </w:r>
            <w:r>
              <w:rPr>
                <w:rFonts w:hint="default" w:ascii="Times New Roman" w:hAnsi="Times New Roman" w:eastAsia="宋体" w:cs="Times New Roman"/>
                <w:color w:val="000000"/>
                <w:sz w:val="21"/>
                <w:szCs w:val="21"/>
              </w:rPr>
              <w:t>icroangiopathy</w:t>
            </w:r>
          </w:p>
        </w:tc>
        <w:tc>
          <w:tcPr>
            <w:tcW w:w="774" w:type="pct"/>
            <w:tcBorders>
              <w:top w:val="single" w:color="auto" w:sz="4" w:space="0"/>
            </w:tcBorders>
            <w:noWrap/>
            <w:vAlign w:val="center"/>
          </w:tcPr>
          <w:p w14:paraId="6B481A1E">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Not classified</w:t>
            </w:r>
          </w:p>
        </w:tc>
        <w:tc>
          <w:tcPr>
            <w:tcW w:w="886" w:type="pct"/>
            <w:tcBorders>
              <w:top w:val="single" w:color="auto" w:sz="4" w:space="0"/>
            </w:tcBorders>
            <w:noWrap/>
            <w:vAlign w:val="center"/>
          </w:tcPr>
          <w:p w14:paraId="06C53309">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en-US" w:eastAsia="zh-CN" w:bidi="ar"/>
              </w:rPr>
              <w:t>Not graded</w:t>
            </w:r>
          </w:p>
        </w:tc>
        <w:tc>
          <w:tcPr>
            <w:tcW w:w="1762" w:type="pct"/>
            <w:tcBorders>
              <w:top w:val="single" w:color="auto" w:sz="4" w:space="0"/>
            </w:tcBorders>
            <w:noWrap/>
            <w:vAlign w:val="center"/>
          </w:tcPr>
          <w:p w14:paraId="19378866">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In glomeruli: presence of thrombi, edema, or endothelial</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denudation, fragmented red blood cells, mesangiolysis, microaneurysms;</w:t>
            </w:r>
          </w:p>
          <w:p w14:paraId="397F185F">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en-US" w:eastAsia="zh-CN" w:bidi="ar"/>
              </w:rPr>
              <w:t>I</w:t>
            </w:r>
            <w:r>
              <w:rPr>
                <w:rFonts w:hint="default" w:ascii="Times New Roman" w:hAnsi="Times New Roman" w:eastAsia="宋体" w:cs="Times New Roman"/>
                <w:color w:val="000000"/>
                <w:kern w:val="0"/>
                <w:sz w:val="21"/>
                <w:szCs w:val="21"/>
                <w:lang w:bidi="ar"/>
              </w:rPr>
              <w:t>n arterioles:</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thrombi, edema, or endothelial denudation, intramural fibrin, fragmented red blood cells,</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edema of the intima, myocyte necrosis;</w:t>
            </w:r>
          </w:p>
          <w:p w14:paraId="3A59DBCE">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en-US" w:eastAsia="zh-CN" w:bidi="ar"/>
              </w:rPr>
              <w:t>I</w:t>
            </w:r>
            <w:r>
              <w:rPr>
                <w:rFonts w:hint="default" w:ascii="Times New Roman" w:hAnsi="Times New Roman" w:eastAsia="宋体" w:cs="Times New Roman"/>
                <w:color w:val="000000"/>
                <w:kern w:val="0"/>
                <w:sz w:val="21"/>
                <w:szCs w:val="21"/>
                <w:lang w:bidi="ar"/>
              </w:rPr>
              <w:t>n arteries: thrombi, myxoid intimal change,</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intramural fibrin, fragmented red blood cells</w:t>
            </w:r>
            <w:r>
              <w:rPr>
                <w:rFonts w:hint="default" w:ascii="Times New Roman" w:hAnsi="Times New Roman" w:eastAsia="宋体" w:cs="Times New Roman"/>
                <w:color w:val="000000"/>
                <w:kern w:val="0"/>
                <w:sz w:val="21"/>
                <w:szCs w:val="21"/>
                <w:lang w:val="en-US" w:eastAsia="zh-CN" w:bidi="ar"/>
              </w:rPr>
              <w:t>;</w:t>
            </w:r>
          </w:p>
        </w:tc>
      </w:tr>
      <w:tr w14:paraId="208E0A77">
        <w:tblPrEx>
          <w:tblCellMar>
            <w:top w:w="0" w:type="dxa"/>
            <w:left w:w="108" w:type="dxa"/>
            <w:bottom w:w="0" w:type="dxa"/>
            <w:right w:w="108" w:type="dxa"/>
          </w:tblCellMar>
        </w:tblPrEx>
        <w:trPr>
          <w:trHeight w:val="1140" w:hRule="atLeast"/>
        </w:trPr>
        <w:tc>
          <w:tcPr>
            <w:tcW w:w="484" w:type="pct"/>
            <w:noWrap/>
            <w:vAlign w:val="center"/>
          </w:tcPr>
          <w:p w14:paraId="625E8EDA">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it-IT" w:bidi="ar"/>
              </w:rPr>
              <w:t>K. El Karoui,et al.</w:t>
            </w:r>
          </w:p>
        </w:tc>
        <w:tc>
          <w:tcPr>
            <w:tcW w:w="252" w:type="pct"/>
            <w:noWrap/>
            <w:vAlign w:val="center"/>
          </w:tcPr>
          <w:p w14:paraId="1DAE4883">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2012</w:t>
            </w:r>
          </w:p>
        </w:tc>
        <w:tc>
          <w:tcPr>
            <w:tcW w:w="839" w:type="pct"/>
            <w:noWrap/>
            <w:vAlign w:val="center"/>
          </w:tcPr>
          <w:p w14:paraId="23E19203">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Thrombotic Microangiopathy</w:t>
            </w:r>
          </w:p>
        </w:tc>
        <w:tc>
          <w:tcPr>
            <w:tcW w:w="774" w:type="pct"/>
            <w:noWrap/>
            <w:vAlign w:val="center"/>
          </w:tcPr>
          <w:p w14:paraId="4AADB9B2">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bidi="ar"/>
              </w:rPr>
              <w:t>Not classified</w:t>
            </w:r>
          </w:p>
        </w:tc>
        <w:tc>
          <w:tcPr>
            <w:tcW w:w="886" w:type="pct"/>
            <w:noWrap/>
            <w:vAlign w:val="center"/>
          </w:tcPr>
          <w:p w14:paraId="612424A1">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en-US" w:eastAsia="zh-CN" w:bidi="ar"/>
              </w:rPr>
              <w:t>Not graded</w:t>
            </w:r>
          </w:p>
        </w:tc>
        <w:tc>
          <w:tcPr>
            <w:tcW w:w="1762" w:type="pct"/>
            <w:noWrap/>
            <w:vAlign w:val="center"/>
          </w:tcPr>
          <w:p w14:paraId="0E7EBDF0">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TMA</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is characterized by platelet thrombi in arterioles and capillaries and on occasion in</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arteries</w:t>
            </w:r>
          </w:p>
        </w:tc>
      </w:tr>
      <w:tr w14:paraId="3FF27700">
        <w:tblPrEx>
          <w:tblCellMar>
            <w:top w:w="0" w:type="dxa"/>
            <w:left w:w="108" w:type="dxa"/>
            <w:bottom w:w="0" w:type="dxa"/>
            <w:right w:w="108" w:type="dxa"/>
          </w:tblCellMar>
        </w:tblPrEx>
        <w:trPr>
          <w:trHeight w:val="1140" w:hRule="atLeast"/>
        </w:trPr>
        <w:tc>
          <w:tcPr>
            <w:tcW w:w="484" w:type="pct"/>
            <w:noWrap/>
            <w:vAlign w:val="center"/>
          </w:tcPr>
          <w:p w14:paraId="1AD2831B">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 Dong,et al.</w:t>
            </w:r>
          </w:p>
        </w:tc>
        <w:tc>
          <w:tcPr>
            <w:tcW w:w="252" w:type="pct"/>
            <w:noWrap/>
            <w:vAlign w:val="center"/>
          </w:tcPr>
          <w:p w14:paraId="094D0F31">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2024</w:t>
            </w:r>
          </w:p>
        </w:tc>
        <w:tc>
          <w:tcPr>
            <w:tcW w:w="839" w:type="pct"/>
            <w:noWrap/>
            <w:vAlign w:val="center"/>
          </w:tcPr>
          <w:p w14:paraId="560FED31">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Microangiopathy</w:t>
            </w:r>
          </w:p>
        </w:tc>
        <w:tc>
          <w:tcPr>
            <w:tcW w:w="774" w:type="pct"/>
            <w:noWrap/>
            <w:vAlign w:val="center"/>
          </w:tcPr>
          <w:p w14:paraId="169B77DE">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bidi="ar"/>
              </w:rPr>
              <w:t>Active</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and chronic lesions</w:t>
            </w:r>
          </w:p>
        </w:tc>
        <w:tc>
          <w:tcPr>
            <w:tcW w:w="886" w:type="pct"/>
            <w:noWrap/>
            <w:vAlign w:val="center"/>
          </w:tcPr>
          <w:p w14:paraId="7B3044FB">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en-US" w:eastAsia="zh-CN" w:bidi="ar"/>
              </w:rPr>
              <w:t>Not graded</w:t>
            </w:r>
          </w:p>
        </w:tc>
        <w:tc>
          <w:tcPr>
            <w:tcW w:w="1762" w:type="pct"/>
            <w:noWrap/>
            <w:vAlign w:val="center"/>
          </w:tcPr>
          <w:p w14:paraId="334D3ED8">
            <w:pPr>
              <w:widowControl/>
              <w:spacing w:line="240" w:lineRule="auto"/>
              <w:jc w:val="both"/>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b/>
                <w:bCs/>
                <w:color w:val="000000"/>
                <w:kern w:val="0"/>
                <w:sz w:val="21"/>
                <w:szCs w:val="21"/>
                <w:lang w:bidi="ar"/>
              </w:rPr>
              <w:t>Active lesions</w:t>
            </w:r>
            <w:r>
              <w:rPr>
                <w:rFonts w:hint="default" w:ascii="Times New Roman" w:hAnsi="Times New Roman" w:eastAsia="宋体" w:cs="Times New Roman"/>
                <w:color w:val="000000"/>
                <w:kern w:val="0"/>
                <w:sz w:val="21"/>
                <w:szCs w:val="21"/>
                <w:lang w:bidi="ar"/>
              </w:rPr>
              <w:t xml:space="preserve"> encompassed thrombi, endothelial swelling or denudation, mesangiolysis and fragmented</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red blood cells located in glomeruli, arteries or arterioles</w:t>
            </w:r>
            <w:r>
              <w:rPr>
                <w:rFonts w:hint="default" w:ascii="Times New Roman" w:hAnsi="Times New Roman" w:eastAsia="宋体" w:cs="Times New Roman"/>
                <w:color w:val="000000"/>
                <w:kern w:val="0"/>
                <w:sz w:val="21"/>
                <w:szCs w:val="21"/>
                <w:lang w:val="en-US" w:eastAsia="zh-CN" w:bidi="ar"/>
              </w:rPr>
              <w:t>.</w:t>
            </w:r>
          </w:p>
          <w:p w14:paraId="3A576E33">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b/>
                <w:bCs/>
                <w:color w:val="000000"/>
                <w:kern w:val="0"/>
                <w:sz w:val="21"/>
                <w:szCs w:val="21"/>
                <w:lang w:bidi="ar"/>
              </w:rPr>
              <w:t>Chronic lesions</w:t>
            </w:r>
            <w:r>
              <w:rPr>
                <w:rFonts w:hint="default" w:ascii="Times New Roman" w:hAnsi="Times New Roman" w:eastAsia="宋体" w:cs="Times New Roman"/>
                <w:color w:val="000000"/>
                <w:kern w:val="0"/>
                <w:sz w:val="21"/>
                <w:szCs w:val="21"/>
                <w:lang w:bidi="ar"/>
              </w:rPr>
              <w:t xml:space="preserve"> included double contours of peripheral capillary</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walls in glomeruli, hyaline deposits in arterioles and fibrous intimal thickening with concentric lamination (onion skin) in arteries</w:t>
            </w:r>
          </w:p>
        </w:tc>
      </w:tr>
      <w:tr w14:paraId="62F7C074">
        <w:tblPrEx>
          <w:tblCellMar>
            <w:top w:w="0" w:type="dxa"/>
            <w:left w:w="108" w:type="dxa"/>
            <w:bottom w:w="0" w:type="dxa"/>
            <w:right w:w="108" w:type="dxa"/>
          </w:tblCellMar>
        </w:tblPrEx>
        <w:trPr>
          <w:trHeight w:val="1140" w:hRule="atLeast"/>
        </w:trPr>
        <w:tc>
          <w:tcPr>
            <w:tcW w:w="484" w:type="pct"/>
            <w:noWrap/>
            <w:vAlign w:val="center"/>
          </w:tcPr>
          <w:p w14:paraId="2B4EF414">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Qingqing Cai,et al.</w:t>
            </w:r>
          </w:p>
        </w:tc>
        <w:tc>
          <w:tcPr>
            <w:tcW w:w="252" w:type="pct"/>
            <w:noWrap/>
            <w:vAlign w:val="center"/>
          </w:tcPr>
          <w:p w14:paraId="13FC8B56">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2019</w:t>
            </w:r>
          </w:p>
        </w:tc>
        <w:tc>
          <w:tcPr>
            <w:tcW w:w="839" w:type="pct"/>
            <w:noWrap/>
            <w:vAlign w:val="center"/>
          </w:tcPr>
          <w:p w14:paraId="02658E00">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Microangiopathic Lesions</w:t>
            </w:r>
          </w:p>
        </w:tc>
        <w:tc>
          <w:tcPr>
            <w:tcW w:w="774" w:type="pct"/>
            <w:noWrap/>
            <w:vAlign w:val="center"/>
          </w:tcPr>
          <w:p w14:paraId="3962912D">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Acute and/or Chronic Microangiopathic Lesions</w:t>
            </w:r>
          </w:p>
        </w:tc>
        <w:tc>
          <w:tcPr>
            <w:tcW w:w="886" w:type="pct"/>
            <w:noWrap/>
            <w:vAlign w:val="center"/>
          </w:tcPr>
          <w:p w14:paraId="2E4A6CA2">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en-US" w:eastAsia="zh-CN" w:bidi="ar"/>
              </w:rPr>
              <w:t>Not graded</w:t>
            </w:r>
          </w:p>
        </w:tc>
        <w:tc>
          <w:tcPr>
            <w:tcW w:w="1762" w:type="pct"/>
            <w:noWrap/>
            <w:vAlign w:val="center"/>
          </w:tcPr>
          <w:p w14:paraId="7E64C1DC">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b/>
                <w:bCs/>
                <w:color w:val="000000"/>
                <w:kern w:val="0"/>
                <w:sz w:val="21"/>
                <w:szCs w:val="21"/>
                <w:lang w:bidi="ar"/>
              </w:rPr>
              <w:t>Acute</w:t>
            </w:r>
            <w:r>
              <w:rPr>
                <w:rFonts w:hint="default" w:ascii="Times New Roman" w:hAnsi="Times New Roman" w:eastAsia="宋体" w:cs="Times New Roman"/>
                <w:b/>
                <w:bCs/>
                <w:color w:val="000000"/>
                <w:kern w:val="0"/>
                <w:sz w:val="21"/>
                <w:szCs w:val="21"/>
                <w:lang w:val="en-US" w:eastAsia="zh-CN" w:bidi="ar"/>
              </w:rPr>
              <w:t xml:space="preserve"> </w:t>
            </w:r>
            <w:r>
              <w:rPr>
                <w:rFonts w:hint="default" w:ascii="Times New Roman" w:hAnsi="Times New Roman" w:eastAsia="宋体" w:cs="Times New Roman"/>
                <w:b/>
                <w:bCs/>
                <w:color w:val="000000"/>
                <w:kern w:val="0"/>
                <w:sz w:val="21"/>
                <w:szCs w:val="21"/>
                <w:lang w:bidi="ar"/>
              </w:rPr>
              <w:t>Microangiopathic</w:t>
            </w:r>
            <w:r>
              <w:rPr>
                <w:rFonts w:hint="default" w:ascii="Times New Roman" w:hAnsi="Times New Roman" w:eastAsia="宋体" w:cs="Times New Roman"/>
                <w:b/>
                <w:bCs/>
                <w:color w:val="000000"/>
                <w:kern w:val="0"/>
                <w:sz w:val="21"/>
                <w:szCs w:val="21"/>
                <w:lang w:val="en-US" w:eastAsia="zh-CN" w:bidi="ar"/>
              </w:rPr>
              <w:t xml:space="preserve"> </w:t>
            </w:r>
            <w:r>
              <w:rPr>
                <w:rFonts w:hint="default" w:ascii="Times New Roman" w:hAnsi="Times New Roman" w:eastAsia="宋体" w:cs="Times New Roman"/>
                <w:b/>
                <w:bCs/>
                <w:color w:val="000000"/>
                <w:kern w:val="0"/>
                <w:sz w:val="21"/>
                <w:szCs w:val="21"/>
                <w:lang w:bidi="ar"/>
              </w:rPr>
              <w:t>lesions</w:t>
            </w:r>
            <w:r>
              <w:rPr>
                <w:rFonts w:hint="default" w:ascii="Times New Roman" w:hAnsi="Times New Roman" w:eastAsia="宋体" w:cs="Times New Roman"/>
                <w:b/>
                <w:bCs/>
                <w:color w:val="000000"/>
                <w:kern w:val="0"/>
                <w:sz w:val="21"/>
                <w:szCs w:val="21"/>
                <w:lang w:eastAsia="zh-CN" w:bidi="ar"/>
              </w:rPr>
              <w:t>：</w:t>
            </w:r>
            <w:r>
              <w:rPr>
                <w:rFonts w:hint="default" w:ascii="Times New Roman" w:hAnsi="Times New Roman" w:eastAsia="宋体" w:cs="Times New Roman"/>
                <w:color w:val="000000"/>
                <w:kern w:val="0"/>
                <w:sz w:val="21"/>
                <w:szCs w:val="21"/>
                <w:lang w:bidi="ar"/>
              </w:rPr>
              <w:t>endothelial cell swelling and subintimal</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edema and arteriolar thrombosis and/or fibrinoid necrosis</w:t>
            </w:r>
          </w:p>
          <w:p w14:paraId="77B6F013">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b/>
                <w:bCs/>
                <w:color w:val="000000"/>
                <w:kern w:val="0"/>
                <w:sz w:val="21"/>
                <w:szCs w:val="21"/>
                <w:lang w:val="en-US" w:eastAsia="zh-CN" w:bidi="ar"/>
              </w:rPr>
              <w:t>C</w:t>
            </w:r>
            <w:r>
              <w:rPr>
                <w:rFonts w:hint="default" w:ascii="Times New Roman" w:hAnsi="Times New Roman" w:eastAsia="宋体" w:cs="Times New Roman"/>
                <w:b/>
                <w:bCs/>
                <w:color w:val="000000"/>
                <w:kern w:val="0"/>
                <w:sz w:val="21"/>
                <w:szCs w:val="21"/>
                <w:lang w:bidi="ar"/>
              </w:rPr>
              <w:t>hronic Microangiopathic</w:t>
            </w:r>
            <w:r>
              <w:rPr>
                <w:rFonts w:hint="default" w:ascii="Times New Roman" w:hAnsi="Times New Roman" w:eastAsia="宋体" w:cs="Times New Roman"/>
                <w:b/>
                <w:bCs/>
                <w:color w:val="000000"/>
                <w:kern w:val="0"/>
                <w:sz w:val="21"/>
                <w:szCs w:val="21"/>
                <w:lang w:val="en-US" w:eastAsia="zh-CN" w:bidi="ar"/>
              </w:rPr>
              <w:t xml:space="preserve"> </w:t>
            </w:r>
            <w:r>
              <w:rPr>
                <w:rFonts w:hint="default" w:ascii="Times New Roman" w:hAnsi="Times New Roman" w:eastAsia="宋体" w:cs="Times New Roman"/>
                <w:b/>
                <w:bCs/>
                <w:color w:val="000000"/>
                <w:kern w:val="0"/>
                <w:sz w:val="21"/>
                <w:szCs w:val="21"/>
                <w:lang w:bidi="ar"/>
              </w:rPr>
              <w:t>lesions</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bidi="ar"/>
              </w:rPr>
              <w:t>arterial</w:t>
            </w:r>
            <w:r>
              <w:rPr>
                <w:rFonts w:hint="eastAsia"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“onion-skin” lesion (fibrous intimal thickening with concentric lamination).</w:t>
            </w:r>
          </w:p>
        </w:tc>
      </w:tr>
      <w:tr w14:paraId="0C642C2D">
        <w:tblPrEx>
          <w:tblCellMar>
            <w:top w:w="0" w:type="dxa"/>
            <w:left w:w="108" w:type="dxa"/>
            <w:bottom w:w="0" w:type="dxa"/>
            <w:right w:w="108" w:type="dxa"/>
          </w:tblCellMar>
        </w:tblPrEx>
        <w:trPr>
          <w:trHeight w:val="1140" w:hRule="atLeast"/>
        </w:trPr>
        <w:tc>
          <w:tcPr>
            <w:tcW w:w="484" w:type="pct"/>
            <w:noWrap/>
            <w:vAlign w:val="center"/>
          </w:tcPr>
          <w:p w14:paraId="2D65FFC1">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Pongpratch Puapatanakul,et al.</w:t>
            </w:r>
          </w:p>
        </w:tc>
        <w:tc>
          <w:tcPr>
            <w:tcW w:w="252" w:type="pct"/>
            <w:noWrap/>
            <w:vAlign w:val="center"/>
          </w:tcPr>
          <w:p w14:paraId="29E60B6C">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2023</w:t>
            </w:r>
          </w:p>
        </w:tc>
        <w:tc>
          <w:tcPr>
            <w:tcW w:w="839" w:type="pct"/>
            <w:noWrap/>
            <w:vAlign w:val="center"/>
          </w:tcPr>
          <w:p w14:paraId="46BC40D7">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Thrombotic Microangiopathy Lesions</w:t>
            </w:r>
          </w:p>
        </w:tc>
        <w:tc>
          <w:tcPr>
            <w:tcW w:w="774" w:type="pct"/>
            <w:noWrap/>
            <w:vAlign w:val="center"/>
          </w:tcPr>
          <w:p w14:paraId="39510D14">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bidi="ar"/>
              </w:rPr>
              <w:t xml:space="preserve">Acute </w:t>
            </w:r>
            <w:r>
              <w:rPr>
                <w:rFonts w:hint="default" w:ascii="Times New Roman" w:hAnsi="Times New Roman" w:eastAsia="宋体" w:cs="Times New Roman"/>
                <w:color w:val="000000"/>
                <w:kern w:val="0"/>
                <w:sz w:val="21"/>
                <w:szCs w:val="21"/>
                <w:lang w:val="en-US" w:eastAsia="zh-CN" w:bidi="ar"/>
              </w:rPr>
              <w:t>and/or</w:t>
            </w:r>
            <w:r>
              <w:rPr>
                <w:rFonts w:hint="default" w:ascii="Times New Roman" w:hAnsi="Times New Roman" w:eastAsia="宋体" w:cs="Times New Roman"/>
                <w:color w:val="000000"/>
                <w:kern w:val="0"/>
                <w:sz w:val="21"/>
                <w:szCs w:val="21"/>
                <w:lang w:bidi="ar"/>
              </w:rPr>
              <w:t xml:space="preserve"> chronic TMA lesions</w:t>
            </w:r>
          </w:p>
        </w:tc>
        <w:tc>
          <w:tcPr>
            <w:tcW w:w="886" w:type="pct"/>
            <w:noWrap/>
            <w:vAlign w:val="center"/>
          </w:tcPr>
          <w:p w14:paraId="78144B4A">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en-US" w:eastAsia="zh-CN" w:bidi="ar"/>
              </w:rPr>
              <w:t>Not graded</w:t>
            </w:r>
          </w:p>
        </w:tc>
        <w:tc>
          <w:tcPr>
            <w:tcW w:w="1762" w:type="pct"/>
            <w:noWrap/>
            <w:vAlign w:val="center"/>
          </w:tcPr>
          <w:p w14:paraId="4895F393">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b/>
                <w:bCs/>
                <w:color w:val="000000"/>
                <w:kern w:val="0"/>
                <w:sz w:val="21"/>
                <w:szCs w:val="21"/>
                <w:lang w:bidi="ar"/>
              </w:rPr>
              <w:t>Acute TMA</w:t>
            </w:r>
            <w:r>
              <w:rPr>
                <w:rFonts w:hint="default" w:ascii="Times New Roman" w:hAnsi="Times New Roman" w:eastAsia="宋体" w:cs="Times New Roman"/>
                <w:color w:val="000000"/>
                <w:kern w:val="0"/>
                <w:sz w:val="21"/>
                <w:szCs w:val="21"/>
                <w:lang w:bidi="ar"/>
              </w:rPr>
              <w:t xml:space="preserve"> was defined by the presence of intravascular</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fresh platelet thrombi in the vascular lumens with fragmented red</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blood cells, mucoid intimal changes in arterioles/arteries with or</w:t>
            </w:r>
            <w:r>
              <w:rPr>
                <w:rFonts w:hint="eastAsia"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without platelet thrombi, or glomerular thrombi associated with</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mesangiolysis and corrugated glomerular basement membrane</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due to ischemia.</w:t>
            </w:r>
          </w:p>
          <w:p w14:paraId="6634C3D4">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b/>
                <w:bCs/>
                <w:color w:val="000000"/>
                <w:kern w:val="0"/>
                <w:sz w:val="21"/>
                <w:szCs w:val="21"/>
                <w:lang w:bidi="ar"/>
              </w:rPr>
              <w:t xml:space="preserve">Chronic TMA </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the presence of</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intraluminal organized thrombi with recanalization, the characteristic arterial“onion-skin”lesions, or glomerular capillary double</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 xml:space="preserve">contour </w:t>
            </w:r>
            <w:r>
              <w:rPr>
                <w:rFonts w:hint="default" w:ascii="Times New Roman" w:hAnsi="Times New Roman" w:eastAsia="宋体" w:cs="Times New Roman"/>
                <w:color w:val="000000"/>
                <w:kern w:val="0"/>
                <w:sz w:val="21"/>
                <w:szCs w:val="21"/>
                <w:lang w:val="en-US" w:eastAsia="zh-CN" w:bidi="ar"/>
              </w:rPr>
              <w:t>.</w:t>
            </w:r>
          </w:p>
        </w:tc>
      </w:tr>
      <w:tr w14:paraId="445E029B">
        <w:tblPrEx>
          <w:tblCellMar>
            <w:top w:w="0" w:type="dxa"/>
            <w:left w:w="108" w:type="dxa"/>
            <w:bottom w:w="0" w:type="dxa"/>
            <w:right w:w="108" w:type="dxa"/>
          </w:tblCellMar>
        </w:tblPrEx>
        <w:trPr>
          <w:trHeight w:val="1140" w:hRule="atLeast"/>
        </w:trPr>
        <w:tc>
          <w:tcPr>
            <w:tcW w:w="484" w:type="pct"/>
            <w:noWrap/>
            <w:vAlign w:val="center"/>
          </w:tcPr>
          <w:p w14:paraId="5D8918C6">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it-IT" w:bidi="ar"/>
              </w:rPr>
              <w:t>Jamie S. Chua,et al.</w:t>
            </w:r>
          </w:p>
        </w:tc>
        <w:tc>
          <w:tcPr>
            <w:tcW w:w="252" w:type="pct"/>
            <w:noWrap/>
            <w:vAlign w:val="center"/>
          </w:tcPr>
          <w:p w14:paraId="45C4F0EC">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2019</w:t>
            </w:r>
          </w:p>
        </w:tc>
        <w:tc>
          <w:tcPr>
            <w:tcW w:w="839" w:type="pct"/>
            <w:noWrap/>
            <w:vAlign w:val="center"/>
          </w:tcPr>
          <w:p w14:paraId="4BCCD7CB">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Microangiopathy</w:t>
            </w:r>
          </w:p>
        </w:tc>
        <w:tc>
          <w:tcPr>
            <w:tcW w:w="774" w:type="pct"/>
            <w:noWrap/>
            <w:vAlign w:val="center"/>
          </w:tcPr>
          <w:p w14:paraId="3C548A60">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bidi="ar"/>
              </w:rPr>
              <w:t>Active</w:t>
            </w:r>
            <w:r>
              <w:rPr>
                <w:rFonts w:hint="default" w:ascii="Times New Roman" w:hAnsi="Times New Roman" w:eastAsia="宋体" w:cs="Times New Roman"/>
                <w:color w:val="000000"/>
                <w:kern w:val="0"/>
                <w:sz w:val="21"/>
                <w:szCs w:val="21"/>
                <w:lang w:val="en-US" w:eastAsia="zh-CN" w:bidi="ar"/>
              </w:rPr>
              <w:t xml:space="preserve"> and/or</w:t>
            </w:r>
            <w:r>
              <w:rPr>
                <w:rFonts w:hint="default" w:ascii="Times New Roman" w:hAnsi="Times New Roman" w:eastAsia="宋体" w:cs="Times New Roman"/>
                <w:color w:val="000000"/>
                <w:kern w:val="0"/>
                <w:sz w:val="21"/>
                <w:szCs w:val="21"/>
                <w:lang w:bidi="ar"/>
              </w:rPr>
              <w:t xml:space="preserve"> microangiopathy</w:t>
            </w:r>
          </w:p>
        </w:tc>
        <w:tc>
          <w:tcPr>
            <w:tcW w:w="886" w:type="pct"/>
            <w:noWrap/>
            <w:vAlign w:val="center"/>
          </w:tcPr>
          <w:p w14:paraId="77C1496E">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en-US" w:eastAsia="zh-CN" w:bidi="ar"/>
              </w:rPr>
              <w:t>Not graded</w:t>
            </w:r>
          </w:p>
        </w:tc>
        <w:tc>
          <w:tcPr>
            <w:tcW w:w="1762" w:type="pct"/>
            <w:noWrap/>
            <w:vAlign w:val="center"/>
          </w:tcPr>
          <w:p w14:paraId="3EDD6152">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b/>
                <w:bCs/>
                <w:color w:val="000000"/>
                <w:kern w:val="0"/>
                <w:sz w:val="21"/>
                <w:szCs w:val="21"/>
                <w:lang w:bidi="ar"/>
              </w:rPr>
              <w:t>Active</w:t>
            </w:r>
            <w:r>
              <w:rPr>
                <w:rFonts w:hint="default" w:ascii="Times New Roman" w:hAnsi="Times New Roman" w:eastAsia="宋体" w:cs="Times New Roman"/>
                <w:b/>
                <w:bCs/>
                <w:color w:val="000000"/>
                <w:kern w:val="0"/>
                <w:sz w:val="21"/>
                <w:szCs w:val="21"/>
                <w:lang w:val="en-US" w:eastAsia="zh-CN" w:bidi="ar"/>
              </w:rPr>
              <w:t xml:space="preserve"> </w:t>
            </w:r>
            <w:r>
              <w:rPr>
                <w:rFonts w:hint="default" w:ascii="Times New Roman" w:hAnsi="Times New Roman" w:eastAsia="宋体" w:cs="Times New Roman"/>
                <w:b/>
                <w:bCs/>
                <w:color w:val="000000"/>
                <w:kern w:val="0"/>
                <w:sz w:val="21"/>
                <w:szCs w:val="21"/>
                <w:lang w:bidi="ar"/>
              </w:rPr>
              <w:t>microangiopathy :</w:t>
            </w:r>
            <w:r>
              <w:rPr>
                <w:rFonts w:hint="default" w:ascii="Times New Roman" w:hAnsi="Times New Roman" w:eastAsia="宋体" w:cs="Times New Roman"/>
                <w:color w:val="000000"/>
                <w:kern w:val="0"/>
                <w:sz w:val="21"/>
                <w:szCs w:val="21"/>
                <w:lang w:bidi="ar"/>
              </w:rPr>
              <w:t xml:space="preserve"> the presence of</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fibrin, endothelial swelling or denudation, mesangiolysis, or</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microaneurysms in the glomeruli; thrombi, endothelial</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swelling or denudation, intramural fibrin or intimal swelling</w:t>
            </w:r>
            <w:r>
              <w:rPr>
                <w:rFonts w:hint="eastAsia"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in the arterioles; thrombi or myxoid intimal swelling in the</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arteries.</w:t>
            </w:r>
          </w:p>
          <w:p w14:paraId="3B0CEA01">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b/>
                <w:bCs/>
                <w:color w:val="000000"/>
                <w:kern w:val="0"/>
                <w:sz w:val="21"/>
                <w:szCs w:val="21"/>
                <w:lang w:bidi="ar"/>
              </w:rPr>
              <w:t>Chronic microangiopathy:</w:t>
            </w:r>
            <w:r>
              <w:rPr>
                <w:rFonts w:hint="default" w:ascii="Times New Roman" w:hAnsi="Times New Roman" w:eastAsia="宋体" w:cs="Times New Roman"/>
                <w:color w:val="000000"/>
                <w:kern w:val="0"/>
                <w:sz w:val="21"/>
                <w:szCs w:val="21"/>
                <w:lang w:bidi="ar"/>
              </w:rPr>
              <w:t>the presence of fibrous intimal thickening with concentric</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lamination and/or recanalization in the arterioles or arteries;may or may not be accompanied by double</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contours in glomerular peripheral capillary walls</w:t>
            </w:r>
          </w:p>
        </w:tc>
      </w:tr>
      <w:tr w14:paraId="594FB2E5">
        <w:tblPrEx>
          <w:tblCellMar>
            <w:top w:w="0" w:type="dxa"/>
            <w:left w:w="108" w:type="dxa"/>
            <w:bottom w:w="0" w:type="dxa"/>
            <w:right w:w="108" w:type="dxa"/>
          </w:tblCellMar>
        </w:tblPrEx>
        <w:trPr>
          <w:trHeight w:val="1140" w:hRule="atLeast"/>
        </w:trPr>
        <w:tc>
          <w:tcPr>
            <w:tcW w:w="484" w:type="pct"/>
            <w:noWrap/>
            <w:vAlign w:val="center"/>
          </w:tcPr>
          <w:p w14:paraId="2CA67645">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Y. Shen, et al.</w:t>
            </w:r>
          </w:p>
        </w:tc>
        <w:tc>
          <w:tcPr>
            <w:tcW w:w="252" w:type="pct"/>
            <w:noWrap/>
            <w:vAlign w:val="center"/>
          </w:tcPr>
          <w:p w14:paraId="3102CA94">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2022</w:t>
            </w:r>
          </w:p>
        </w:tc>
        <w:tc>
          <w:tcPr>
            <w:tcW w:w="839" w:type="pct"/>
            <w:noWrap/>
            <w:vAlign w:val="center"/>
          </w:tcPr>
          <w:p w14:paraId="37EA26F1">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Arteriolar hyalinosis</w:t>
            </w:r>
          </w:p>
        </w:tc>
        <w:tc>
          <w:tcPr>
            <w:tcW w:w="774" w:type="pct"/>
            <w:noWrap/>
            <w:vAlign w:val="center"/>
          </w:tcPr>
          <w:p w14:paraId="5BD14380">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Not classified</w:t>
            </w:r>
          </w:p>
        </w:tc>
        <w:tc>
          <w:tcPr>
            <w:tcW w:w="886" w:type="pct"/>
            <w:noWrap/>
            <w:vAlign w:val="center"/>
          </w:tcPr>
          <w:p w14:paraId="61E2A3E1">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classified 0, 1</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25,</w:t>
            </w:r>
          </w:p>
          <w:p w14:paraId="4F4E18B1">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26</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50% according to the estimation of the fraction of</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most-affected arteriolar wall replaced by hyaline</w:t>
            </w:r>
          </w:p>
        </w:tc>
        <w:tc>
          <w:tcPr>
            <w:tcW w:w="1762" w:type="pct"/>
            <w:noWrap/>
            <w:vAlign w:val="center"/>
          </w:tcPr>
          <w:p w14:paraId="076E36E8">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Arteriolar hyalinosis consists of the deposition of</w:t>
            </w:r>
            <w:r>
              <w:rPr>
                <w:rFonts w:hint="eastAsia"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hyaline material into the vascular wall coupled with</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matrix protein synthesis</w:t>
            </w:r>
          </w:p>
        </w:tc>
      </w:tr>
      <w:tr w14:paraId="1F8C8D96">
        <w:tblPrEx>
          <w:tblCellMar>
            <w:top w:w="0" w:type="dxa"/>
            <w:left w:w="108" w:type="dxa"/>
            <w:bottom w:w="0" w:type="dxa"/>
            <w:right w:w="108" w:type="dxa"/>
          </w:tblCellMar>
        </w:tblPrEx>
        <w:trPr>
          <w:trHeight w:val="1140" w:hRule="atLeast"/>
        </w:trPr>
        <w:tc>
          <w:tcPr>
            <w:tcW w:w="484" w:type="pct"/>
            <w:noWrap/>
            <w:vAlign w:val="center"/>
          </w:tcPr>
          <w:p w14:paraId="0DCC7B1E">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Q. Wu, et al.</w:t>
            </w:r>
          </w:p>
        </w:tc>
        <w:tc>
          <w:tcPr>
            <w:tcW w:w="252" w:type="pct"/>
            <w:noWrap/>
            <w:vAlign w:val="center"/>
          </w:tcPr>
          <w:p w14:paraId="12F32ABC">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2025</w:t>
            </w:r>
          </w:p>
        </w:tc>
        <w:tc>
          <w:tcPr>
            <w:tcW w:w="839" w:type="pct"/>
            <w:noWrap/>
            <w:vAlign w:val="center"/>
          </w:tcPr>
          <w:p w14:paraId="4197594F">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Moderate to severe chronic arteriolar lesions</w:t>
            </w:r>
          </w:p>
        </w:tc>
        <w:tc>
          <w:tcPr>
            <w:tcW w:w="774" w:type="pct"/>
            <w:noWrap/>
            <w:vAlign w:val="center"/>
          </w:tcPr>
          <w:p w14:paraId="29CE6E5A">
            <w:pPr>
              <w:widowControl/>
              <w:spacing w:line="240" w:lineRule="auto"/>
              <w:jc w:val="center"/>
              <w:textAlignment w:val="center"/>
              <w:rPr>
                <w:rFonts w:hint="default" w:ascii="Times New Roman" w:hAnsi="Times New Roman" w:eastAsia="宋体" w:cs="Times New Roman"/>
                <w:color w:val="000000"/>
                <w:kern w:val="0"/>
                <w:sz w:val="21"/>
                <w:szCs w:val="21"/>
                <w:lang w:eastAsia="zh-CN" w:bidi="ar"/>
              </w:rPr>
            </w:pPr>
            <w:r>
              <w:rPr>
                <w:rFonts w:hint="default" w:ascii="Times New Roman" w:hAnsi="Times New Roman" w:eastAsia="宋体" w:cs="Times New Roman"/>
                <w:color w:val="000000"/>
                <w:kern w:val="0"/>
                <w:sz w:val="21"/>
                <w:szCs w:val="21"/>
                <w:lang w:val="en-US" w:eastAsia="zh-CN" w:bidi="ar"/>
              </w:rPr>
              <w:t>Not classified</w:t>
            </w:r>
          </w:p>
        </w:tc>
        <w:tc>
          <w:tcPr>
            <w:tcW w:w="886" w:type="pct"/>
            <w:noWrap/>
            <w:vAlign w:val="center"/>
          </w:tcPr>
          <w:p w14:paraId="644D1F13">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No lesion</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bidi="ar"/>
              </w:rPr>
              <w:t>Mild lesion</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bidi="ar"/>
              </w:rPr>
              <w:t>Moderate lesion</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bidi="ar"/>
              </w:rPr>
              <w:t>Severe lesion</w:t>
            </w:r>
          </w:p>
        </w:tc>
        <w:tc>
          <w:tcPr>
            <w:tcW w:w="1762" w:type="pct"/>
            <w:noWrap/>
            <w:vAlign w:val="center"/>
          </w:tcPr>
          <w:p w14:paraId="64585E99">
            <w:pPr>
              <w:widowControl/>
              <w:spacing w:line="240" w:lineRule="auto"/>
              <w:jc w:val="both"/>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b/>
                <w:bCs/>
                <w:color w:val="000000"/>
                <w:kern w:val="0"/>
                <w:sz w:val="21"/>
                <w:szCs w:val="21"/>
                <w:lang w:bidi="ar"/>
              </w:rPr>
              <w:t>Moderate lesion</w:t>
            </w:r>
            <w:r>
              <w:rPr>
                <w:rFonts w:hint="default" w:ascii="Times New Roman" w:hAnsi="Times New Roman" w:eastAsia="宋体" w:cs="Times New Roman"/>
                <w:color w:val="000000"/>
                <w:kern w:val="0"/>
                <w:sz w:val="21"/>
                <w:szCs w:val="21"/>
                <w:lang w:bidi="ar"/>
              </w:rPr>
              <w:t>: Both the intimal and medial layers are thickened, exhibiting moderate luminal</w:t>
            </w:r>
            <w:r>
              <w:rPr>
                <w:rFonts w:hint="eastAsia"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 xml:space="preserve">stenosis, with luminal stenosis &gt;26% and &lt;50%, which may or may not be accompanied by hyalinization of the vessel wall </w:t>
            </w:r>
            <w:r>
              <w:rPr>
                <w:rFonts w:hint="default" w:ascii="Times New Roman" w:hAnsi="Times New Roman" w:eastAsia="宋体" w:cs="Times New Roman"/>
                <w:color w:val="000000"/>
                <w:kern w:val="0"/>
                <w:sz w:val="21"/>
                <w:szCs w:val="21"/>
                <w:lang w:val="en-US" w:eastAsia="zh-CN" w:bidi="ar"/>
              </w:rPr>
              <w:t>.</w:t>
            </w:r>
          </w:p>
          <w:p w14:paraId="1A727861">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b/>
                <w:bCs/>
                <w:color w:val="000000"/>
                <w:kern w:val="0"/>
                <w:sz w:val="21"/>
                <w:szCs w:val="21"/>
                <w:lang w:bidi="ar"/>
              </w:rPr>
              <w:t>Severe lesion:</w:t>
            </w:r>
            <w:r>
              <w:rPr>
                <w:rFonts w:hint="default" w:ascii="Times New Roman" w:hAnsi="Times New Roman" w:eastAsia="宋体" w:cs="Times New Roman"/>
                <w:color w:val="000000"/>
                <w:kern w:val="0"/>
                <w:sz w:val="21"/>
                <w:szCs w:val="21"/>
                <w:lang w:bidi="ar"/>
              </w:rPr>
              <w:t xml:space="preserve"> There is marked thickening of both the intimal and medial layers, a significant increase in the smooth muscle layers of the media, accompanied by severe luminal stenosis, with luminal stenosis &gt;50%, which may or may not be accompanied by hyalinization of the vessel wall</w:t>
            </w:r>
          </w:p>
        </w:tc>
      </w:tr>
      <w:tr w14:paraId="492512D2">
        <w:tblPrEx>
          <w:tblCellMar>
            <w:top w:w="0" w:type="dxa"/>
            <w:left w:w="108" w:type="dxa"/>
            <w:bottom w:w="0" w:type="dxa"/>
            <w:right w:w="108" w:type="dxa"/>
          </w:tblCellMar>
        </w:tblPrEx>
        <w:trPr>
          <w:trHeight w:val="760" w:hRule="atLeast"/>
        </w:trPr>
        <w:tc>
          <w:tcPr>
            <w:tcW w:w="484" w:type="pct"/>
            <w:noWrap/>
            <w:vAlign w:val="center"/>
          </w:tcPr>
          <w:p w14:paraId="0943BA7D">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 Dong,et al.</w:t>
            </w:r>
          </w:p>
        </w:tc>
        <w:tc>
          <w:tcPr>
            <w:tcW w:w="252" w:type="pct"/>
            <w:noWrap/>
            <w:vAlign w:val="center"/>
          </w:tcPr>
          <w:p w14:paraId="1A097B3D">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2021</w:t>
            </w:r>
          </w:p>
        </w:tc>
        <w:tc>
          <w:tcPr>
            <w:tcW w:w="839" w:type="pct"/>
            <w:noWrap/>
            <w:vAlign w:val="center"/>
          </w:tcPr>
          <w:p w14:paraId="0ECA25CD">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Arterial-Arteriolar Sclerosis</w:t>
            </w:r>
          </w:p>
        </w:tc>
        <w:tc>
          <w:tcPr>
            <w:tcW w:w="774" w:type="pct"/>
            <w:noWrap/>
            <w:vAlign w:val="center"/>
          </w:tcPr>
          <w:p w14:paraId="0A84286C">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intimal thickening</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bidi="ar"/>
              </w:rPr>
              <w:t xml:space="preserve"> Hyaline change</w:t>
            </w:r>
          </w:p>
        </w:tc>
        <w:tc>
          <w:tcPr>
            <w:tcW w:w="886" w:type="pct"/>
            <w:noWrap/>
            <w:vAlign w:val="center"/>
          </w:tcPr>
          <w:p w14:paraId="7D51A79C">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intimal thickening was scored 0</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2</w:t>
            </w:r>
          </w:p>
          <w:p w14:paraId="1488BABD">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Hyaline change was assessed as presence or absence.</w:t>
            </w:r>
          </w:p>
        </w:tc>
        <w:tc>
          <w:tcPr>
            <w:tcW w:w="1762" w:type="pct"/>
            <w:noWrap/>
            <w:vAlign w:val="center"/>
          </w:tcPr>
          <w:p w14:paraId="06558CC5">
            <w:pPr>
              <w:widowControl/>
              <w:spacing w:line="240" w:lineRule="auto"/>
              <w:jc w:val="left"/>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bidi="ar"/>
              </w:rPr>
              <w:t>AS was defined as the presence of arterial intimal thickening or</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arterial-arteriolar hyaline changes in efferent arterioles, afferent</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arterioles, artery, and arterioles in the interstitium</w:t>
            </w:r>
          </w:p>
        </w:tc>
      </w:tr>
      <w:tr w14:paraId="34BD65C5">
        <w:tblPrEx>
          <w:tblCellMar>
            <w:top w:w="0" w:type="dxa"/>
            <w:left w:w="108" w:type="dxa"/>
            <w:bottom w:w="0" w:type="dxa"/>
            <w:right w:w="108" w:type="dxa"/>
          </w:tblCellMar>
        </w:tblPrEx>
        <w:trPr>
          <w:trHeight w:val="540" w:hRule="atLeast"/>
        </w:trPr>
        <w:tc>
          <w:tcPr>
            <w:tcW w:w="484" w:type="pct"/>
            <w:noWrap/>
            <w:vAlign w:val="center"/>
          </w:tcPr>
          <w:p w14:paraId="373838C2">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Y. Kaneko,et al.</w:t>
            </w:r>
          </w:p>
        </w:tc>
        <w:tc>
          <w:tcPr>
            <w:tcW w:w="252" w:type="pct"/>
            <w:noWrap/>
            <w:vAlign w:val="center"/>
          </w:tcPr>
          <w:p w14:paraId="11CAB95E">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2016</w:t>
            </w:r>
          </w:p>
        </w:tc>
        <w:tc>
          <w:tcPr>
            <w:tcW w:w="839" w:type="pct"/>
            <w:noWrap/>
            <w:vAlign w:val="center"/>
          </w:tcPr>
          <w:p w14:paraId="72223665">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arteriolar hyalinosis</w:t>
            </w:r>
          </w:p>
        </w:tc>
        <w:tc>
          <w:tcPr>
            <w:tcW w:w="774" w:type="pct"/>
            <w:noWrap/>
            <w:vAlign w:val="center"/>
          </w:tcPr>
          <w:p w14:paraId="2F7BE719">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Not classified</w:t>
            </w:r>
          </w:p>
        </w:tc>
        <w:tc>
          <w:tcPr>
            <w:tcW w:w="886" w:type="pct"/>
            <w:noWrap/>
            <w:vAlign w:val="center"/>
          </w:tcPr>
          <w:p w14:paraId="65D826A1">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Not graded</w:t>
            </w:r>
          </w:p>
        </w:tc>
        <w:tc>
          <w:tcPr>
            <w:tcW w:w="1762" w:type="pct"/>
            <w:noWrap/>
            <w:vAlign w:val="center"/>
          </w:tcPr>
          <w:p w14:paraId="57A9100E">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hyaline deposition</w:t>
            </w:r>
            <w:r>
              <w:rPr>
                <w:rFonts w:hint="default" w:ascii="Times New Roman" w:hAnsi="Times New Roman" w:eastAsia="宋体" w:cs="Times New Roman"/>
                <w:color w:val="000000"/>
                <w:kern w:val="0"/>
                <w:sz w:val="21"/>
                <w:szCs w:val="21"/>
                <w:lang w:val="en-US" w:eastAsia="zh-CN" w:bidi="ar"/>
              </w:rPr>
              <w:t xml:space="preserve"> is</w:t>
            </w:r>
            <w:r>
              <w:rPr>
                <w:rFonts w:hint="default" w:ascii="Times New Roman" w:hAnsi="Times New Roman" w:eastAsia="宋体" w:cs="Times New Roman"/>
                <w:color w:val="000000"/>
                <w:kern w:val="0"/>
                <w:sz w:val="21"/>
                <w:szCs w:val="21"/>
                <w:lang w:bidi="ar"/>
              </w:rPr>
              <w:t xml:space="preserve"> present in arterioles</w:t>
            </w:r>
          </w:p>
        </w:tc>
      </w:tr>
      <w:tr w14:paraId="10528016">
        <w:tblPrEx>
          <w:tblCellMar>
            <w:top w:w="0" w:type="dxa"/>
            <w:left w:w="108" w:type="dxa"/>
            <w:bottom w:w="0" w:type="dxa"/>
            <w:right w:w="108" w:type="dxa"/>
          </w:tblCellMar>
        </w:tblPrEx>
        <w:trPr>
          <w:trHeight w:val="540" w:hRule="atLeast"/>
        </w:trPr>
        <w:tc>
          <w:tcPr>
            <w:tcW w:w="484" w:type="pct"/>
            <w:noWrap/>
            <w:vAlign w:val="center"/>
          </w:tcPr>
          <w:p w14:paraId="52083010">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J. Tu,et al.</w:t>
            </w:r>
          </w:p>
        </w:tc>
        <w:tc>
          <w:tcPr>
            <w:tcW w:w="252" w:type="pct"/>
            <w:noWrap/>
            <w:vAlign w:val="center"/>
          </w:tcPr>
          <w:p w14:paraId="2F6C0EB0">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2025</w:t>
            </w:r>
          </w:p>
        </w:tc>
        <w:tc>
          <w:tcPr>
            <w:tcW w:w="839" w:type="pct"/>
            <w:noWrap/>
            <w:vAlign w:val="center"/>
          </w:tcPr>
          <w:p w14:paraId="15464119">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intrarenal arterial/arteriolar lesions (IALs)</w:t>
            </w:r>
          </w:p>
        </w:tc>
        <w:tc>
          <w:tcPr>
            <w:tcW w:w="774" w:type="pct"/>
            <w:noWrap/>
            <w:vAlign w:val="center"/>
          </w:tcPr>
          <w:p w14:paraId="609D1E99">
            <w:pPr>
              <w:widowControl/>
              <w:spacing w:line="240" w:lineRule="auto"/>
              <w:jc w:val="center"/>
              <w:textAlignment w:val="center"/>
              <w:rPr>
                <w:rFonts w:hint="default" w:ascii="Times New Roman" w:hAnsi="Times New Roman" w:eastAsia="宋体" w:cs="Times New Roman"/>
                <w:color w:val="000000"/>
                <w:kern w:val="0"/>
                <w:sz w:val="21"/>
                <w:szCs w:val="21"/>
                <w:lang w:eastAsia="zh-CN" w:bidi="ar"/>
              </w:rPr>
            </w:pPr>
            <w:r>
              <w:rPr>
                <w:rStyle w:val="45"/>
                <w:rFonts w:hint="default" w:ascii="Times New Roman" w:hAnsi="Times New Roman" w:eastAsia="宋体" w:cs="Times New Roman"/>
                <w:sz w:val="21"/>
                <w:szCs w:val="21"/>
                <w:highlight w:val="none"/>
                <w:lang w:bidi="ar"/>
              </w:rPr>
              <w:t>IALs included intimal fibrosis, hyalinosis, endothelial swelling , and thrombotic</w:t>
            </w:r>
            <w:r>
              <w:rPr>
                <w:rStyle w:val="45"/>
                <w:rFonts w:hint="default" w:ascii="Times New Roman" w:hAnsi="Times New Roman" w:eastAsia="宋体" w:cs="Times New Roman"/>
                <w:sz w:val="21"/>
                <w:szCs w:val="21"/>
                <w:highlight w:val="none"/>
                <w:lang w:val="en-US" w:eastAsia="zh-CN" w:bidi="ar"/>
              </w:rPr>
              <w:t xml:space="preserve"> </w:t>
            </w:r>
            <w:r>
              <w:rPr>
                <w:rStyle w:val="45"/>
                <w:rFonts w:hint="default" w:ascii="Times New Roman" w:hAnsi="Times New Roman" w:eastAsia="宋体" w:cs="Times New Roman"/>
                <w:sz w:val="21"/>
                <w:szCs w:val="21"/>
                <w:highlight w:val="none"/>
                <w:lang w:bidi="ar"/>
              </w:rPr>
              <w:t>microangiopathy</w:t>
            </w:r>
          </w:p>
        </w:tc>
        <w:tc>
          <w:tcPr>
            <w:tcW w:w="886" w:type="pct"/>
            <w:noWrap/>
            <w:vAlign w:val="center"/>
          </w:tcPr>
          <w:p w14:paraId="759A8500">
            <w:pPr>
              <w:widowControl/>
              <w:spacing w:line="240" w:lineRule="auto"/>
              <w:jc w:val="center"/>
              <w:textAlignment w:val="center"/>
              <w:rPr>
                <w:rFonts w:hint="default" w:ascii="Times New Roman" w:hAnsi="Times New Roman" w:eastAsia="宋体" w:cs="Times New Roman"/>
                <w:color w:val="000000"/>
                <w:kern w:val="0"/>
                <w:sz w:val="21"/>
                <w:szCs w:val="21"/>
                <w:lang w:eastAsia="zh-CN" w:bidi="ar"/>
              </w:rPr>
            </w:pPr>
            <w:r>
              <w:rPr>
                <w:rFonts w:hint="default" w:ascii="Times New Roman" w:hAnsi="Times New Roman" w:eastAsia="宋体" w:cs="Times New Roman"/>
                <w:color w:val="000000"/>
                <w:kern w:val="0"/>
                <w:sz w:val="21"/>
                <w:szCs w:val="21"/>
                <w:lang w:bidi="ar"/>
              </w:rPr>
              <w:t>Hyalinosis</w:t>
            </w:r>
            <w:r>
              <w:rPr>
                <w:rFonts w:hint="default" w:ascii="Times New Roman" w:hAnsi="Times New Roman" w:eastAsia="宋体" w:cs="Times New Roman"/>
                <w:color w:val="000000"/>
                <w:kern w:val="0"/>
                <w:sz w:val="21"/>
                <w:szCs w:val="21"/>
                <w:lang w:eastAsia="zh-CN" w:bidi="ar"/>
              </w:rPr>
              <w:t>：Mild、Moderate-Severe</w:t>
            </w:r>
          </w:p>
          <w:p w14:paraId="60EE012F">
            <w:pPr>
              <w:widowControl/>
              <w:spacing w:line="240" w:lineRule="auto"/>
              <w:jc w:val="center"/>
              <w:textAlignment w:val="center"/>
              <w:rPr>
                <w:rFonts w:hint="default" w:ascii="Times New Roman" w:hAnsi="Times New Roman" w:eastAsia="宋体" w:cs="Times New Roman"/>
                <w:color w:val="000000"/>
                <w:kern w:val="0"/>
                <w:sz w:val="21"/>
                <w:szCs w:val="21"/>
                <w:lang w:eastAsia="zh-CN" w:bidi="ar"/>
              </w:rPr>
            </w:pPr>
            <w:r>
              <w:rPr>
                <w:rFonts w:hint="default" w:ascii="Times New Roman" w:hAnsi="Times New Roman" w:eastAsia="宋体" w:cs="Times New Roman"/>
                <w:color w:val="000000"/>
                <w:kern w:val="0"/>
                <w:sz w:val="21"/>
                <w:szCs w:val="21"/>
                <w:lang w:eastAsia="zh-CN" w:bidi="ar"/>
              </w:rPr>
              <w:t>Intimal fibrosis：Mild、Moderate-Severe</w:t>
            </w:r>
          </w:p>
        </w:tc>
        <w:tc>
          <w:tcPr>
            <w:tcW w:w="1762" w:type="pct"/>
            <w:noWrap/>
            <w:vAlign w:val="center"/>
          </w:tcPr>
          <w:p w14:paraId="596EED37">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Mild</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hyalinosis</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small deposition in &lt; 25% of arteries/arterioles;</w:t>
            </w:r>
          </w:p>
          <w:p w14:paraId="3FC5720D">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Moderate</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hyalinosis</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small deposition in 26–50% of arteries/arterioles or large depositions in &lt; 25% of arteries/arterioles;</w:t>
            </w:r>
          </w:p>
          <w:p w14:paraId="615256C2">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Severe hyalinosis</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 xml:space="preserve">extensive deposition in &gt; 50% of </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arteries/arterioles;</w:t>
            </w:r>
          </w:p>
          <w:p w14:paraId="1874A12C">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mild intimal fibrosis</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&lt;25%</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luminal occlusion;</w:t>
            </w:r>
          </w:p>
          <w:p w14:paraId="1CE4E520">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moderate intimal fibrosis</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26%−50% luminal</w:t>
            </w:r>
            <w:r>
              <w:rPr>
                <w:rFonts w:hint="eastAsia"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occlusion;</w:t>
            </w:r>
          </w:p>
          <w:p w14:paraId="0AB14F13">
            <w:pPr>
              <w:widowControl/>
              <w:spacing w:line="240" w:lineRule="auto"/>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severe intimal fibrosis</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&gt;50% luminal occlusion;</w:t>
            </w:r>
          </w:p>
          <w:p w14:paraId="5CEAC669">
            <w:pPr>
              <w:widowControl/>
              <w:spacing w:line="240" w:lineRule="auto"/>
              <w:jc w:val="both"/>
              <w:textAlignment w:val="center"/>
              <w:rPr>
                <w:rFonts w:hint="default" w:ascii="Times New Roman" w:hAnsi="Times New Roman" w:eastAsia="宋体" w:cs="Times New Roman"/>
                <w:color w:val="000000"/>
                <w:kern w:val="0"/>
                <w:sz w:val="21"/>
                <w:szCs w:val="21"/>
                <w:lang w:bidi="ar"/>
              </w:rPr>
            </w:pPr>
          </w:p>
        </w:tc>
      </w:tr>
      <w:tr w14:paraId="5DC44AF7">
        <w:tblPrEx>
          <w:tblCellMar>
            <w:top w:w="0" w:type="dxa"/>
            <w:left w:w="108" w:type="dxa"/>
            <w:bottom w:w="0" w:type="dxa"/>
            <w:right w:w="108" w:type="dxa"/>
          </w:tblCellMar>
        </w:tblPrEx>
        <w:trPr>
          <w:trHeight w:val="540" w:hRule="atLeast"/>
        </w:trPr>
        <w:tc>
          <w:tcPr>
            <w:tcW w:w="484" w:type="pct"/>
            <w:noWrap/>
            <w:vAlign w:val="center"/>
          </w:tcPr>
          <w:p w14:paraId="79064B51">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Ying Zhang,et al.</w:t>
            </w:r>
          </w:p>
        </w:tc>
        <w:tc>
          <w:tcPr>
            <w:tcW w:w="252" w:type="pct"/>
            <w:noWrap/>
            <w:vAlign w:val="center"/>
          </w:tcPr>
          <w:p w14:paraId="4D5D9F17">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2018</w:t>
            </w:r>
          </w:p>
        </w:tc>
        <w:tc>
          <w:tcPr>
            <w:tcW w:w="839" w:type="pct"/>
            <w:noWrap/>
            <w:vAlign w:val="center"/>
          </w:tcPr>
          <w:p w14:paraId="72A72313">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intrarenal arterial lesions</w:t>
            </w:r>
          </w:p>
        </w:tc>
        <w:tc>
          <w:tcPr>
            <w:tcW w:w="774" w:type="pct"/>
            <w:noWrap/>
            <w:vAlign w:val="center"/>
          </w:tcPr>
          <w:p w14:paraId="311E770E">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arterial fibrotic intimal thickening, arteriolar hyaline, arteriolar</w:t>
            </w:r>
          </w:p>
          <w:p w14:paraId="673B6315">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endotheliocyte swelling, arteriolar inflammatory cell infiltration, and arteriolar thrombosis</w:t>
            </w:r>
          </w:p>
        </w:tc>
        <w:tc>
          <w:tcPr>
            <w:tcW w:w="886" w:type="pct"/>
            <w:noWrap/>
            <w:vAlign w:val="center"/>
          </w:tcPr>
          <w:p w14:paraId="0DF98C24">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(1)Arterial</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fibrotic intimal thickening: normal; thickened to less</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more than the thickness of the media.</w:t>
            </w:r>
          </w:p>
          <w:p w14:paraId="34202B92">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(2)Arteriolar hyaline</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bidi="ar"/>
              </w:rPr>
              <w:t>Arteriolar endotheliocyte swelling</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bidi="ar"/>
              </w:rPr>
              <w:t>Arteriolar inflammatory cell infiltration</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bidi="ar"/>
              </w:rPr>
              <w:t>Arteriolar thrombosis: presence</w:t>
            </w:r>
            <w:r>
              <w:rPr>
                <w:rFonts w:hint="default" w:ascii="Times New Roman" w:hAnsi="Times New Roman" w:eastAsia="宋体" w:cs="Times New Roman"/>
                <w:color w:val="000000"/>
                <w:kern w:val="0"/>
                <w:sz w:val="21"/>
                <w:szCs w:val="21"/>
                <w:lang w:val="en-US" w:eastAsia="zh-CN" w:bidi="ar"/>
              </w:rPr>
              <w:t xml:space="preserve"> or </w:t>
            </w:r>
            <w:r>
              <w:rPr>
                <w:rFonts w:hint="default" w:ascii="Times New Roman" w:hAnsi="Times New Roman" w:eastAsia="宋体" w:cs="Times New Roman"/>
                <w:color w:val="000000"/>
                <w:kern w:val="0"/>
                <w:sz w:val="21"/>
                <w:szCs w:val="21"/>
                <w:lang w:bidi="ar"/>
              </w:rPr>
              <w:t>absence.</w:t>
            </w:r>
          </w:p>
        </w:tc>
        <w:tc>
          <w:tcPr>
            <w:tcW w:w="1762" w:type="pct"/>
            <w:noWrap/>
            <w:vAlign w:val="center"/>
          </w:tcPr>
          <w:p w14:paraId="620182A4">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Various renal arterial lesions (arterial fibrotic intimal thickening, arteriolar hyaline, arteriolar</w:t>
            </w:r>
            <w:r>
              <w:rPr>
                <w:rFonts w:hint="eastAsia"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endotheliocyte swelling, arteriolar inflammatory cell infiltration, and arteriolar thrombosis)</w:t>
            </w:r>
          </w:p>
        </w:tc>
      </w:tr>
      <w:tr w14:paraId="0F43314B">
        <w:tblPrEx>
          <w:tblCellMar>
            <w:top w:w="0" w:type="dxa"/>
            <w:left w:w="108" w:type="dxa"/>
            <w:bottom w:w="0" w:type="dxa"/>
            <w:right w:w="108" w:type="dxa"/>
          </w:tblCellMar>
        </w:tblPrEx>
        <w:trPr>
          <w:trHeight w:val="760" w:hRule="atLeast"/>
        </w:trPr>
        <w:tc>
          <w:tcPr>
            <w:tcW w:w="484" w:type="pct"/>
            <w:vAlign w:val="center"/>
          </w:tcPr>
          <w:p w14:paraId="0680F4A0">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N. Sugiura,et al.</w:t>
            </w:r>
          </w:p>
        </w:tc>
        <w:tc>
          <w:tcPr>
            <w:tcW w:w="252" w:type="pct"/>
            <w:vAlign w:val="center"/>
          </w:tcPr>
          <w:p w14:paraId="426FC5D8">
            <w:pPr>
              <w:widowControl/>
              <w:spacing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2021</w:t>
            </w:r>
          </w:p>
        </w:tc>
        <w:tc>
          <w:tcPr>
            <w:tcW w:w="839" w:type="pct"/>
            <w:vAlign w:val="center"/>
          </w:tcPr>
          <w:p w14:paraId="13A68C66">
            <w:pPr>
              <w:widowControl/>
              <w:spacing w:line="240" w:lineRule="auto"/>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kern w:val="0"/>
                <w:sz w:val="21"/>
                <w:szCs w:val="21"/>
                <w:lang w:bidi="ar"/>
              </w:rPr>
              <w:t>arterial and/or arteriolar sclerosis</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val="en-US" w:eastAsia="zh-CN" w:bidi="ar"/>
              </w:rPr>
              <w:t>AAS）</w:t>
            </w:r>
          </w:p>
        </w:tc>
        <w:tc>
          <w:tcPr>
            <w:tcW w:w="774" w:type="pct"/>
            <w:vAlign w:val="center"/>
          </w:tcPr>
          <w:p w14:paraId="7380291A">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arterial intimal thickening</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AIT</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and/or arteriolar hyaline (AH)</w:t>
            </w:r>
          </w:p>
        </w:tc>
        <w:tc>
          <w:tcPr>
            <w:tcW w:w="886" w:type="pct"/>
            <w:vAlign w:val="center"/>
          </w:tcPr>
          <w:p w14:paraId="2FB36B5C">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Not graded</w:t>
            </w:r>
          </w:p>
        </w:tc>
        <w:tc>
          <w:tcPr>
            <w:tcW w:w="1762" w:type="pct"/>
            <w:vAlign w:val="center"/>
          </w:tcPr>
          <w:p w14:paraId="33ACE1F4">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AH was considered as the</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presence of any level of hyalinosis in the arterioles</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and AIT was considered as the presence of any level</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of intimal thickness</w:t>
            </w:r>
          </w:p>
        </w:tc>
      </w:tr>
      <w:tr w14:paraId="5DCD1B3E">
        <w:tblPrEx>
          <w:tblCellMar>
            <w:top w:w="0" w:type="dxa"/>
            <w:left w:w="108" w:type="dxa"/>
            <w:bottom w:w="0" w:type="dxa"/>
            <w:right w:w="108" w:type="dxa"/>
          </w:tblCellMar>
        </w:tblPrEx>
        <w:trPr>
          <w:trHeight w:val="760" w:hRule="atLeast"/>
        </w:trPr>
        <w:tc>
          <w:tcPr>
            <w:tcW w:w="484" w:type="pct"/>
            <w:vAlign w:val="center"/>
          </w:tcPr>
          <w:p w14:paraId="2D4E9B27">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H. T. Yang,et al.</w:t>
            </w:r>
          </w:p>
        </w:tc>
        <w:tc>
          <w:tcPr>
            <w:tcW w:w="252" w:type="pct"/>
            <w:vAlign w:val="center"/>
          </w:tcPr>
          <w:p w14:paraId="4425CE9C">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2024</w:t>
            </w:r>
          </w:p>
        </w:tc>
        <w:tc>
          <w:tcPr>
            <w:tcW w:w="839" w:type="pct"/>
            <w:vAlign w:val="center"/>
          </w:tcPr>
          <w:p w14:paraId="07CF104C">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en-US" w:eastAsia="zh-CN" w:bidi="ar"/>
              </w:rPr>
              <w:t xml:space="preserve">Any </w:t>
            </w:r>
            <w:r>
              <w:rPr>
                <w:rFonts w:hint="default" w:ascii="Times New Roman" w:hAnsi="Times New Roman" w:eastAsia="宋体" w:cs="Times New Roman"/>
                <w:color w:val="000000"/>
                <w:kern w:val="0"/>
                <w:sz w:val="21"/>
                <w:szCs w:val="21"/>
                <w:lang w:bidi="ar"/>
              </w:rPr>
              <w:t>vascular lesions</w:t>
            </w:r>
          </w:p>
        </w:tc>
        <w:tc>
          <w:tcPr>
            <w:tcW w:w="774" w:type="pct"/>
            <w:vAlign w:val="center"/>
          </w:tcPr>
          <w:p w14:paraId="73DF775B">
            <w:pPr>
              <w:widowControl/>
              <w:spacing w:line="240" w:lineRule="auto"/>
              <w:jc w:val="center"/>
              <w:textAlignment w:val="center"/>
              <w:rPr>
                <w:rFonts w:hint="default" w:ascii="Times New Roman" w:hAnsi="Times New Roman" w:eastAsia="宋体" w:cs="Times New Roman"/>
                <w:color w:val="000000"/>
                <w:kern w:val="0"/>
                <w:sz w:val="21"/>
                <w:szCs w:val="21"/>
                <w:highlight w:val="none"/>
                <w:lang w:bidi="ar"/>
              </w:rPr>
            </w:pPr>
            <w:r>
              <w:rPr>
                <w:rFonts w:hint="default" w:ascii="Times New Roman" w:hAnsi="Times New Roman" w:eastAsia="宋体" w:cs="Times New Roman"/>
                <w:color w:val="000000"/>
                <w:kern w:val="0"/>
                <w:sz w:val="21"/>
                <w:szCs w:val="21"/>
                <w:highlight w:val="none"/>
                <w:lang w:bidi="ar"/>
              </w:rPr>
              <w:t>arteriolar wall thickening</w:t>
            </w:r>
            <w:r>
              <w:rPr>
                <w:rFonts w:hint="default" w:ascii="Times New Roman" w:hAnsi="Times New Roman" w:eastAsia="宋体" w:cs="Times New Roman"/>
                <w:color w:val="000000"/>
                <w:kern w:val="0"/>
                <w:sz w:val="21"/>
                <w:szCs w:val="21"/>
                <w:highlight w:val="none"/>
                <w:lang w:eastAsia="zh-CN" w:bidi="ar"/>
              </w:rPr>
              <w:t>、</w:t>
            </w:r>
            <w:r>
              <w:rPr>
                <w:rFonts w:hint="default" w:ascii="Times New Roman" w:hAnsi="Times New Roman" w:eastAsia="宋体" w:cs="Times New Roman"/>
                <w:color w:val="000000"/>
                <w:kern w:val="0"/>
                <w:sz w:val="21"/>
                <w:szCs w:val="21"/>
                <w:highlight w:val="none"/>
                <w:lang w:bidi="ar"/>
              </w:rPr>
              <w:t>arteriolar hyalinosis</w:t>
            </w:r>
            <w:r>
              <w:rPr>
                <w:rFonts w:hint="default" w:ascii="Times New Roman" w:hAnsi="Times New Roman" w:eastAsia="宋体"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bidi="ar"/>
              </w:rPr>
              <w:t>fibrous intimal</w:t>
            </w:r>
            <w:r>
              <w:rPr>
                <w:rFonts w:hint="default" w:ascii="Times New Roman" w:hAnsi="Times New Roman" w:eastAsia="宋体" w:cs="Times New Roman"/>
                <w:color w:val="000000"/>
                <w:kern w:val="0"/>
                <w:sz w:val="21"/>
                <w:szCs w:val="21"/>
                <w:highlight w:val="none"/>
                <w:lang w:val="en-US" w:eastAsia="zh-CN" w:bidi="ar"/>
              </w:rPr>
              <w:t xml:space="preserve"> </w:t>
            </w:r>
            <w:r>
              <w:rPr>
                <w:rFonts w:hint="default" w:ascii="Times New Roman" w:hAnsi="Times New Roman" w:eastAsia="宋体" w:cs="Times New Roman"/>
                <w:color w:val="000000"/>
                <w:kern w:val="0"/>
                <w:sz w:val="21"/>
                <w:szCs w:val="21"/>
                <w:highlight w:val="none"/>
                <w:lang w:bidi="ar"/>
              </w:rPr>
              <w:t>thickening</w:t>
            </w:r>
          </w:p>
          <w:p w14:paraId="409C740C">
            <w:pPr>
              <w:widowControl/>
              <w:spacing w:line="240" w:lineRule="auto"/>
              <w:jc w:val="center"/>
              <w:textAlignment w:val="center"/>
              <w:rPr>
                <w:rFonts w:hint="default" w:ascii="Times New Roman" w:hAnsi="Times New Roman" w:eastAsia="宋体" w:cs="Times New Roman"/>
                <w:color w:val="000000"/>
                <w:kern w:val="0"/>
                <w:sz w:val="21"/>
                <w:szCs w:val="21"/>
                <w:lang w:bidi="ar"/>
              </w:rPr>
            </w:pPr>
          </w:p>
        </w:tc>
        <w:tc>
          <w:tcPr>
            <w:tcW w:w="886" w:type="pct"/>
            <w:vAlign w:val="center"/>
          </w:tcPr>
          <w:p w14:paraId="7507A33A">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positive</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bidi="ar"/>
              </w:rPr>
              <w:t>moderate to severe</w:t>
            </w:r>
          </w:p>
          <w:p w14:paraId="5A6B2F13">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bidi="ar"/>
              </w:rPr>
              <w:t>Negative</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bidi="ar"/>
              </w:rPr>
              <w:t>no or mild</w:t>
            </w:r>
          </w:p>
        </w:tc>
        <w:tc>
          <w:tcPr>
            <w:tcW w:w="1762" w:type="pct"/>
            <w:vAlign w:val="center"/>
          </w:tcPr>
          <w:p w14:paraId="24169352">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the specimen exhibited at least one vascular lesion includ</w:t>
            </w:r>
            <w:r>
              <w:rPr>
                <w:rFonts w:hint="default" w:ascii="Times New Roman" w:hAnsi="Times New Roman" w:eastAsia="宋体" w:cs="Times New Roman"/>
                <w:color w:val="000000"/>
                <w:kern w:val="0"/>
                <w:sz w:val="21"/>
                <w:szCs w:val="21"/>
                <w:lang w:val="en-US" w:eastAsia="zh-CN" w:bidi="ar"/>
              </w:rPr>
              <w:t xml:space="preserve">ing </w:t>
            </w:r>
            <w:r>
              <w:rPr>
                <w:rFonts w:hint="default" w:ascii="Times New Roman" w:hAnsi="Times New Roman" w:eastAsia="宋体" w:cs="Times New Roman"/>
                <w:color w:val="000000"/>
                <w:kern w:val="0"/>
                <w:sz w:val="21"/>
                <w:szCs w:val="21"/>
                <w:lang w:bidi="ar"/>
              </w:rPr>
              <w:t>arteriolar wall thickening</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bidi="ar"/>
              </w:rPr>
              <w:t>arteriolar hyalinosis</w:t>
            </w:r>
            <w:r>
              <w:rPr>
                <w:rFonts w:hint="default" w:ascii="Times New Roman" w:hAnsi="Times New Roman" w:eastAsia="宋体" w:cs="Times New Roman"/>
                <w:color w:val="000000"/>
                <w:kern w:val="0"/>
                <w:sz w:val="21"/>
                <w:szCs w:val="21"/>
                <w:lang w:val="en-US" w:eastAsia="zh-CN" w:bidi="ar"/>
              </w:rPr>
              <w:t xml:space="preserve"> and</w:t>
            </w:r>
            <w:r>
              <w:rPr>
                <w:rFonts w:hint="default" w:ascii="Times New Roman" w:hAnsi="Times New Roman" w:eastAsia="宋体" w:cs="Times New Roman"/>
                <w:color w:val="000000"/>
                <w:kern w:val="0"/>
                <w:sz w:val="21"/>
                <w:szCs w:val="21"/>
                <w:lang w:bidi="ar"/>
              </w:rPr>
              <w:t xml:space="preserve"> fibrous intimal thickening was categorized as a vascular lesion</w:t>
            </w:r>
          </w:p>
        </w:tc>
      </w:tr>
      <w:tr w14:paraId="6CC51103">
        <w:tblPrEx>
          <w:tblCellMar>
            <w:top w:w="0" w:type="dxa"/>
            <w:left w:w="108" w:type="dxa"/>
            <w:bottom w:w="0" w:type="dxa"/>
            <w:right w:w="108" w:type="dxa"/>
          </w:tblCellMar>
        </w:tblPrEx>
        <w:trPr>
          <w:trHeight w:val="760" w:hRule="atLeast"/>
        </w:trPr>
        <w:tc>
          <w:tcPr>
            <w:tcW w:w="484" w:type="pct"/>
            <w:vAlign w:val="center"/>
          </w:tcPr>
          <w:p w14:paraId="4025E02F">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Z. Y. Huang,et al.</w:t>
            </w:r>
          </w:p>
        </w:tc>
        <w:tc>
          <w:tcPr>
            <w:tcW w:w="252" w:type="pct"/>
            <w:vAlign w:val="center"/>
          </w:tcPr>
          <w:p w14:paraId="36530C61">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2023</w:t>
            </w:r>
          </w:p>
        </w:tc>
        <w:tc>
          <w:tcPr>
            <w:tcW w:w="839" w:type="pct"/>
            <w:vAlign w:val="center"/>
          </w:tcPr>
          <w:p w14:paraId="7AA89592">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Style w:val="45"/>
                <w:rFonts w:hint="default" w:ascii="Times New Roman" w:hAnsi="Times New Roman" w:eastAsia="宋体" w:cs="Times New Roman"/>
                <w:sz w:val="21"/>
                <w:szCs w:val="21"/>
                <w:lang w:bidi="ar"/>
              </w:rPr>
              <w:t>intrarenal vascular lesions</w:t>
            </w:r>
          </w:p>
        </w:tc>
        <w:tc>
          <w:tcPr>
            <w:tcW w:w="774" w:type="pct"/>
            <w:vAlign w:val="center"/>
          </w:tcPr>
          <w:p w14:paraId="3C2641E4">
            <w:pPr>
              <w:widowControl/>
              <w:spacing w:line="240" w:lineRule="auto"/>
              <w:jc w:val="center"/>
              <w:textAlignment w:val="center"/>
              <w:rPr>
                <w:rStyle w:val="45"/>
                <w:rFonts w:hint="default" w:ascii="Times New Roman" w:hAnsi="Times New Roman" w:eastAsia="宋体" w:cs="Times New Roman"/>
                <w:sz w:val="21"/>
                <w:szCs w:val="21"/>
                <w:highlight w:val="none"/>
                <w:lang w:bidi="ar"/>
              </w:rPr>
            </w:pPr>
            <w:r>
              <w:rPr>
                <w:rStyle w:val="45"/>
                <w:rFonts w:hint="default" w:ascii="Times New Roman" w:hAnsi="Times New Roman" w:eastAsia="宋体" w:cs="Times New Roman"/>
                <w:sz w:val="21"/>
                <w:szCs w:val="21"/>
                <w:highlight w:val="none"/>
                <w:lang w:bidi="ar"/>
              </w:rPr>
              <w:t>arterial intimal thickening,arteriolar hyalinosis, and microangiopathy</w:t>
            </w:r>
          </w:p>
          <w:p w14:paraId="01884162">
            <w:pPr>
              <w:widowControl/>
              <w:spacing w:line="240" w:lineRule="auto"/>
              <w:jc w:val="center"/>
              <w:textAlignment w:val="center"/>
              <w:rPr>
                <w:rFonts w:hint="default" w:ascii="Times New Roman" w:hAnsi="Times New Roman" w:eastAsia="宋体" w:cs="Times New Roman"/>
                <w:color w:val="000000"/>
                <w:kern w:val="0"/>
                <w:sz w:val="21"/>
                <w:szCs w:val="21"/>
                <w:lang w:bidi="ar"/>
              </w:rPr>
            </w:pPr>
          </w:p>
        </w:tc>
        <w:tc>
          <w:tcPr>
            <w:tcW w:w="886" w:type="pct"/>
            <w:vAlign w:val="center"/>
          </w:tcPr>
          <w:p w14:paraId="691C796A">
            <w:pPr>
              <w:widowControl/>
              <w:spacing w:line="240" w:lineRule="auto"/>
              <w:jc w:val="both"/>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Not graded</w:t>
            </w:r>
          </w:p>
        </w:tc>
        <w:tc>
          <w:tcPr>
            <w:tcW w:w="1762" w:type="pct"/>
            <w:vAlign w:val="center"/>
          </w:tcPr>
          <w:p w14:paraId="6999C8F8">
            <w:pPr>
              <w:widowControl/>
              <w:spacing w:line="240" w:lineRule="auto"/>
              <w:jc w:val="both"/>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The intrarenal vascular lesions included arterial intimal thickening, arteriolar hyalinosis, and microangiopathy (“onionskin” lesion, fibrinoid necrosis, thrombotic microangiopathy, endothelial cell swelling and subintimal edema).</w:t>
            </w:r>
          </w:p>
        </w:tc>
      </w:tr>
      <w:tr w14:paraId="78619F9B">
        <w:tblPrEx>
          <w:tblCellMar>
            <w:top w:w="0" w:type="dxa"/>
            <w:left w:w="108" w:type="dxa"/>
            <w:bottom w:w="0" w:type="dxa"/>
            <w:right w:w="108" w:type="dxa"/>
          </w:tblCellMar>
        </w:tblPrEx>
        <w:trPr>
          <w:trHeight w:val="760" w:hRule="atLeast"/>
        </w:trPr>
        <w:tc>
          <w:tcPr>
            <w:tcW w:w="484" w:type="pct"/>
            <w:tcBorders>
              <w:bottom w:val="single" w:color="auto" w:sz="4" w:space="0"/>
            </w:tcBorders>
            <w:vAlign w:val="center"/>
          </w:tcPr>
          <w:p w14:paraId="3917A277">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Y. Ruan,et al.</w:t>
            </w:r>
          </w:p>
        </w:tc>
        <w:tc>
          <w:tcPr>
            <w:tcW w:w="252" w:type="pct"/>
            <w:tcBorders>
              <w:bottom w:val="single" w:color="auto" w:sz="4" w:space="0"/>
            </w:tcBorders>
            <w:vAlign w:val="center"/>
          </w:tcPr>
          <w:p w14:paraId="45C23A3E">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2023</w:t>
            </w:r>
          </w:p>
        </w:tc>
        <w:tc>
          <w:tcPr>
            <w:tcW w:w="839" w:type="pct"/>
            <w:tcBorders>
              <w:bottom w:val="single" w:color="auto" w:sz="4" w:space="0"/>
            </w:tcBorders>
            <w:vAlign w:val="center"/>
          </w:tcPr>
          <w:p w14:paraId="2C7DF055">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intrarenal vascular lesions</w:t>
            </w:r>
          </w:p>
        </w:tc>
        <w:tc>
          <w:tcPr>
            <w:tcW w:w="774" w:type="pct"/>
            <w:tcBorders>
              <w:bottom w:val="single" w:color="auto" w:sz="4" w:space="0"/>
            </w:tcBorders>
            <w:vAlign w:val="center"/>
          </w:tcPr>
          <w:p w14:paraId="5723BD89">
            <w:pPr>
              <w:widowControl/>
              <w:spacing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arterial intimal fibrosis, arteriolar hyalinosis and microangiopathy,</w:t>
            </w:r>
          </w:p>
        </w:tc>
        <w:tc>
          <w:tcPr>
            <w:tcW w:w="886" w:type="pct"/>
            <w:tcBorders>
              <w:bottom w:val="single" w:color="auto" w:sz="4" w:space="0"/>
            </w:tcBorders>
            <w:vAlign w:val="center"/>
          </w:tcPr>
          <w:p w14:paraId="59E8EAA6">
            <w:pPr>
              <w:widowControl/>
              <w:spacing w:line="240" w:lineRule="auto"/>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Not graded</w:t>
            </w:r>
          </w:p>
        </w:tc>
        <w:tc>
          <w:tcPr>
            <w:tcW w:w="1762" w:type="pct"/>
            <w:tcBorders>
              <w:bottom w:val="single" w:color="auto" w:sz="4" w:space="0"/>
            </w:tcBorders>
            <w:vAlign w:val="center"/>
          </w:tcPr>
          <w:p w14:paraId="1C42A533">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b/>
                <w:bCs/>
                <w:color w:val="000000"/>
                <w:kern w:val="0"/>
                <w:sz w:val="21"/>
                <w:szCs w:val="21"/>
                <w:lang w:bidi="ar"/>
              </w:rPr>
              <w:t>Microangiopathic lesions</w:t>
            </w:r>
            <w:r>
              <w:rPr>
                <w:rFonts w:hint="default" w:ascii="Times New Roman" w:hAnsi="Times New Roman" w:eastAsia="宋体" w:cs="Times New Roman"/>
                <w:color w:val="000000"/>
                <w:kern w:val="0"/>
                <w:sz w:val="21"/>
                <w:szCs w:val="21"/>
                <w:lang w:bidi="ar"/>
              </w:rPr>
              <w:t xml:space="preserve"> include endothelial cell swelling and subintimal edema, arteriolar</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thrombosis, and/or fibrinoid necrosis. Lesions</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bidi="ar"/>
              </w:rPr>
              <w:t>with arterial “onion-skin” were also considered as microangiopathic lesions.</w:t>
            </w:r>
          </w:p>
          <w:p w14:paraId="1D5E43AF">
            <w:pPr>
              <w:widowControl/>
              <w:spacing w:line="240" w:lineRule="auto"/>
              <w:jc w:val="both"/>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b/>
                <w:bCs/>
                <w:color w:val="000000"/>
                <w:kern w:val="0"/>
                <w:sz w:val="21"/>
                <w:szCs w:val="21"/>
                <w:lang w:bidi="ar"/>
              </w:rPr>
              <w:t>Arteriolosclerosis lesions</w:t>
            </w:r>
            <w:r>
              <w:rPr>
                <w:rFonts w:hint="default" w:ascii="Times New Roman" w:hAnsi="Times New Roman" w:eastAsia="宋体" w:cs="Times New Roman"/>
                <w:color w:val="000000"/>
                <w:kern w:val="0"/>
                <w:sz w:val="21"/>
                <w:szCs w:val="21"/>
                <w:lang w:bidi="ar"/>
              </w:rPr>
              <w:t xml:space="preserve"> involved arterial intimal fibrosis and arteriolar hyalinosis.</w:t>
            </w:r>
          </w:p>
        </w:tc>
      </w:tr>
    </w:tbl>
    <w:p w14:paraId="0D13D535"/>
    <w:p w14:paraId="06EE5643"/>
    <w:p w14:paraId="38778F19">
      <w:pPr>
        <w:rPr>
          <w:rFonts w:hint="eastAsia" w:cs="Times New Roman"/>
          <w:b/>
          <w:bCs/>
        </w:rPr>
      </w:pPr>
    </w:p>
    <w:sectPr>
      <w:type w:val="continuous"/>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4965162"/>
      <w:docPartObj>
        <w:docPartGallery w:val="autotext"/>
      </w:docPartObj>
    </w:sdtPr>
    <w:sdtContent>
      <w:p w14:paraId="45ABDDE4">
        <w:pPr>
          <w:pStyle w:val="11"/>
          <w:jc w:val="center"/>
        </w:pPr>
        <w:r>
          <w:fldChar w:fldCharType="begin"/>
        </w:r>
        <w:r>
          <w:instrText xml:space="preserve">PAGE   \* MERGEFORMAT</w:instrText>
        </w:r>
        <w:r>
          <w:fldChar w:fldCharType="separate"/>
        </w:r>
        <w:r>
          <w:rPr>
            <w:lang w:val="zh-CN"/>
          </w:rPr>
          <w:t>2</w:t>
        </w:r>
        <w:r>
          <w:fldChar w:fldCharType="end"/>
        </w:r>
      </w:p>
    </w:sdtContent>
  </w:sdt>
  <w:p w14:paraId="1F123E54">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284845"/>
    <w:multiLevelType w:val="multilevel"/>
    <w:tmpl w:val="19284845"/>
    <w:lvl w:ilvl="0" w:tentative="0">
      <w:start w:val="1"/>
      <w:numFmt w:val="decimal"/>
      <w:pStyle w:val="21"/>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26860EA0"/>
    <w:multiLevelType w:val="multilevel"/>
    <w:tmpl w:val="26860EA0"/>
    <w:lvl w:ilvl="0" w:tentative="0">
      <w:start w:val="1"/>
      <w:numFmt w:val="decimal"/>
      <w:pStyle w:val="24"/>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A49"/>
    <w:rsid w:val="00051441"/>
    <w:rsid w:val="00056A08"/>
    <w:rsid w:val="00075A49"/>
    <w:rsid w:val="00095744"/>
    <w:rsid w:val="000E2B35"/>
    <w:rsid w:val="000E2FA4"/>
    <w:rsid w:val="0012771D"/>
    <w:rsid w:val="001D130A"/>
    <w:rsid w:val="00241D5D"/>
    <w:rsid w:val="002F2804"/>
    <w:rsid w:val="00312E2C"/>
    <w:rsid w:val="003943A6"/>
    <w:rsid w:val="004E18F6"/>
    <w:rsid w:val="004F1B5B"/>
    <w:rsid w:val="00515F37"/>
    <w:rsid w:val="00570074"/>
    <w:rsid w:val="00575517"/>
    <w:rsid w:val="005D001B"/>
    <w:rsid w:val="00640BA3"/>
    <w:rsid w:val="006E6746"/>
    <w:rsid w:val="006F4AB7"/>
    <w:rsid w:val="007B0776"/>
    <w:rsid w:val="00854A89"/>
    <w:rsid w:val="008753D7"/>
    <w:rsid w:val="0099608C"/>
    <w:rsid w:val="00A06711"/>
    <w:rsid w:val="00B338B3"/>
    <w:rsid w:val="00B5786B"/>
    <w:rsid w:val="00B84FBE"/>
    <w:rsid w:val="00BE31CD"/>
    <w:rsid w:val="00C02D28"/>
    <w:rsid w:val="00C97F55"/>
    <w:rsid w:val="00CB5BC3"/>
    <w:rsid w:val="00CE57B5"/>
    <w:rsid w:val="00CE5D97"/>
    <w:rsid w:val="00DB0406"/>
    <w:rsid w:val="00E435E6"/>
    <w:rsid w:val="00E85697"/>
    <w:rsid w:val="00EB1837"/>
    <w:rsid w:val="00F03676"/>
    <w:rsid w:val="00F2069C"/>
    <w:rsid w:val="00F80D7F"/>
    <w:rsid w:val="06F85085"/>
    <w:rsid w:val="0A122902"/>
    <w:rsid w:val="10B244F7"/>
    <w:rsid w:val="17B80644"/>
    <w:rsid w:val="1B8A22F8"/>
    <w:rsid w:val="221A1EFC"/>
    <w:rsid w:val="25916979"/>
    <w:rsid w:val="26804A23"/>
    <w:rsid w:val="3EC707D8"/>
    <w:rsid w:val="4269685C"/>
    <w:rsid w:val="44B41F51"/>
    <w:rsid w:val="454303F0"/>
    <w:rsid w:val="4C7C7C27"/>
    <w:rsid w:val="5230313E"/>
    <w:rsid w:val="58022C3B"/>
    <w:rsid w:val="59861649"/>
    <w:rsid w:val="600941E5"/>
    <w:rsid w:val="65FD2D91"/>
    <w:rsid w:val="69C266CE"/>
    <w:rsid w:val="6EAB7730"/>
    <w:rsid w:val="72750781"/>
    <w:rsid w:val="79E955B1"/>
    <w:rsid w:val="7B584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imes New Roman" w:hAnsi="Times New Roman" w:eastAsia="微软雅黑" w:cstheme="minorBidi"/>
      <w:kern w:val="2"/>
      <w:sz w:val="24"/>
      <w:szCs w:val="24"/>
      <w:lang w:val="en-US" w:eastAsia="zh-CN" w:bidi="ar-SA"/>
      <w14:ligatures w14:val="standardContextual"/>
    </w:rPr>
  </w:style>
  <w:style w:type="paragraph" w:styleId="2">
    <w:name w:val="heading 1"/>
    <w:basedOn w:val="1"/>
    <w:next w:val="1"/>
    <w:link w:val="2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9"/>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30"/>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rPr>
  </w:style>
  <w:style w:type="paragraph" w:styleId="7">
    <w:name w:val="heading 6"/>
    <w:basedOn w:val="1"/>
    <w:next w:val="1"/>
    <w:link w:val="31"/>
    <w:semiHidden/>
    <w:unhideWhenUsed/>
    <w:qFormat/>
    <w:uiPriority w:val="9"/>
    <w:pPr>
      <w:keepNext/>
      <w:keepLines/>
      <w:spacing w:before="40" w:after="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32"/>
    <w:semiHidden/>
    <w:unhideWhenUsed/>
    <w:qFormat/>
    <w:uiPriority w:val="9"/>
    <w:pPr>
      <w:keepNext/>
      <w:keepLines/>
      <w:spacing w:before="40" w:after="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3"/>
    <w:semiHidden/>
    <w:unhideWhenUsed/>
    <w:qFormat/>
    <w:uiPriority w:val="9"/>
    <w:pPr>
      <w:keepNext/>
      <w:keepLines/>
      <w:spacing w:after="0"/>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4"/>
    <w:semiHidden/>
    <w:unhideWhenUsed/>
    <w:qFormat/>
    <w:uiPriority w:val="9"/>
    <w:pPr>
      <w:keepNext/>
      <w:keepLines/>
      <w:spacing w:after="0"/>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4"/>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43"/>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3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qFormat/>
    <w:uiPriority w:val="0"/>
    <w:rPr>
      <w:sz w:val="24"/>
    </w:rPr>
  </w:style>
  <w:style w:type="paragraph" w:styleId="15">
    <w:name w:val="Title"/>
    <w:basedOn w:val="1"/>
    <w:next w:val="1"/>
    <w:link w:val="3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主标题"/>
    <w:basedOn w:val="1"/>
    <w:next w:val="1"/>
    <w:link w:val="20"/>
    <w:qFormat/>
    <w:uiPriority w:val="0"/>
    <w:rPr>
      <w:b/>
      <w:sz w:val="40"/>
      <w:szCs w:val="40"/>
    </w:rPr>
  </w:style>
  <w:style w:type="character" w:customStyle="1" w:styleId="20">
    <w:name w:val="主标题 字符"/>
    <w:basedOn w:val="18"/>
    <w:link w:val="19"/>
    <w:qFormat/>
    <w:uiPriority w:val="0"/>
    <w:rPr>
      <w:b/>
      <w:sz w:val="40"/>
      <w:szCs w:val="40"/>
    </w:rPr>
  </w:style>
  <w:style w:type="paragraph" w:customStyle="1" w:styleId="21">
    <w:name w:val="二级标题"/>
    <w:basedOn w:val="22"/>
    <w:link w:val="23"/>
    <w:qFormat/>
    <w:uiPriority w:val="0"/>
    <w:pPr>
      <w:numPr>
        <w:ilvl w:val="0"/>
        <w:numId w:val="1"/>
      </w:numPr>
      <w:jc w:val="both"/>
      <w:outlineLvl w:val="1"/>
    </w:pPr>
    <w:rPr>
      <w:rFonts w:cs="Times New Roman"/>
      <w:b/>
      <w:bCs/>
    </w:rPr>
  </w:style>
  <w:style w:type="paragraph" w:styleId="22">
    <w:name w:val="List Paragraph"/>
    <w:basedOn w:val="1"/>
    <w:qFormat/>
    <w:uiPriority w:val="34"/>
    <w:pPr>
      <w:ind w:left="720"/>
      <w:contextualSpacing/>
    </w:pPr>
  </w:style>
  <w:style w:type="character" w:customStyle="1" w:styleId="23">
    <w:name w:val="二级标题 字符"/>
    <w:basedOn w:val="18"/>
    <w:link w:val="21"/>
    <w:qFormat/>
    <w:uiPriority w:val="0"/>
    <w:rPr>
      <w:rFonts w:cs="Times New Roman"/>
      <w:b/>
      <w:bCs/>
    </w:rPr>
  </w:style>
  <w:style w:type="paragraph" w:customStyle="1" w:styleId="24">
    <w:name w:val="三级标题"/>
    <w:basedOn w:val="21"/>
    <w:next w:val="1"/>
    <w:link w:val="25"/>
    <w:qFormat/>
    <w:uiPriority w:val="0"/>
    <w:pPr>
      <w:numPr>
        <w:numId w:val="2"/>
      </w:numPr>
      <w:ind w:left="440" w:hanging="440"/>
      <w:outlineLvl w:val="2"/>
    </w:pPr>
  </w:style>
  <w:style w:type="character" w:customStyle="1" w:styleId="25">
    <w:name w:val="三级标题 字符"/>
    <w:basedOn w:val="23"/>
    <w:link w:val="24"/>
    <w:qFormat/>
    <w:uiPriority w:val="0"/>
    <w:rPr>
      <w:rFonts w:cs="Times New Roman"/>
    </w:rPr>
  </w:style>
  <w:style w:type="character" w:customStyle="1" w:styleId="26">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7">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8">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9">
    <w:name w:val="标题 4 字符"/>
    <w:basedOn w:val="18"/>
    <w:link w:val="5"/>
    <w:semiHidden/>
    <w:qFormat/>
    <w:uiPriority w:val="9"/>
    <w:rPr>
      <w:rFonts w:asciiTheme="minorHAnsi" w:hAnsiTheme="minorHAnsi" w:eastAsiaTheme="minorEastAsia" w:cstheme="majorBidi"/>
      <w:color w:val="104862" w:themeColor="accent1" w:themeShade="BF"/>
      <w:sz w:val="28"/>
      <w:szCs w:val="28"/>
    </w:rPr>
  </w:style>
  <w:style w:type="character" w:customStyle="1" w:styleId="30">
    <w:name w:val="标题 5 字符"/>
    <w:basedOn w:val="18"/>
    <w:link w:val="6"/>
    <w:semiHidden/>
    <w:qFormat/>
    <w:uiPriority w:val="9"/>
    <w:rPr>
      <w:rFonts w:asciiTheme="minorHAnsi" w:hAnsiTheme="minorHAnsi" w:eastAsiaTheme="minorEastAsia" w:cstheme="majorBidi"/>
      <w:color w:val="104862" w:themeColor="accent1" w:themeShade="BF"/>
    </w:rPr>
  </w:style>
  <w:style w:type="character" w:customStyle="1" w:styleId="31">
    <w:name w:val="标题 6 字符"/>
    <w:basedOn w:val="18"/>
    <w:link w:val="7"/>
    <w:semiHidden/>
    <w:qFormat/>
    <w:uiPriority w:val="9"/>
    <w:rPr>
      <w:rFonts w:asciiTheme="minorHAnsi" w:hAnsiTheme="minorHAnsi" w:eastAsiaTheme="minorEastAsia" w:cstheme="majorBidi"/>
      <w:b/>
      <w:bCs/>
      <w:color w:val="104862" w:themeColor="accent1" w:themeShade="BF"/>
    </w:rPr>
  </w:style>
  <w:style w:type="character" w:customStyle="1" w:styleId="32">
    <w:name w:val="标题 7 字符"/>
    <w:basedOn w:val="18"/>
    <w:link w:val="8"/>
    <w:semiHidden/>
    <w:qFormat/>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33">
    <w:name w:val="标题 8 字符"/>
    <w:basedOn w:val="18"/>
    <w:link w:val="9"/>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34">
    <w:name w:val="标题 9 字符"/>
    <w:basedOn w:val="18"/>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5">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6">
    <w:name w:val="副标题 字符"/>
    <w:basedOn w:val="18"/>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引用 字符"/>
    <w:basedOn w:val="18"/>
    <w:link w:val="37"/>
    <w:qFormat/>
    <w:uiPriority w:val="29"/>
    <w:rPr>
      <w:i/>
      <w:iCs/>
      <w:color w:val="404040" w:themeColor="text1" w:themeTint="BF"/>
      <w14:textFill>
        <w14:solidFill>
          <w14:schemeClr w14:val="tx1">
            <w14:lumMod w14:val="75000"/>
            <w14:lumOff w14:val="25000"/>
          </w14:schemeClr>
        </w14:solidFill>
      </w14:textFill>
    </w:rPr>
  </w:style>
  <w:style w:type="character" w:customStyle="1" w:styleId="39">
    <w:name w:val="Intense Emphasis"/>
    <w:basedOn w:val="18"/>
    <w:qFormat/>
    <w:uiPriority w:val="21"/>
    <w:rPr>
      <w:i/>
      <w:iCs/>
      <w:color w:val="104862" w:themeColor="accent1" w:themeShade="BF"/>
    </w:rPr>
  </w:style>
  <w:style w:type="paragraph" w:styleId="40">
    <w:name w:val="Intense Quote"/>
    <w:basedOn w:val="1"/>
    <w:next w:val="1"/>
    <w:link w:val="4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1">
    <w:name w:val="明显引用 字符"/>
    <w:basedOn w:val="18"/>
    <w:link w:val="40"/>
    <w:qFormat/>
    <w:uiPriority w:val="30"/>
    <w:rPr>
      <w:i/>
      <w:iCs/>
      <w:color w:val="104862" w:themeColor="accent1" w:themeShade="BF"/>
    </w:rPr>
  </w:style>
  <w:style w:type="character" w:customStyle="1" w:styleId="42">
    <w:name w:val="Intense Reference"/>
    <w:basedOn w:val="18"/>
    <w:qFormat/>
    <w:uiPriority w:val="32"/>
    <w:rPr>
      <w:b/>
      <w:bCs/>
      <w:smallCaps/>
      <w:color w:val="104862" w:themeColor="accent1" w:themeShade="BF"/>
      <w:spacing w:val="5"/>
    </w:rPr>
  </w:style>
  <w:style w:type="character" w:customStyle="1" w:styleId="43">
    <w:name w:val="页眉 字符"/>
    <w:basedOn w:val="18"/>
    <w:link w:val="12"/>
    <w:qFormat/>
    <w:uiPriority w:val="99"/>
    <w:rPr>
      <w:sz w:val="18"/>
      <w:szCs w:val="18"/>
    </w:rPr>
  </w:style>
  <w:style w:type="character" w:customStyle="1" w:styleId="44">
    <w:name w:val="页脚 字符"/>
    <w:basedOn w:val="18"/>
    <w:link w:val="11"/>
    <w:qFormat/>
    <w:uiPriority w:val="99"/>
    <w:rPr>
      <w:sz w:val="18"/>
      <w:szCs w:val="18"/>
    </w:rPr>
  </w:style>
  <w:style w:type="character" w:customStyle="1" w:styleId="45">
    <w:name w:val="font11"/>
    <w:basedOn w:val="18"/>
    <w:qFormat/>
    <w:uiPriority w:val="0"/>
    <w:rPr>
      <w:rFonts w:hint="eastAsia" w:ascii="微软雅黑" w:hAnsi="微软雅黑" w:eastAsia="微软雅黑" w:cs="微软雅黑"/>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314</Words>
  <Characters>3256</Characters>
  <Lines>819</Lines>
  <Paragraphs>69</Paragraphs>
  <TotalTime>0</TotalTime>
  <ScaleCrop>false</ScaleCrop>
  <LinksUpToDate>false</LinksUpToDate>
  <CharactersWithSpaces>3537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2026-01-26T08:46:00Z</dcterms:created>
  <dc:creator>Toedit Judy</dc:creator>
  <cp:lastModifiedBy>蒋小花她女神</cp:lastModifiedBy>
  <dcterms:modified xsi:type="dcterms:W3CDTF">2026-03-27T11:34:45Z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eyJoZGlkIjoiZWI3MTljMDViYjhkYTNhYThlYTc3NmJmYWM5Y2QxMTIiLCJ1c2VySWQiOiI0MTMxMjA3MjkifQ==</vt:lpwstr>
  </property>
  <property fmtid="{D5CDD505-2E9C-101B-9397-08002B2CF9AE}" pid="3" name="KSOProductBuildVer">
    <vt:lpwstr>2052-12.1.0.25225</vt:lpwstr>
  </property>
  <property fmtid="{D5CDD505-2E9C-101B-9397-08002B2CF9AE}" pid="4" name="ICV">
    <vt:lpwstr>EC05FB109F7645C3822AE05309B05DAD_12</vt:lpwstr>
  </property>
</Properties>
</file>