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24EB5">
      <w:pPr>
        <w:widowControl/>
        <w:spacing w:line="480" w:lineRule="auto"/>
        <w:jc w:val="left"/>
        <w:outlineLvl w:val="0"/>
        <w:rPr>
          <w:rFonts w:eastAsia="HelveticaNeueLTStd-Bd"/>
          <w:b/>
          <w:bCs/>
          <w:color w:val="231F20"/>
          <w:kern w:val="0"/>
          <w:sz w:val="24"/>
        </w:rPr>
      </w:pPr>
      <w:r>
        <w:rPr>
          <w:rFonts w:eastAsia="HelveticaNeueLTStd-Bd"/>
          <w:b/>
          <w:bCs/>
          <w:color w:val="231F20"/>
          <w:kern w:val="0"/>
          <w:sz w:val="24"/>
        </w:rPr>
        <w:t xml:space="preserve">Table </w:t>
      </w:r>
      <w:r>
        <w:rPr>
          <w:b/>
          <w:bCs/>
          <w:color w:val="231F20"/>
          <w:kern w:val="0"/>
          <w:sz w:val="24"/>
        </w:rPr>
        <w:t>S</w:t>
      </w:r>
      <w:r>
        <w:rPr>
          <w:rFonts w:eastAsia="HelveticaNeueLTStd-Bd"/>
          <w:b/>
          <w:bCs/>
          <w:color w:val="231F20"/>
          <w:kern w:val="0"/>
          <w:sz w:val="24"/>
        </w:rPr>
        <w:t>1. Protocols of functional magnetic resonance sequences</w:t>
      </w:r>
    </w:p>
    <w:tbl>
      <w:tblPr>
        <w:tblStyle w:val="2"/>
        <w:tblW w:w="8054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2384"/>
        <w:gridCol w:w="1728"/>
        <w:gridCol w:w="1888"/>
      </w:tblGrid>
      <w:tr w14:paraId="3B55C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FC75C6B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sz w:val="24"/>
              </w:rPr>
              <w:t>Sequence</w:t>
            </w:r>
          </w:p>
        </w:tc>
        <w:tc>
          <w:tcPr>
            <w:tcW w:w="23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310DE6B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IVIM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B8481B8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DTI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095DAE3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DKI</w:t>
            </w:r>
          </w:p>
        </w:tc>
      </w:tr>
      <w:tr w14:paraId="52AB5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2B89398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rFonts w:eastAsia="HelveticaNeueLTStd-Md"/>
                <w:color w:val="231F20"/>
                <w:kern w:val="0"/>
                <w:sz w:val="24"/>
              </w:rPr>
              <w:t>Scan plane</w:t>
            </w:r>
          </w:p>
        </w:tc>
        <w:tc>
          <w:tcPr>
            <w:tcW w:w="238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F51F1AC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Axial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5AC0E1E2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Axial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6D8E936A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Axial</w:t>
            </w:r>
          </w:p>
        </w:tc>
      </w:tr>
      <w:tr w14:paraId="3E7D4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FF3C415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sz w:val="24"/>
              </w:rPr>
              <w:t>TR/TE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B67BA6C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2400/58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A6209B0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2500/58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47C3F2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2500/58</w:t>
            </w:r>
          </w:p>
        </w:tc>
      </w:tr>
      <w:tr w14:paraId="05D6C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1C7D4F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sz w:val="24"/>
              </w:rPr>
              <w:t>FOV (cm)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26D8D6B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38–42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D0B2152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38–42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9FA972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38–42</w:t>
            </w:r>
          </w:p>
        </w:tc>
      </w:tr>
      <w:tr w14:paraId="4A6D4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F3D1EF4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rFonts w:eastAsia="HelveticaNeueLTStd-Md"/>
                <w:color w:val="231F20"/>
                <w:kern w:val="0"/>
                <w:sz w:val="24"/>
              </w:rPr>
              <w:t>Thickness (mm)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FCA5486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12CADFD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63CEA2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14:paraId="4C1F3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0AB872E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sz w:val="24"/>
              </w:rPr>
              <w:t>Spacing (mm)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DB8B4E5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36C7988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9A1472B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14:paraId="6A175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B9FF4B">
            <w:pPr>
              <w:widowControl/>
              <w:spacing w:line="480" w:lineRule="auto"/>
              <w:jc w:val="left"/>
              <w:rPr>
                <w:rFonts w:eastAsia="HelveticaNeueLTStd-Md"/>
                <w:kern w:val="0"/>
                <w:sz w:val="24"/>
              </w:rPr>
            </w:pPr>
            <w:r>
              <w:rPr>
                <w:rFonts w:eastAsia="HelveticaNeueLTStd-Md"/>
                <w:kern w:val="0"/>
                <w:sz w:val="24"/>
              </w:rPr>
              <w:t>Slices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52E64C8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20–24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F24C5AF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20–24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29340AA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20–24</w:t>
            </w:r>
          </w:p>
        </w:tc>
      </w:tr>
      <w:tr w14:paraId="467F1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153953D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rFonts w:eastAsia="HelveticaNeueLTStd-Md"/>
                <w:color w:val="231F20"/>
                <w:kern w:val="0"/>
                <w:sz w:val="24"/>
              </w:rPr>
              <w:t>Matrix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637CA06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256 × 256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C884E09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256 × 256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8AF73DD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256 × 256</w:t>
            </w:r>
          </w:p>
        </w:tc>
      </w:tr>
      <w:tr w14:paraId="3E045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29F4ADD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rFonts w:eastAsia="HelveticaNeueLTStd-Md"/>
                <w:color w:val="231F20"/>
                <w:kern w:val="0"/>
                <w:sz w:val="24"/>
              </w:rPr>
              <w:t>NEX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AEF9C6B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1–6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DF0E0A7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D4B90BF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14:paraId="1E5A1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F226E0F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sz w:val="24"/>
              </w:rPr>
              <w:t>b values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F8FA844">
            <w:pPr>
              <w:widowControl/>
              <w:spacing w:line="480" w:lineRule="auto"/>
              <w:jc w:val="center"/>
              <w:rPr>
                <w:rFonts w:eastAsia="HelveticaNeueLTStd-Md"/>
                <w:color w:val="231F20"/>
                <w:kern w:val="0"/>
                <w:sz w:val="24"/>
              </w:rPr>
            </w:pPr>
            <w:r>
              <w:rPr>
                <w:rFonts w:eastAsia="HelveticaNeueLTStd-Md"/>
                <w:color w:val="231F20"/>
                <w:kern w:val="0"/>
                <w:sz w:val="24"/>
              </w:rPr>
              <w:t>25, 50, 100, 150,</w:t>
            </w:r>
          </w:p>
          <w:p w14:paraId="575BD0D1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rFonts w:eastAsia="HelveticaNeueLTStd-Md"/>
                <w:color w:val="231F20"/>
                <w:kern w:val="0"/>
                <w:sz w:val="24"/>
              </w:rPr>
              <w:t xml:space="preserve"> 200, 400, 800, 1000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D66206">
            <w:pPr>
              <w:widowControl/>
              <w:spacing w:line="480" w:lineRule="auto"/>
              <w:jc w:val="center"/>
              <w:rPr>
                <w:rFonts w:eastAsia="HelveticaNeueLTStd-Md"/>
                <w:color w:val="231F20"/>
                <w:kern w:val="0"/>
                <w:sz w:val="24"/>
              </w:rPr>
            </w:pPr>
            <w:r>
              <w:rPr>
                <w:rFonts w:eastAsia="HelveticaNeueLTStd-Md"/>
                <w:color w:val="231F20"/>
                <w:kern w:val="0"/>
                <w:sz w:val="24"/>
              </w:rPr>
              <w:t>0, 1000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51CF0D2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rFonts w:eastAsia="HelveticaNeueLTStd-Md"/>
                <w:color w:val="231F20"/>
                <w:kern w:val="0"/>
                <w:sz w:val="24"/>
              </w:rPr>
              <w:t>0, 500, 1000</w:t>
            </w:r>
          </w:p>
        </w:tc>
      </w:tr>
      <w:tr w14:paraId="49118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EAB8792">
            <w:pPr>
              <w:widowControl/>
              <w:spacing w:line="480" w:lineRule="auto"/>
              <w:jc w:val="left"/>
              <w:rPr>
                <w:sz w:val="24"/>
              </w:rPr>
            </w:pPr>
            <w:r>
              <w:rPr>
                <w:sz w:val="24"/>
              </w:rPr>
              <w:t>Number of directions</w:t>
            </w:r>
          </w:p>
        </w:tc>
        <w:tc>
          <w:tcPr>
            <w:tcW w:w="238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0DA8BC4">
            <w:pPr>
              <w:widowControl/>
              <w:spacing w:line="480" w:lineRule="auto"/>
              <w:jc w:val="center"/>
              <w:rPr>
                <w:color w:val="231F20"/>
                <w:kern w:val="0"/>
                <w:sz w:val="24"/>
              </w:rPr>
            </w:pPr>
            <w:r>
              <w:rPr>
                <w:color w:val="231F20"/>
                <w:kern w:val="0"/>
                <w:sz w:val="24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26E054A9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88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0C1436C">
            <w:pPr>
              <w:widowControl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</w:tbl>
    <w:p w14:paraId="531BE5F7">
      <w:pPr>
        <w:widowControl/>
        <w:jc w:val="left"/>
        <w:rPr>
          <w:rFonts w:eastAsia="Bembo"/>
          <w:i/>
          <w:color w:val="231F20"/>
          <w:kern w:val="0"/>
          <w:sz w:val="18"/>
          <w:szCs w:val="18"/>
        </w:rPr>
      </w:pPr>
      <w:bookmarkStart w:id="0" w:name="_GoBack"/>
      <w:r>
        <w:rPr>
          <w:rFonts w:eastAsia="Bembo"/>
          <w:i/>
          <w:iCs w:val="0"/>
          <w:color w:val="231F20"/>
          <w:kern w:val="0"/>
          <w:sz w:val="18"/>
          <w:szCs w:val="18"/>
        </w:rPr>
        <w:t xml:space="preserve"> </w:t>
      </w:r>
      <w:r>
        <w:rPr>
          <w:bCs/>
          <w:i/>
          <w:iCs w:val="0"/>
          <w:kern w:val="0"/>
          <w:sz w:val="18"/>
          <w:szCs w:val="18"/>
        </w:rPr>
        <w:t>Abbreviation:</w:t>
      </w:r>
      <w:r>
        <w:rPr>
          <w:bCs/>
          <w:kern w:val="0"/>
          <w:sz w:val="18"/>
          <w:szCs w:val="18"/>
        </w:rPr>
        <w:t xml:space="preserve"> DKI, diffusion kurtosis</w:t>
      </w:r>
      <w:r>
        <w:rPr>
          <w:rFonts w:hint="eastAsia"/>
          <w:bCs/>
          <w:kern w:val="0"/>
          <w:sz w:val="18"/>
          <w:szCs w:val="18"/>
        </w:rPr>
        <w:t xml:space="preserve"> </w:t>
      </w:r>
      <w:r>
        <w:rPr>
          <w:bCs/>
          <w:kern w:val="0"/>
          <w:sz w:val="18"/>
          <w:szCs w:val="18"/>
        </w:rPr>
        <w:t>imaging; DTI, diffusion tensor imaging</w:t>
      </w:r>
      <w:r>
        <w:rPr>
          <w:sz w:val="18"/>
          <w:szCs w:val="18"/>
        </w:rPr>
        <w:t xml:space="preserve">; </w:t>
      </w:r>
      <w:r>
        <w:rPr>
          <w:rFonts w:eastAsia="Bembo"/>
          <w:color w:val="231F20"/>
          <w:kern w:val="0"/>
          <w:sz w:val="18"/>
          <w:szCs w:val="18"/>
        </w:rPr>
        <w:t xml:space="preserve">FOV, field of view; </w:t>
      </w:r>
      <w:r>
        <w:rPr>
          <w:sz w:val="18"/>
          <w:szCs w:val="18"/>
        </w:rPr>
        <w:t xml:space="preserve">IVIM, intravoxel incoherent motion; </w:t>
      </w:r>
      <w:r>
        <w:rPr>
          <w:rFonts w:eastAsia="Bembo"/>
          <w:color w:val="231F20"/>
          <w:kern w:val="0"/>
          <w:sz w:val="18"/>
          <w:szCs w:val="18"/>
        </w:rPr>
        <w:t>NEX; number of excitations; TE, echo time; TR, repetition time.</w:t>
      </w:r>
      <w:r>
        <w:rPr>
          <w:color w:val="000000"/>
          <w:kern w:val="0"/>
          <w:sz w:val="18"/>
          <w:szCs w:val="18"/>
        </w:rPr>
        <w:t xml:space="preserve"> </w:t>
      </w:r>
    </w:p>
    <w:bookmarkEnd w:id="0"/>
    <w:p w14:paraId="18509932">
      <w:pPr>
        <w:widowControl/>
        <w:spacing w:line="480" w:lineRule="auto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 xml:space="preserve"> </w:t>
      </w:r>
    </w:p>
    <w:p w14:paraId="25AAEB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NeueLTStd-Bd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NeueLTStd-Md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Bembo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AC7DDE"/>
    <w:rsid w:val="27B3246D"/>
    <w:rsid w:val="3D28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478</Characters>
  <Lines>0</Lines>
  <Paragraphs>0</Paragraphs>
  <TotalTime>0</TotalTime>
  <ScaleCrop>false</ScaleCrop>
  <LinksUpToDate>false</LinksUpToDate>
  <CharactersWithSpaces>537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2026-03-08T09:20:00Z</dcterms:created>
  <dc:creator>陈爱群</dc:creator>
  <cp:lastModifiedBy>chenaiqun</cp:lastModifiedBy>
  <dcterms:modified xsi:type="dcterms:W3CDTF">2026-03-16T12:19:43Z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eyJoZGlkIjoiZjQ2OThkY2MwZGRlYzBmYTNmOWU4ZWNmMGFmOWUzYTEiLCJ1c2VySWQiOiI3NjY3MzY2OTIifQ==</vt:lpwstr>
  </property>
  <property fmtid="{D5CDD505-2E9C-101B-9397-08002B2CF9AE}" pid="4" name="ICV">
    <vt:lpwstr>BF5BF4ABB0D44CEB9EFFE50C9B5024DB_12</vt:lpwstr>
  </property>
</Properties>
</file>