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476C" w14:textId="64B571C3" w:rsidR="00985F61" w:rsidRPr="00206AE1" w:rsidRDefault="00000000">
      <w:pPr>
        <w:spacing w:after="200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206AE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 Materials</w:t>
      </w:r>
      <w:r w:rsidR="000E382D" w:rsidRPr="00206AE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(3)</w:t>
      </w:r>
    </w:p>
    <w:p w14:paraId="4A0DBF21" w14:textId="7FC078D9" w:rsidR="00985F61" w:rsidRPr="00206AE1" w:rsidRDefault="000E382D">
      <w:pPr>
        <w:pStyle w:val="Heading1"/>
        <w:spacing w:after="16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206AE1">
        <w:rPr>
          <w:rFonts w:asciiTheme="majorBidi" w:hAnsiTheme="majorBidi" w:cstheme="majorBidi"/>
          <w:color w:val="000000" w:themeColor="text1"/>
          <w:sz w:val="24"/>
          <w:szCs w:val="24"/>
        </w:rPr>
        <w:t>Supplementary 3 TABLE A Component-level multivariable logistic regression for predicting acute symptomatic events (ASE) during Ramadan</w:t>
      </w:r>
    </w:p>
    <w:p w14:paraId="0C6A24CA" w14:textId="1E243ED9" w:rsidR="00985F61" w:rsidRPr="00206AE1" w:rsidRDefault="00985F61">
      <w:pPr>
        <w:spacing w:after="80" w:line="28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10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1417"/>
        <w:gridCol w:w="1701"/>
        <w:gridCol w:w="3384"/>
      </w:tblGrid>
      <w:tr w:rsidR="006D7264" w:rsidRPr="00206AE1" w14:paraId="7F85463F" w14:textId="77777777" w:rsidTr="006D7264">
        <w:trPr>
          <w:trHeight w:val="540"/>
          <w:tblHeader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121E04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1667FA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B1A55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p-value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9DF9CF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Adjusted OR (95% CI)</w:t>
            </w:r>
          </w:p>
        </w:tc>
      </w:tr>
      <w:tr w:rsidR="006D7264" w:rsidRPr="00206AE1" w14:paraId="1E6840CE" w14:textId="77777777" w:rsidTr="006D7264">
        <w:trPr>
          <w:trHeight w:val="27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4ED1A" w14:textId="77777777" w:rsidR="006D7264" w:rsidRPr="00206AE1" w:rsidRDefault="006D72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FRAIL Score (overall, 2 df)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68CED9" w14:textId="10C4D7AD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324F8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E0379" w14:textId="79D902C0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</w:t>
            </w:r>
          </w:p>
        </w:tc>
      </w:tr>
      <w:tr w:rsidR="006D7264" w:rsidRPr="00206AE1" w14:paraId="0369BFEA" w14:textId="77777777" w:rsidTr="006D7264">
        <w:trPr>
          <w:trHeight w:val="261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ADE74" w14:textId="77777777" w:rsidR="006D7264" w:rsidRPr="00206AE1" w:rsidRDefault="006D72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Pre-frail vs. robust (reference)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84C3CA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0.431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6C9803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0.488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07BCA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1.54 (0.46–5.20)</w:t>
            </w:r>
          </w:p>
        </w:tc>
      </w:tr>
      <w:tr w:rsidR="006D7264" w:rsidRPr="00206AE1" w14:paraId="33D81E50" w14:textId="77777777" w:rsidTr="006D7264">
        <w:trPr>
          <w:trHeight w:val="555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42B15" w14:textId="77777777" w:rsidR="006D7264" w:rsidRPr="00206AE1" w:rsidRDefault="006D72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Frail vs. robust (reference)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258B83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1.777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4DEAC1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33D0A5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5.91 (1.76–19.90)</w:t>
            </w:r>
          </w:p>
        </w:tc>
      </w:tr>
      <w:tr w:rsidR="006D7264" w:rsidRPr="00206AE1" w14:paraId="36FE3B81" w14:textId="77777777" w:rsidTr="006D7264">
        <w:trPr>
          <w:trHeight w:val="261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0FAAC6" w14:textId="77777777" w:rsidR="006D7264" w:rsidRPr="00206AE1" w:rsidRDefault="006D72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Diabetes mellitus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71AE3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0.947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51930B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0.065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2E0FF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2.58 (0.94–7.04)</w:t>
            </w:r>
          </w:p>
        </w:tc>
      </w:tr>
      <w:tr w:rsidR="006D7264" w:rsidRPr="00206AE1" w14:paraId="03228DF7" w14:textId="77777777" w:rsidTr="006D7264">
        <w:trPr>
          <w:trHeight w:val="27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3D856D" w14:textId="77777777" w:rsidR="006D7264" w:rsidRPr="00206AE1" w:rsidRDefault="006D72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Gender (female vs male)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47DF7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−0.336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5C6E6B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0.490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4E71A" w14:textId="77777777" w:rsidR="006D7264" w:rsidRPr="00206AE1" w:rsidRDefault="006D72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6AE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0.72 (0.28–1.86)</w:t>
            </w:r>
          </w:p>
        </w:tc>
      </w:tr>
      <w:tr w:rsidR="006D7264" w:rsidRPr="000E382D" w14:paraId="005E6D3E" w14:textId="77777777" w:rsidTr="006D7264">
        <w:trPr>
          <w:trHeight w:val="22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CF513" w14:textId="77777777" w:rsidR="006D7264" w:rsidRPr="000E382D" w:rsidRDefault="006D7264">
            <w:pPr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Age (per year)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42CA87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−0.018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B92A1D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0.260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16862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0.98 (0.95–1.01)</w:t>
            </w:r>
          </w:p>
        </w:tc>
      </w:tr>
      <w:tr w:rsidR="006D7264" w:rsidRPr="000E382D" w14:paraId="0B386C98" w14:textId="77777777" w:rsidTr="006D7264">
        <w:trPr>
          <w:trHeight w:val="22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19DBE" w14:textId="77777777" w:rsidR="006D7264" w:rsidRPr="000E382D" w:rsidRDefault="006D7264">
            <w:pPr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Dyslipidaemia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D610A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0.497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94804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0.297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CB7EB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1.64 (0.65–4.18)</w:t>
            </w:r>
          </w:p>
        </w:tc>
      </w:tr>
      <w:tr w:rsidR="006D7264" w:rsidRPr="000E382D" w14:paraId="321DD857" w14:textId="77777777" w:rsidTr="006D7264">
        <w:trPr>
          <w:trHeight w:val="212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ABBDE" w14:textId="77777777" w:rsidR="006D7264" w:rsidRPr="000E382D" w:rsidRDefault="006D7264">
            <w:pPr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eGFR (latest, per mL/min/1.73 m²)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5F36A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−0.019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57B11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0.209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CF207A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0.98 (0.95–1.01)</w:t>
            </w:r>
          </w:p>
        </w:tc>
      </w:tr>
      <w:tr w:rsidR="006D7264" w:rsidRPr="000E382D" w14:paraId="622DBEE0" w14:textId="77777777" w:rsidTr="006D7264">
        <w:trPr>
          <w:trHeight w:val="22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014A5C" w14:textId="77777777" w:rsidR="006D7264" w:rsidRPr="000E382D" w:rsidRDefault="006D7264">
            <w:pPr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CVD count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8E9392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0.345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3A698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0.199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B04A3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1.41 (0.83–2.39)</w:t>
            </w:r>
          </w:p>
        </w:tc>
      </w:tr>
      <w:tr w:rsidR="006D7264" w:rsidRPr="000E382D" w14:paraId="33F73E41" w14:textId="77777777" w:rsidTr="006D7264">
        <w:trPr>
          <w:trHeight w:val="22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0732A" w14:textId="77777777" w:rsidR="006D7264" w:rsidRPr="000E382D" w:rsidRDefault="006D7264">
            <w:pPr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Hospital admission within 3 months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ED949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0.230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78F06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0.838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F69D23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1.26 (0.14–11.50)</w:t>
            </w:r>
          </w:p>
        </w:tc>
      </w:tr>
      <w:tr w:rsidR="006D7264" w:rsidRPr="000E382D" w14:paraId="450A2A45" w14:textId="77777777" w:rsidTr="006D7264">
        <w:trPr>
          <w:trHeight w:val="22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1C04BA" w14:textId="77777777" w:rsidR="006D7264" w:rsidRPr="000E382D" w:rsidRDefault="006D7264">
            <w:pPr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Acute kidney injury during last 3 months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E277D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−0.076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90BF4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0.951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4C66A2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0.93 (0.08–10.41)</w:t>
            </w:r>
          </w:p>
        </w:tc>
      </w:tr>
      <w:tr w:rsidR="006D7264" w:rsidRPr="000E382D" w14:paraId="0E348850" w14:textId="77777777" w:rsidTr="006D7264">
        <w:trPr>
          <w:trHeight w:val="22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04759B" w14:textId="77777777" w:rsidR="006D7264" w:rsidRPr="000E382D" w:rsidRDefault="006D7264">
            <w:pPr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Kidney transplant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07B4B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1.486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C0181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0.280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29F42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4.42 (0.30–65.63)</w:t>
            </w:r>
          </w:p>
        </w:tc>
      </w:tr>
      <w:tr w:rsidR="006D7264" w:rsidRPr="000E382D" w14:paraId="444D7C1A" w14:textId="77777777" w:rsidTr="006D7264">
        <w:trPr>
          <w:trHeight w:val="22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E16AB" w14:textId="77777777" w:rsidR="006D7264" w:rsidRPr="000E382D" w:rsidRDefault="006D7264">
            <w:pPr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History of kidney stones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85B0B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0.410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9B13B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0.741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90D522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1.51 (0.13–17.19)</w:t>
            </w:r>
          </w:p>
        </w:tc>
      </w:tr>
      <w:tr w:rsidR="006D7264" w:rsidRPr="000E382D" w14:paraId="3A150F45" w14:textId="77777777" w:rsidTr="006D7264">
        <w:trPr>
          <w:trHeight w:val="22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EC9EF" w14:textId="77777777" w:rsidR="006D7264" w:rsidRPr="000E382D" w:rsidRDefault="006D7264">
            <w:pPr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Hypertension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5C385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−1.133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59860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0.130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37FA7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0.32 (0.07–1.39)</w:t>
            </w:r>
          </w:p>
        </w:tc>
      </w:tr>
      <w:tr w:rsidR="006D7264" w:rsidRPr="000E382D" w14:paraId="50FDD844" w14:textId="77777777" w:rsidTr="006D7264">
        <w:trPr>
          <w:trHeight w:val="228"/>
        </w:trPr>
        <w:tc>
          <w:tcPr>
            <w:tcW w:w="382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7AF98" w14:textId="77777777" w:rsidR="006D7264" w:rsidRPr="000E382D" w:rsidRDefault="006D7264">
            <w:pPr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Constant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838C7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−0.588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C98EC3" w14:textId="77777777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 w:rsidRPr="000E382D">
              <w:rPr>
                <w:rFonts w:asciiTheme="majorBidi" w:hAnsiTheme="majorBidi" w:cstheme="majorBidi"/>
                <w:color w:val="000000"/>
              </w:rPr>
              <w:t>0.701</w:t>
            </w:r>
          </w:p>
        </w:tc>
        <w:tc>
          <w:tcPr>
            <w:tcW w:w="3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6B4AA" w14:textId="0B30D422" w:rsidR="006D7264" w:rsidRPr="000E382D" w:rsidRDefault="006D7264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-</w:t>
            </w:r>
          </w:p>
        </w:tc>
      </w:tr>
    </w:tbl>
    <w:p w14:paraId="05A90156" w14:textId="47E199C0" w:rsidR="00985F61" w:rsidRPr="000E382D" w:rsidRDefault="00000000">
      <w:pPr>
        <w:pStyle w:val="Heading1"/>
        <w:pageBreakBefore/>
        <w:spacing w:before="280" w:after="160"/>
        <w:rPr>
          <w:rFonts w:asciiTheme="majorBidi" w:hAnsiTheme="majorBidi" w:cstheme="majorBidi"/>
          <w:color w:val="000000" w:themeColor="text1"/>
          <w:sz w:val="30"/>
          <w:szCs w:val="30"/>
        </w:rPr>
      </w:pPr>
      <w:r w:rsidRPr="000E382D">
        <w:rPr>
          <w:rFonts w:asciiTheme="majorBidi" w:hAnsiTheme="majorBidi" w:cstheme="majorBidi"/>
          <w:color w:val="000000" w:themeColor="text1"/>
          <w:sz w:val="30"/>
          <w:szCs w:val="30"/>
        </w:rPr>
        <w:lastRenderedPageBreak/>
        <w:t xml:space="preserve">Supplementary </w:t>
      </w:r>
      <w:r w:rsidR="000E382D" w:rsidRPr="000E382D">
        <w:rPr>
          <w:rFonts w:asciiTheme="majorBidi" w:hAnsiTheme="majorBidi" w:cstheme="majorBidi"/>
          <w:color w:val="000000" w:themeColor="text1"/>
          <w:sz w:val="30"/>
          <w:szCs w:val="30"/>
        </w:rPr>
        <w:t xml:space="preserve">3 </w:t>
      </w:r>
      <w:r w:rsidRPr="000E382D">
        <w:rPr>
          <w:rFonts w:asciiTheme="majorBidi" w:hAnsiTheme="majorBidi" w:cstheme="majorBidi"/>
          <w:color w:val="000000" w:themeColor="text1"/>
          <w:sz w:val="30"/>
          <w:szCs w:val="30"/>
        </w:rPr>
        <w:t xml:space="preserve">Table </w:t>
      </w:r>
      <w:r w:rsidR="000E382D" w:rsidRPr="000E382D">
        <w:rPr>
          <w:rFonts w:asciiTheme="majorBidi" w:hAnsiTheme="majorBidi" w:cstheme="majorBidi"/>
          <w:color w:val="000000" w:themeColor="text1"/>
          <w:sz w:val="30"/>
          <w:szCs w:val="30"/>
        </w:rPr>
        <w:t>B</w:t>
      </w:r>
      <w:r w:rsidRPr="000E382D">
        <w:rPr>
          <w:rFonts w:asciiTheme="majorBidi" w:hAnsiTheme="majorBidi" w:cstheme="majorBidi"/>
          <w:color w:val="000000" w:themeColor="text1"/>
          <w:sz w:val="30"/>
          <w:szCs w:val="30"/>
        </w:rPr>
        <w:t>. Worst-case sensitivity analysis for participants with</w:t>
      </w:r>
      <w:r>
        <w:rPr>
          <w:b/>
          <w:bCs/>
          <w:color w:val="1F4E79"/>
          <w:sz w:val="30"/>
          <w:szCs w:val="30"/>
        </w:rPr>
        <w:t xml:space="preserve"> </w:t>
      </w:r>
      <w:r w:rsidRPr="000E382D">
        <w:rPr>
          <w:rFonts w:asciiTheme="majorBidi" w:hAnsiTheme="majorBidi" w:cstheme="majorBidi"/>
          <w:color w:val="000000" w:themeColor="text1"/>
          <w:sz w:val="30"/>
          <w:szCs w:val="30"/>
        </w:rPr>
        <w:t>missing fasting-decision data</w:t>
      </w:r>
    </w:p>
    <w:p w14:paraId="3FA4F1FF" w14:textId="7B282D9C" w:rsidR="00985F61" w:rsidRDefault="00985F61">
      <w:pPr>
        <w:spacing w:after="80" w:line="280" w:lineRule="auto"/>
      </w:pP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9"/>
        <w:gridCol w:w="1538"/>
        <w:gridCol w:w="1538"/>
        <w:gridCol w:w="2248"/>
      </w:tblGrid>
      <w:tr w:rsidR="006D7264" w:rsidRPr="000E382D" w14:paraId="18AF11BD" w14:textId="77777777" w:rsidTr="006D7264">
        <w:trPr>
          <w:trHeight w:val="229"/>
          <w:tblHeader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48E7E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Variable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3B3CDC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AF66D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2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CB380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Adjusted OR (95% CI)</w:t>
            </w:r>
          </w:p>
        </w:tc>
      </w:tr>
      <w:tr w:rsidR="006D7264" w:rsidRPr="000E382D" w14:paraId="002D3CB0" w14:textId="77777777" w:rsidTr="006D7264">
        <w:trPr>
          <w:trHeight w:val="245"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84A24" w14:textId="77777777" w:rsidR="006D7264" w:rsidRPr="000E382D" w:rsidRDefault="006D7264">
            <w:pPr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FRAIL Score (overall, 2 df)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510FAF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—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6C188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0.395</w:t>
            </w:r>
          </w:p>
        </w:tc>
        <w:tc>
          <w:tcPr>
            <w:tcW w:w="2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B698D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—</w:t>
            </w:r>
          </w:p>
        </w:tc>
      </w:tr>
      <w:tr w:rsidR="006D7264" w:rsidRPr="000E382D" w14:paraId="64CB0BBD" w14:textId="77777777" w:rsidTr="006D7264">
        <w:trPr>
          <w:trHeight w:val="229"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DE615" w14:textId="77777777" w:rsidR="006D7264" w:rsidRPr="000E382D" w:rsidRDefault="006D7264">
            <w:pPr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 xml:space="preserve">    Pre-frail vs. robust (reference)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F08BAD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0.076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3B31E2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0.814</w:t>
            </w:r>
          </w:p>
        </w:tc>
        <w:tc>
          <w:tcPr>
            <w:tcW w:w="2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F5A516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1.08 (0.57–2.04)</w:t>
            </w:r>
          </w:p>
        </w:tc>
      </w:tr>
      <w:tr w:rsidR="006D7264" w:rsidRPr="000E382D" w14:paraId="76DF3C2F" w14:textId="77777777" w:rsidTr="006D7264">
        <w:trPr>
          <w:trHeight w:val="229"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8E4E31" w14:textId="77777777" w:rsidR="006D7264" w:rsidRPr="000E382D" w:rsidRDefault="006D7264">
            <w:pPr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 xml:space="preserve">    Frail vs. robust (reference)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A834B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0.445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522FC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0.183</w:t>
            </w:r>
          </w:p>
        </w:tc>
        <w:tc>
          <w:tcPr>
            <w:tcW w:w="2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BD60C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1.56 (0.81–3.01)</w:t>
            </w:r>
          </w:p>
        </w:tc>
      </w:tr>
      <w:tr w:rsidR="006D7264" w:rsidRPr="000E382D" w14:paraId="418FBEF3" w14:textId="77777777" w:rsidTr="006D7264">
        <w:trPr>
          <w:trHeight w:val="229"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14CF42" w14:textId="77777777" w:rsidR="006D7264" w:rsidRPr="000E382D" w:rsidRDefault="006D7264">
            <w:pPr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RAK Score (per one-point increase)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5FFE4D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0.085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7422A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0.004</w:t>
            </w:r>
          </w:p>
        </w:tc>
        <w:tc>
          <w:tcPr>
            <w:tcW w:w="2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20611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b/>
                <w:bCs/>
                <w:color w:val="000000" w:themeColor="text1"/>
                <w:sz w:val="18"/>
                <w:szCs w:val="18"/>
              </w:rPr>
              <w:t>1.089 (1.027–1.154)</w:t>
            </w:r>
          </w:p>
        </w:tc>
      </w:tr>
      <w:tr w:rsidR="006D7264" w:rsidRPr="000E382D" w14:paraId="4EA1D524" w14:textId="77777777" w:rsidTr="006D7264">
        <w:trPr>
          <w:trHeight w:val="245"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9D4505" w14:textId="77777777" w:rsidR="006D7264" w:rsidRPr="000E382D" w:rsidRDefault="006D7264">
            <w:pPr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DBB5E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−1.703</w:t>
            </w:r>
          </w:p>
        </w:tc>
        <w:tc>
          <w:tcPr>
            <w:tcW w:w="15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BD066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96AE1A" w14:textId="77777777" w:rsidR="006D7264" w:rsidRPr="000E382D" w:rsidRDefault="006D7264">
            <w:pPr>
              <w:jc w:val="center"/>
              <w:rPr>
                <w:color w:val="000000" w:themeColor="text1"/>
              </w:rPr>
            </w:pPr>
            <w:r w:rsidRPr="000E382D">
              <w:rPr>
                <w:color w:val="000000" w:themeColor="text1"/>
                <w:sz w:val="18"/>
                <w:szCs w:val="18"/>
              </w:rPr>
              <w:t>—</w:t>
            </w:r>
          </w:p>
        </w:tc>
      </w:tr>
    </w:tbl>
    <w:p w14:paraId="478C9518" w14:textId="5FC45E59" w:rsidR="00985F61" w:rsidRPr="0015792F" w:rsidRDefault="00000000">
      <w:pPr>
        <w:pStyle w:val="Heading1"/>
        <w:pageBreakBefore/>
        <w:spacing w:before="280" w:after="160"/>
        <w:rPr>
          <w:rFonts w:asciiTheme="majorBidi" w:hAnsiTheme="majorBidi" w:cstheme="majorBidi"/>
          <w:color w:val="000000" w:themeColor="text1"/>
          <w:sz w:val="30"/>
          <w:szCs w:val="30"/>
        </w:rPr>
      </w:pPr>
      <w:r w:rsidRPr="0015792F">
        <w:rPr>
          <w:rFonts w:asciiTheme="majorBidi" w:hAnsiTheme="majorBidi" w:cstheme="majorBidi"/>
          <w:color w:val="000000" w:themeColor="text1"/>
          <w:sz w:val="30"/>
          <w:szCs w:val="30"/>
        </w:rPr>
        <w:lastRenderedPageBreak/>
        <w:t xml:space="preserve">Supplementary </w:t>
      </w:r>
      <w:r w:rsidR="0015792F">
        <w:rPr>
          <w:rFonts w:asciiTheme="majorBidi" w:hAnsiTheme="majorBidi" w:cstheme="majorBidi"/>
          <w:color w:val="000000" w:themeColor="text1"/>
          <w:sz w:val="30"/>
          <w:szCs w:val="30"/>
        </w:rPr>
        <w:t xml:space="preserve">3 </w:t>
      </w:r>
      <w:r w:rsidRPr="0015792F">
        <w:rPr>
          <w:rFonts w:asciiTheme="majorBidi" w:hAnsiTheme="majorBidi" w:cstheme="majorBidi"/>
          <w:color w:val="000000" w:themeColor="text1"/>
          <w:sz w:val="30"/>
          <w:szCs w:val="30"/>
        </w:rPr>
        <w:t>Table 4. Sensitivity, specificity, and Youden index for the RAK Score at each candidate cutoff</w:t>
      </w:r>
    </w:p>
    <w:p w14:paraId="7740A709" w14:textId="0D6958FB" w:rsidR="00985F61" w:rsidRDefault="00985F61">
      <w:pPr>
        <w:spacing w:after="80" w:line="280" w:lineRule="auto"/>
      </w:pP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300"/>
        <w:gridCol w:w="2300"/>
        <w:gridCol w:w="2300"/>
      </w:tblGrid>
      <w:tr w:rsidR="00985F61" w:rsidRPr="0015792F" w14:paraId="528F8811" w14:textId="77777777" w:rsidTr="0015792F">
        <w:trPr>
          <w:tblHeader/>
        </w:trPr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50500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Cutoff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AD86BA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Sensitivity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64A1D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Specificity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260B62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Youden index</w:t>
            </w:r>
          </w:p>
        </w:tc>
      </w:tr>
      <w:tr w:rsidR="00985F61" w:rsidRPr="0015792F" w14:paraId="3841D2F5" w14:textId="77777777" w:rsidTr="0015792F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63C95E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5.5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10924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0.919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389CCB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0.203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E3F530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0.122</w:t>
            </w:r>
          </w:p>
        </w:tc>
      </w:tr>
      <w:tr w:rsidR="00985F61" w:rsidRPr="0015792F" w14:paraId="7931874E" w14:textId="77777777" w:rsidTr="0015792F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6D466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6.5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4F2D43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0.919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845DF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0.311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ED5062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0.230</w:t>
            </w:r>
          </w:p>
        </w:tc>
      </w:tr>
      <w:tr w:rsidR="00985F61" w:rsidRPr="0015792F" w14:paraId="765F2926" w14:textId="77777777" w:rsidTr="0015792F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0B504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7.5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CD5A0F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0.892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04B1D1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0.452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265387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0.344</w:t>
            </w:r>
          </w:p>
        </w:tc>
      </w:tr>
      <w:tr w:rsidR="00985F61" w:rsidRPr="0015792F" w14:paraId="453F069F" w14:textId="77777777" w:rsidTr="0015792F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A7F1B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8.5 (empirical optimum)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AB02A6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0.838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1A453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0.508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9CDF5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0.346</w:t>
            </w:r>
          </w:p>
        </w:tc>
      </w:tr>
      <w:tr w:rsidR="00985F61" w:rsidRPr="0015792F" w14:paraId="23957500" w14:textId="77777777" w:rsidTr="0015792F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DDAB4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9.5 (closest to published threshold 9)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BF62B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0.703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4FB41A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0.616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BD132D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0.319</w:t>
            </w:r>
          </w:p>
        </w:tc>
      </w:tr>
      <w:tr w:rsidR="00985F61" w:rsidRPr="0015792F" w14:paraId="4476692B" w14:textId="77777777" w:rsidTr="0015792F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637B3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10.5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3986E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0.595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7B9BF7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0.667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B0AB4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0.261</w:t>
            </w:r>
          </w:p>
        </w:tc>
      </w:tr>
      <w:tr w:rsidR="00985F61" w:rsidRPr="0015792F" w14:paraId="5DE7BCB0" w14:textId="77777777" w:rsidTr="0015792F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D5EEE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11.5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F8ECD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0.486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62D1C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0.746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D4E75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0.232</w:t>
            </w:r>
          </w:p>
        </w:tc>
      </w:tr>
      <w:tr w:rsidR="00985F61" w:rsidRPr="0015792F" w14:paraId="033D670D" w14:textId="77777777" w:rsidTr="0015792F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E9224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12.5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793FA0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0.405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8AC115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0.797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E01F1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0.202</w:t>
            </w:r>
          </w:p>
        </w:tc>
      </w:tr>
    </w:tbl>
    <w:p w14:paraId="5562A22A" w14:textId="77777777" w:rsidR="00985F61" w:rsidRPr="0015792F" w:rsidRDefault="00000000">
      <w:pPr>
        <w:pStyle w:val="Heading1"/>
        <w:pageBreakBefore/>
        <w:spacing w:before="280" w:after="160"/>
        <w:rPr>
          <w:rFonts w:asciiTheme="majorBidi" w:hAnsiTheme="majorBidi" w:cstheme="majorBidi"/>
          <w:color w:val="000000" w:themeColor="text1"/>
          <w:sz w:val="30"/>
          <w:szCs w:val="30"/>
        </w:rPr>
      </w:pPr>
      <w:r w:rsidRPr="0015792F">
        <w:rPr>
          <w:rFonts w:asciiTheme="majorBidi" w:hAnsiTheme="majorBidi" w:cstheme="majorBidi"/>
          <w:color w:val="000000" w:themeColor="text1"/>
          <w:sz w:val="30"/>
          <w:szCs w:val="30"/>
        </w:rPr>
        <w:lastRenderedPageBreak/>
        <w:t>Supplementary Table 5. Bootstrap validation of the Youden-optimal cutoff and the AUC of the RAK Score</w:t>
      </w:r>
    </w:p>
    <w:p w14:paraId="43F41B0C" w14:textId="4AE685BD" w:rsidR="00985F61" w:rsidRDefault="00985F61">
      <w:pPr>
        <w:spacing w:after="80" w:line="280" w:lineRule="auto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2500"/>
        <w:gridCol w:w="2500"/>
      </w:tblGrid>
      <w:tr w:rsidR="00985F61" w:rsidRPr="0015792F" w14:paraId="36246DBF" w14:textId="77777777" w:rsidTr="0015792F">
        <w:trPr>
          <w:tblHeader/>
        </w:trPr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BE6385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C95B8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Observed estimate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089AB9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Bootstrap-validated estimate (95% percentile CI)</w:t>
            </w:r>
          </w:p>
        </w:tc>
      </w:tr>
      <w:tr w:rsidR="00985F61" w:rsidRPr="0015792F" w14:paraId="3FC71DBD" w14:textId="77777777" w:rsidTr="0015792F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2F741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Youden-optimal cutoff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243B4C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8.5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3C5C7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8.5 (7.5 to 11.5)</w:t>
            </w:r>
          </w:p>
        </w:tc>
      </w:tr>
      <w:tr w:rsidR="00985F61" w:rsidRPr="0015792F" w14:paraId="679565D8" w14:textId="77777777" w:rsidTr="0015792F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CCA936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AUC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845662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0.701 (95% CI 0.614–0.789)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2B84E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b/>
                <w:bCs/>
                <w:color w:val="000000" w:themeColor="text1"/>
              </w:rPr>
              <w:t>0.704 (0.613 to 0.783)</w:t>
            </w:r>
          </w:p>
        </w:tc>
      </w:tr>
      <w:tr w:rsidR="00985F61" w:rsidRPr="0015792F" w14:paraId="24B2C985" w14:textId="77777777" w:rsidTr="0015792F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103AE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Sensitivity at cutoff 8.5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A71FDA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0.838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7DA86A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—</w:t>
            </w:r>
          </w:p>
        </w:tc>
      </w:tr>
      <w:tr w:rsidR="00985F61" w:rsidRPr="0015792F" w14:paraId="5C4076D1" w14:textId="77777777" w:rsidTr="0015792F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9B314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Specificity at cutoff 8.5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87F636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0.508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FD3755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—</w:t>
            </w:r>
          </w:p>
        </w:tc>
      </w:tr>
      <w:tr w:rsidR="00985F61" w:rsidRPr="0015792F" w14:paraId="731E4872" w14:textId="77777777" w:rsidTr="0015792F">
        <w:tc>
          <w:tcPr>
            <w:tcW w:w="4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B1FF2" w14:textId="77777777" w:rsidR="00985F61" w:rsidRPr="0015792F" w:rsidRDefault="0000000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Youden index at cutoff 8.5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A54F99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0.346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EB5B67" w14:textId="77777777" w:rsidR="00985F61" w:rsidRPr="0015792F" w:rsidRDefault="00000000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792F">
              <w:rPr>
                <w:rFonts w:asciiTheme="majorBidi" w:hAnsiTheme="majorBidi" w:cstheme="majorBidi"/>
                <w:color w:val="000000" w:themeColor="text1"/>
              </w:rPr>
              <w:t>—</w:t>
            </w:r>
          </w:p>
        </w:tc>
      </w:tr>
    </w:tbl>
    <w:p w14:paraId="6BCE28EF" w14:textId="08A59131" w:rsidR="00985F61" w:rsidRDefault="00985F61">
      <w:pPr>
        <w:spacing w:before="100" w:after="100" w:line="260" w:lineRule="auto"/>
      </w:pPr>
    </w:p>
    <w:sectPr w:rsidR="00985F61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81AD2"/>
    <w:multiLevelType w:val="hybridMultilevel"/>
    <w:tmpl w:val="2A60FEFC"/>
    <w:lvl w:ilvl="0" w:tplc="CADE1F62">
      <w:start w:val="1"/>
      <w:numFmt w:val="bullet"/>
      <w:lvlText w:val="●"/>
      <w:lvlJc w:val="left"/>
      <w:pPr>
        <w:ind w:left="720" w:hanging="360"/>
      </w:pPr>
    </w:lvl>
    <w:lvl w:ilvl="1" w:tplc="7598D42A">
      <w:start w:val="1"/>
      <w:numFmt w:val="bullet"/>
      <w:lvlText w:val="○"/>
      <w:lvlJc w:val="left"/>
      <w:pPr>
        <w:ind w:left="1440" w:hanging="360"/>
      </w:pPr>
    </w:lvl>
    <w:lvl w:ilvl="2" w:tplc="E9EA4196">
      <w:start w:val="1"/>
      <w:numFmt w:val="bullet"/>
      <w:lvlText w:val="■"/>
      <w:lvlJc w:val="left"/>
      <w:pPr>
        <w:ind w:left="2160" w:hanging="360"/>
      </w:pPr>
    </w:lvl>
    <w:lvl w:ilvl="3" w:tplc="9C8C4DE8">
      <w:start w:val="1"/>
      <w:numFmt w:val="bullet"/>
      <w:lvlText w:val="●"/>
      <w:lvlJc w:val="left"/>
      <w:pPr>
        <w:ind w:left="2880" w:hanging="360"/>
      </w:pPr>
    </w:lvl>
    <w:lvl w:ilvl="4" w:tplc="13180726">
      <w:start w:val="1"/>
      <w:numFmt w:val="bullet"/>
      <w:lvlText w:val="○"/>
      <w:lvlJc w:val="left"/>
      <w:pPr>
        <w:ind w:left="3600" w:hanging="360"/>
      </w:pPr>
    </w:lvl>
    <w:lvl w:ilvl="5" w:tplc="BD3059D8">
      <w:start w:val="1"/>
      <w:numFmt w:val="bullet"/>
      <w:lvlText w:val="■"/>
      <w:lvlJc w:val="left"/>
      <w:pPr>
        <w:ind w:left="4320" w:hanging="360"/>
      </w:pPr>
    </w:lvl>
    <w:lvl w:ilvl="6" w:tplc="327AC204">
      <w:start w:val="1"/>
      <w:numFmt w:val="bullet"/>
      <w:lvlText w:val="●"/>
      <w:lvlJc w:val="left"/>
      <w:pPr>
        <w:ind w:left="5040" w:hanging="360"/>
      </w:pPr>
    </w:lvl>
    <w:lvl w:ilvl="7" w:tplc="C05C424A">
      <w:start w:val="1"/>
      <w:numFmt w:val="bullet"/>
      <w:lvlText w:val="●"/>
      <w:lvlJc w:val="left"/>
      <w:pPr>
        <w:ind w:left="5760" w:hanging="360"/>
      </w:pPr>
    </w:lvl>
    <w:lvl w:ilvl="8" w:tplc="7D7C5E82">
      <w:start w:val="1"/>
      <w:numFmt w:val="bullet"/>
      <w:lvlText w:val="●"/>
      <w:lvlJc w:val="left"/>
      <w:pPr>
        <w:ind w:left="6480" w:hanging="360"/>
      </w:pPr>
    </w:lvl>
  </w:abstractNum>
  <w:num w:numId="1" w16cid:durableId="7314673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F61"/>
    <w:rsid w:val="000E382D"/>
    <w:rsid w:val="0015792F"/>
    <w:rsid w:val="00206AE1"/>
    <w:rsid w:val="0053209D"/>
    <w:rsid w:val="006D7264"/>
    <w:rsid w:val="00985F61"/>
    <w:rsid w:val="00DB1706"/>
    <w:rsid w:val="00F5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69B6F1"/>
  <w15:docId w15:val="{8677CFFA-CB6F-8340-A534-18245F29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A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317</Words>
  <Characters>1869</Characters>
  <Application>Microsoft Office Word</Application>
  <DocSecurity>0</DocSecurity>
  <Lines>124</Lines>
  <Paragraphs>115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lbay mohammad</cp:lastModifiedBy>
  <cp:revision>7</cp:revision>
  <dcterms:created xsi:type="dcterms:W3CDTF">2026-05-20T06:59:00Z</dcterms:created>
  <dcterms:modified xsi:type="dcterms:W3CDTF">2026-05-22T15:59:00Z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a47273c5f69849e84cef7517b1a2ad7e7d13554b427ee96e60e6345d16cebb10</vt:lpwstr>
  </property>
</Properties>
</file>