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4C86" w14:textId="7DD06AFC" w:rsidR="00F47771" w:rsidRDefault="00711DB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11DB4">
        <w:rPr>
          <w:rFonts w:ascii="Times New Roman" w:hAnsi="Times New Roman" w:cs="Times New Roman"/>
          <w:b/>
          <w:bCs/>
          <w:sz w:val="32"/>
          <w:szCs w:val="32"/>
        </w:rPr>
        <w:t>Supplementary Material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0"/>
        <w:gridCol w:w="991"/>
        <w:gridCol w:w="1699"/>
        <w:gridCol w:w="1200"/>
        <w:gridCol w:w="1354"/>
        <w:gridCol w:w="1016"/>
        <w:gridCol w:w="1619"/>
        <w:gridCol w:w="1525"/>
        <w:gridCol w:w="1436"/>
      </w:tblGrid>
      <w:tr w:rsidR="0038158C" w:rsidRPr="004B00C8" w14:paraId="36184FE3" w14:textId="77777777" w:rsidTr="005D31B0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76A156" w14:textId="77777777" w:rsidR="0038158C" w:rsidRPr="00451F26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51F2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Table S1. Antimicrobial Susceptibility by Pathogen ᵃ</w:t>
            </w:r>
          </w:p>
        </w:tc>
      </w:tr>
      <w:tr w:rsidR="0038158C" w:rsidRPr="004B00C8" w14:paraId="199E28F1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BD83AA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Antibiotic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71068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SOSA (n=76)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14F10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Enterococcus spp. (n=18)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EFD3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S. aureus (n=38)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F5345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A. baumannii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(n=4)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E6F0F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E. coli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(n=10)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B7D08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Enterobacter spp. (n=8)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C7DB4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K. pneumoniae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(n=12)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425E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P. aeruginosa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(n=15)</w:t>
            </w:r>
          </w:p>
        </w:tc>
      </w:tr>
      <w:tr w:rsidR="0038158C" w:rsidRPr="004B00C8" w14:paraId="780B9F18" w14:textId="77777777" w:rsidTr="005D31B0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57739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 Aminoglycosides</w:t>
            </w:r>
          </w:p>
        </w:tc>
      </w:tr>
      <w:tr w:rsidR="0038158C" w:rsidRPr="004B00C8" w14:paraId="57760D83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3504E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Amikacin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CB27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6D83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0B7A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2521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0/2 (0.0)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32C4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10/10 (100.0)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6219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7/8 (87.5)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3857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7/11 (63.6)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4A18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</w:tr>
      <w:tr w:rsidR="0038158C" w:rsidRPr="004B00C8" w14:paraId="79806CF0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14762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Gentamicin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C70E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31/71 (43.7)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4939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E750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33/36 (91.7)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D36E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1/3 (33.3)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1461D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6/10 (60.0)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BB7D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7/8 (87.5)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80C1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7/11 (63.6)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3D00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</w:tr>
      <w:tr w:rsidR="0038158C" w:rsidRPr="004B00C8" w14:paraId="0C29E40B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02F91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Tobramycin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DBB9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2A1F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C623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09785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0/2 (0.0)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1A45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3/8 (37.5)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B052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4/4 (100.0)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0CDA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2/5 (40.0)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F6E5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9/10 (90.0)</w:t>
            </w:r>
          </w:p>
        </w:tc>
      </w:tr>
      <w:tr w:rsidR="0038158C" w:rsidRPr="004B00C8" w14:paraId="2722285D" w14:textId="77777777" w:rsidTr="005D31B0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E2FF2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 Beta-lactams</w:t>
            </w:r>
          </w:p>
        </w:tc>
      </w:tr>
      <w:tr w:rsidR="0038158C" w:rsidRPr="004B00C8" w14:paraId="2E533B0C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33C45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Amoxicillin-clavulanate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BFDA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EE0A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D89E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18E2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789F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3/8 (37.5)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3D49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F903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5/10 (50.0)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CE61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02CEC64E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D1486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Ampicillin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9385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41FE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4/16 (25.0)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8ABC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2900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BAF0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0/5 (0.0)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7C8D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0934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0/8 (0.0)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F0D5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5E2836CD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A44B3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Ampicillin-sulbactam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A60D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30D5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2F97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98C5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0/2 (0.0)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AE44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1/6 (16.7)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3D0A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9841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1/4 (25.0)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D613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1FE9057F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B47EA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Aztreonam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2B5F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CD74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A5D0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FF13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6C29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4/5 (80.0)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430B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1/3 (33.3)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D9AB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2/4 (50.0)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6690D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4/6 (66.7)</w:t>
            </w:r>
          </w:p>
        </w:tc>
      </w:tr>
      <w:tr w:rsidR="0038158C" w:rsidRPr="004B00C8" w14:paraId="4B91675D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490A9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Oxacillin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E6DB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8/74 (10.8)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4333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E8DB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16/37 (43.2)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E93A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3F53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22C3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65A6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5D10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4C186F77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748DB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Piperacillin-tazobactam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2CCE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AACF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AD98D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8AAD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0/1 (0.0)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E27C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8/10 (80.0)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825C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5/7 (71.4)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E172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6/11 (54.5)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A7D5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9/15 (60.0)</w:t>
            </w:r>
          </w:p>
        </w:tc>
      </w:tr>
      <w:tr w:rsidR="0038158C" w:rsidRPr="004B00C8" w14:paraId="1EEF2B97" w14:textId="77777777" w:rsidTr="005D31B0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90CDC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 Carbapenems</w:t>
            </w:r>
          </w:p>
        </w:tc>
      </w:tr>
      <w:tr w:rsidR="0038158C" w:rsidRPr="004B00C8" w14:paraId="352413B7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80743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Ertapenem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B732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D628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9BA3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8F24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22BC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6/8 (75.0)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784A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4/4 (100.0)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80BE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2/5 (40.0)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E4B1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676BE9A9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52347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Imipenem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745C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D3EE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3331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C711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1/4 (25.0)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A865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7/9 (77.8)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0D0C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8/8 (100.0)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586C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7/10 (70.0)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16EF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14/15 (93.3)</w:t>
            </w:r>
          </w:p>
        </w:tc>
      </w:tr>
      <w:tr w:rsidR="0038158C" w:rsidRPr="004B00C8" w14:paraId="3F71CED5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FF4DA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Meropenem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11DB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E037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7F47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9C22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1/4 (25.0)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A6555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9/10 (90.0)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E177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8/8 (100.0)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702C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7/10 (70.0)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3612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14/15 (93.3)</w:t>
            </w:r>
          </w:p>
        </w:tc>
      </w:tr>
      <w:tr w:rsidR="0038158C" w:rsidRPr="004B00C8" w14:paraId="2829EEF5" w14:textId="77777777" w:rsidTr="005D31B0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8A2CB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 Cephalosporins</w:t>
            </w:r>
          </w:p>
        </w:tc>
      </w:tr>
      <w:tr w:rsidR="0038158C" w:rsidRPr="004B00C8" w14:paraId="6BC8FC5F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10318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Cefazolin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0A49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7B5E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B73A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1BC9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CD9A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2/3 (66.7)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6AB9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29EF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1/1 (100.0)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9706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41B186D9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6BF20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Cefepime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EF6C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E2D6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16F1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06E1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1/4 (25.0)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B8DC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5/8 (62.5)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A814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6/7 (85.7)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D676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6/10 (60.0)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52E6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13/15 (86.7)</w:t>
            </w:r>
          </w:p>
        </w:tc>
      </w:tr>
      <w:tr w:rsidR="0038158C" w:rsidRPr="004B00C8" w14:paraId="746DC167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F0879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Cefotaxime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4FB6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520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14F9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7BE75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0/1 (0.0)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25D8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2/2 (100.0)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BDC4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DE1B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1/3 (33.3)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8E81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3814C82E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18C06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Ceftazidime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5828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DE97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21AF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1AAC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2/4 (50.0)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0A85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5/6 (83.3)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6357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4/6 (66.7)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D203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5/9 (55.6)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9DB0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13/15 (86.7)</w:t>
            </w:r>
          </w:p>
        </w:tc>
      </w:tr>
      <w:tr w:rsidR="0038158C" w:rsidRPr="004B00C8" w14:paraId="00C1A8E2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0535F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Ceftriaxone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B220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4469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43085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6444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NT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6D34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0/1 (0.0)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32E9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E553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2/4 (50.0)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8892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077A826E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89D2D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Cefuroxime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28E3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74C5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8216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68C6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4AA9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1/5 (20.0)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19A5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B68C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3/5 (60.0)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E89D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18464616" w14:textId="77777777" w:rsidTr="005D31B0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A658B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 Fluoroquinolones</w:t>
            </w:r>
          </w:p>
        </w:tc>
      </w:tr>
      <w:tr w:rsidR="0038158C" w:rsidRPr="004B00C8" w14:paraId="53499F05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B837F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Ciprofloxacin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0973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13/45 (28.9)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72C3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9372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16/22 (72.7)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53A2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0/2 (0.0)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45DC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6/10 (60.0)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F82CD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7/7 (100.0)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9B995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5/11 (45.5)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14B1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13/15 (86.7)</w:t>
            </w:r>
          </w:p>
        </w:tc>
      </w:tr>
      <w:tr w:rsidR="0038158C" w:rsidRPr="004B00C8" w14:paraId="27AAC18A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6668C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Levofloxacin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8D9A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20/67 (29.9)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1EE5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1A5A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25/36 (69.4)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C989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1/3 (33.3)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59C2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6/10 (60.0)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5A90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5/5 (100.0)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2C90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4/7 (57.1)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74765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9/10 (90.0)</w:t>
            </w:r>
          </w:p>
        </w:tc>
      </w:tr>
      <w:tr w:rsidR="0038158C" w:rsidRPr="004B00C8" w14:paraId="2DC96921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F886C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    Moxifloxacin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1876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21/52 (40.4)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4510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59F3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20/30 (66.7)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9A56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AF82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F79B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D312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29C0D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</w:tr>
      <w:tr w:rsidR="0038158C" w:rsidRPr="004B00C8" w14:paraId="0DCD5077" w14:textId="77777777" w:rsidTr="005D31B0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2D8A1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 Glycopeptides</w:t>
            </w:r>
          </w:p>
        </w:tc>
      </w:tr>
      <w:tr w:rsidR="0038158C" w:rsidRPr="004B00C8" w14:paraId="7750714F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48CA5" w14:textId="77777777" w:rsidR="0038158C" w:rsidRPr="008649F6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Teicoplanin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45E4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58/64 (90.6)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07B9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7/14 (50.0)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22E7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33/34 (97.1)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E5B22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B0C8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B92F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11EE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BB80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66C37A1C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7D284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Vancomycin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404A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75/76 (98.7)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3F17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11/18 (61.1)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3E1F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37/37 (100.0)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07D6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7071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79718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C497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B8FAB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7F8A9FA3" w14:textId="77777777" w:rsidTr="005D31B0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06474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 Other</w:t>
            </w:r>
          </w:p>
        </w:tc>
      </w:tr>
      <w:tr w:rsidR="0038158C" w:rsidRPr="004B00C8" w14:paraId="367429DE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B26D5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Linezolid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D5B2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71/71 (100.0)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F7DC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16/16 (100.0)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815A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35/36 (97.2)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2840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FBF6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EE1D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A752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E468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2490743D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7036A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Minocycline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AC435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NT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6292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4A4D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NT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49B6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NT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9B8D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42F4D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75CB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D883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</w:tr>
      <w:tr w:rsidR="0038158C" w:rsidRPr="004B00C8" w14:paraId="14CB3002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80719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Rifampin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53A1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26/29 (89.7)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2C020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16CC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16/17 (94.1)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80B3A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39B9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4E2C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D780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1E50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</w:tr>
      <w:tr w:rsidR="0038158C" w:rsidRPr="004B00C8" w14:paraId="05FB8159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D6BA2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Tetracycline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6F475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39/59 (66.1)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CCE5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5F04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30/33 (90.9)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E9AA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F8C2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1/3 (33.3)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0705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NT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2679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DB9BE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53310632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DE636" w14:textId="77777777" w:rsidR="0038158C" w:rsidRPr="008A515F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Tigecycline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e</w:t>
            </w:r>
            <w:proofErr w:type="spellEnd"/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565E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3494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EF41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72B9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0F947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7/8 (87.5)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8118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4/4 (100.0)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44D51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5/7 (71.4)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6F2E4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14B538AF" w14:textId="77777777" w:rsidTr="005D31B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C77F43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   Trimethoprim-sulfamethoxazole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69F1AC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53/76 (69.7)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69467F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C26F73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33/37 (89.2)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3A452D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4/4 (100.0)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7CA43D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3/9 (33.3)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B5B0A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7/7 (100.0)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4686C6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6/11 (54.5)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AD5C29" w14:textId="77777777" w:rsidR="0038158C" w:rsidRPr="004B00C8" w:rsidRDefault="0038158C" w:rsidP="005D3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</w:t>
            </w:r>
          </w:p>
        </w:tc>
      </w:tr>
      <w:tr w:rsidR="0038158C" w:rsidRPr="004B00C8" w14:paraId="1699D786" w14:textId="77777777" w:rsidTr="005D31B0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C565D" w14:textId="77777777" w:rsidR="0038158C" w:rsidRPr="004B00C8" w:rsidRDefault="0038158C" w:rsidP="005D31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Abbreviations: SOSA,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Staphylococci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other than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Staphylococcus aureus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; TMP-SMX, trimethoprim-sulfamethoxazole.</w:t>
            </w:r>
          </w:p>
        </w:tc>
      </w:tr>
      <w:tr w:rsidR="0038158C" w:rsidRPr="004B00C8" w14:paraId="10301BB2" w14:textId="77777777" w:rsidTr="005D31B0">
        <w:trPr>
          <w:trHeight w:val="71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DE9D3" w14:textId="0E118AE8" w:rsidR="0038158C" w:rsidRPr="00BF5CAE" w:rsidRDefault="0038158C" w:rsidP="00BF5CAE">
            <w:pPr>
              <w:spacing w:after="0"/>
              <w:rPr>
                <w:rFonts w:asciiTheme="majorBidi" w:hAnsiTheme="majorBidi" w:cstheme="majorBidi"/>
                <w:sz w:val="16"/>
                <w:szCs w:val="16"/>
              </w:rPr>
            </w:pPr>
            <w:r w:rsidRPr="00BF5CAE">
              <w:rPr>
                <w:rFonts w:asciiTheme="majorBidi" w:hAnsiTheme="majorBidi" w:cstheme="majorBidi"/>
                <w:sz w:val="16"/>
                <w:szCs w:val="16"/>
              </w:rPr>
              <w:t>a—Antimicrobial susceptibility data are presented at the isolate level; denominators are isolates tested, not patients. For polymicrobial episodes, organisms recovered from the same episode are reported separately, restricted to valid organism–antibiotic combinations per CLSI M100 interpretive guidance.</w:t>
            </w:r>
          </w:p>
        </w:tc>
      </w:tr>
      <w:tr w:rsidR="0038158C" w:rsidRPr="004B00C8" w14:paraId="31C9CD6E" w14:textId="77777777" w:rsidTr="005D31B0">
        <w:trPr>
          <w:trHeight w:val="15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33F8D" w14:textId="77777777" w:rsidR="0038158C" w:rsidRPr="00BF5CAE" w:rsidRDefault="0038158C" w:rsidP="00BF5CAE">
            <w:pPr>
              <w:spacing w:after="0"/>
              <w:rPr>
                <w:rFonts w:asciiTheme="majorBidi" w:hAnsiTheme="majorBidi" w:cstheme="majorBidi"/>
                <w:sz w:val="16"/>
                <w:szCs w:val="16"/>
              </w:rPr>
            </w:pPr>
            <w:r w:rsidRPr="00BF5CAE">
              <w:rPr>
                <w:rFonts w:asciiTheme="majorBidi" w:hAnsiTheme="majorBidi" w:cstheme="majorBidi"/>
                <w:sz w:val="16"/>
                <w:szCs w:val="16"/>
              </w:rPr>
              <w:t>b—Values shown as: susceptible isolates / total tested (percentage susceptible).</w:t>
            </w:r>
          </w:p>
        </w:tc>
      </w:tr>
      <w:tr w:rsidR="0038158C" w:rsidRPr="004B00C8" w14:paraId="5325E3B5" w14:textId="77777777" w:rsidTr="005D31B0">
        <w:trPr>
          <w:trHeight w:val="15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ABA32" w14:textId="520AAEE3" w:rsidR="0038158C" w:rsidRPr="00BF5CAE" w:rsidRDefault="0038158C" w:rsidP="00BF5CAE">
            <w:pPr>
              <w:spacing w:after="0"/>
              <w:rPr>
                <w:rFonts w:asciiTheme="majorBidi" w:hAnsiTheme="majorBidi" w:cstheme="majorBidi"/>
                <w:sz w:val="16"/>
                <w:szCs w:val="16"/>
              </w:rPr>
            </w:pPr>
            <w:r w:rsidRPr="00BF5CAE">
              <w:rPr>
                <w:rFonts w:asciiTheme="majorBidi" w:hAnsiTheme="majorBidi" w:cstheme="majorBidi"/>
                <w:sz w:val="16"/>
                <w:szCs w:val="16"/>
              </w:rPr>
              <w:t>c—NR, not recommended (no established CLSI M100 breakpoints for this organism–antibiotic combination at the time of testing).</w:t>
            </w:r>
          </w:p>
        </w:tc>
      </w:tr>
      <w:tr w:rsidR="0038158C" w:rsidRPr="004B00C8" w14:paraId="090045D9" w14:textId="77777777" w:rsidTr="005D31B0">
        <w:trPr>
          <w:trHeight w:val="14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9D84E5" w14:textId="77777777" w:rsidR="0038158C" w:rsidRPr="00BF5CAE" w:rsidRDefault="0038158C" w:rsidP="00BF5CAE">
            <w:pPr>
              <w:spacing w:after="0"/>
              <w:rPr>
                <w:rFonts w:asciiTheme="majorBidi" w:hAnsiTheme="majorBidi" w:cstheme="majorBidi"/>
                <w:sz w:val="16"/>
                <w:szCs w:val="16"/>
              </w:rPr>
            </w:pPr>
            <w:r w:rsidRPr="00BF5CAE">
              <w:rPr>
                <w:rFonts w:asciiTheme="majorBidi" w:hAnsiTheme="majorBidi" w:cstheme="majorBidi"/>
                <w:sz w:val="16"/>
                <w:szCs w:val="16"/>
              </w:rPr>
              <w:t>d—NT, not tested (no isolates tested for that antibiotic-organism combination).</w:t>
            </w:r>
          </w:p>
        </w:tc>
      </w:tr>
      <w:tr w:rsidR="0038158C" w:rsidRPr="004B00C8" w14:paraId="6F4AF563" w14:textId="77777777" w:rsidTr="005D31B0">
        <w:trPr>
          <w:trHeight w:val="68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noWrap/>
            <w:vAlign w:val="center"/>
          </w:tcPr>
          <w:p w14:paraId="6A8444A9" w14:textId="77777777" w:rsidR="0038158C" w:rsidRPr="00BF5CAE" w:rsidRDefault="0038158C" w:rsidP="00BF5CAE">
            <w:pPr>
              <w:spacing w:after="0"/>
              <w:rPr>
                <w:rFonts w:asciiTheme="majorBidi" w:hAnsiTheme="majorBidi" w:cstheme="majorBidi"/>
                <w:sz w:val="16"/>
                <w:szCs w:val="16"/>
              </w:rPr>
            </w:pPr>
            <w:r w:rsidRPr="00BF5CAE">
              <w:rPr>
                <w:rFonts w:asciiTheme="majorBidi" w:hAnsiTheme="majorBidi" w:cstheme="majorBidi"/>
                <w:sz w:val="16"/>
                <w:szCs w:val="16"/>
              </w:rPr>
              <w:t>e—Tigecycline reported per EUCAST practice; not in CLSI M100 routine panels.</w:t>
            </w:r>
          </w:p>
        </w:tc>
      </w:tr>
      <w:tr w:rsidR="0038158C" w:rsidRPr="004B00C8" w14:paraId="17A9F5A6" w14:textId="77777777" w:rsidTr="005D31B0">
        <w:trPr>
          <w:trHeight w:val="68"/>
        </w:trPr>
        <w:tc>
          <w:tcPr>
            <w:tcW w:w="5000" w:type="pct"/>
            <w:gridSpan w:val="9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B4C9AF" w14:textId="7EE414AD" w:rsidR="0038158C" w:rsidRPr="00BF5CAE" w:rsidRDefault="0038158C" w:rsidP="00BF5CAE">
            <w:pPr>
              <w:spacing w:after="0"/>
              <w:rPr>
                <w:rFonts w:asciiTheme="majorBidi" w:hAnsiTheme="majorBidi" w:cstheme="majorBidi"/>
                <w:sz w:val="16"/>
                <w:szCs w:val="16"/>
              </w:rPr>
            </w:pPr>
            <w:r w:rsidRPr="00BF5CAE">
              <w:rPr>
                <w:rFonts w:asciiTheme="majorBidi" w:hAnsiTheme="majorBidi" w:cstheme="majorBidi"/>
                <w:sz w:val="16"/>
                <w:szCs w:val="16"/>
              </w:rPr>
              <w:t>f—IR, intrinsically resistant (organism–antibiotic combinations with documented intrinsic resistance per CLSI M100 interpretive guidance). NR and IR categories were assigned according to CLSI M100 principles and organism–drug interpretive guidance; categorical susceptibility results reflect laboratory-reported interpretations at the time of testing, per the CLSI M100 standards in use during the corresponding period (2013–2024). Raw MICs were not consistently available for retrospective reinterpretation against a single contemporary CLSI breakpoint version; temporal changes in breakpoints over the study period may therefore have introduced classification heterogeneity.</w:t>
            </w:r>
          </w:p>
        </w:tc>
      </w:tr>
    </w:tbl>
    <w:p w14:paraId="1F9E6850" w14:textId="77777777" w:rsidR="00711DB4" w:rsidRDefault="00711D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D81A7C8" w14:textId="77777777" w:rsidR="00711DB4" w:rsidRDefault="00711D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2BA4E66" w14:textId="77777777" w:rsidR="00711DB4" w:rsidRDefault="00711D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F208B1B" w14:textId="77777777" w:rsidR="00711DB4" w:rsidRDefault="00711D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906A472" w14:textId="77777777" w:rsidR="00711DB4" w:rsidRDefault="00711D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2B831DC" w14:textId="77777777" w:rsidR="00711DB4" w:rsidRDefault="00711DB4">
      <w:pPr>
        <w:rPr>
          <w:rFonts w:ascii="Times New Roman" w:hAnsi="Times New Roman" w:cs="Times New Roman"/>
          <w:b/>
          <w:bCs/>
          <w:sz w:val="32"/>
          <w:szCs w:val="32"/>
        </w:rPr>
        <w:sectPr w:rsidR="00711DB4" w:rsidSect="00711DB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8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  <w:gridCol w:w="8038"/>
      </w:tblGrid>
      <w:tr w:rsidR="00AB30B6" w:rsidRPr="00800CCF" w14:paraId="56D53DFA" w14:textId="77777777" w:rsidTr="00AB30B6">
        <w:tc>
          <w:tcPr>
            <w:tcW w:w="9360" w:type="dxa"/>
          </w:tcPr>
          <w:p w14:paraId="20174733" w14:textId="5D5CB3A4" w:rsidR="00AB30B6" w:rsidRPr="00800CCF" w:rsidRDefault="00AB30B6" w:rsidP="00AB30B6"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486477F0" wp14:editId="515A1877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-7620</wp:posOffset>
                  </wp:positionV>
                  <wp:extent cx="6645910" cy="4984750"/>
                  <wp:effectExtent l="0" t="0" r="0" b="6350"/>
                  <wp:wrapSquare wrapText="bothSides"/>
                  <wp:docPr id="6617198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719833" name="Picture 66171983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98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60" w:type="dxa"/>
          </w:tcPr>
          <w:p w14:paraId="7893BD62" w14:textId="45567019" w:rsidR="00AB30B6" w:rsidRPr="00800CCF" w:rsidRDefault="00AB30B6" w:rsidP="00AB30B6"/>
        </w:tc>
      </w:tr>
      <w:tr w:rsidR="00AB30B6" w:rsidRPr="00800CCF" w14:paraId="172427A2" w14:textId="77777777" w:rsidTr="00AB30B6">
        <w:tc>
          <w:tcPr>
            <w:tcW w:w="9360" w:type="dxa"/>
          </w:tcPr>
          <w:p w14:paraId="4CBA71E2" w14:textId="086964C0" w:rsidR="00AB30B6" w:rsidRPr="00800CCF" w:rsidRDefault="00AB30B6" w:rsidP="00AB30B6">
            <w:pPr>
              <w:spacing w:line="480" w:lineRule="auto"/>
              <w:rPr>
                <w:rFonts w:ascii="Guardian Sans Text" w:hAnsi="Guardian Sans Text"/>
              </w:rPr>
            </w:pPr>
            <w:bookmarkStart w:id="0" w:name="_Hlk221355793"/>
            <w:r>
              <w:rPr>
                <w:rFonts w:ascii="Times New Roman" w:hAnsi="Times New Roman" w:cs="Times New Roman"/>
                <w:b/>
                <w:bCs/>
              </w:rPr>
              <w:t>Figure S1. Bloodstream Infection Episodes Among Hemodialysis Patients by Year, 2013-2024.</w:t>
            </w:r>
            <w:bookmarkEnd w:id="0"/>
            <w:r>
              <w:rPr>
                <w:rFonts w:ascii="Times New Roman" w:hAnsi="Times New Roman" w:cs="Times New Roman"/>
              </w:rPr>
              <w:t xml:space="preserve"> Each bar represents the number of first bloodstream infection episodes per patient (N = 201) identified in each calendar year. Episodes were defined using 14-day deduplication intervals. Data for 2024 include January through July only, as data extraction was precluded beyond this date due to transition to a new electronic medical record system.</w:t>
            </w:r>
          </w:p>
        </w:tc>
        <w:tc>
          <w:tcPr>
            <w:tcW w:w="9360" w:type="dxa"/>
          </w:tcPr>
          <w:p w14:paraId="4DB796E1" w14:textId="0642D38D" w:rsidR="00AB30B6" w:rsidRPr="00800CCF" w:rsidRDefault="00AB30B6" w:rsidP="00AB30B6">
            <w:pPr>
              <w:spacing w:line="480" w:lineRule="auto"/>
              <w:rPr>
                <w:rFonts w:ascii="Guardian Sans Text" w:hAnsi="Guardian Sans Text"/>
              </w:rPr>
            </w:pPr>
          </w:p>
        </w:tc>
      </w:tr>
    </w:tbl>
    <w:p w14:paraId="494090E8" w14:textId="77777777" w:rsidR="00711DB4" w:rsidRDefault="00711D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A13FF7F" w14:textId="77777777" w:rsidR="00ED6C6F" w:rsidRDefault="00ED6C6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F1D7CC0" w14:textId="77777777" w:rsidR="00ED6C6F" w:rsidRDefault="00ED6C6F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18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6"/>
        <w:gridCol w:w="8034"/>
      </w:tblGrid>
      <w:tr w:rsidR="005A19C3" w:rsidRPr="00800CCF" w14:paraId="0F50C00E" w14:textId="77777777" w:rsidTr="005A19C3">
        <w:tc>
          <w:tcPr>
            <w:tcW w:w="9360" w:type="dxa"/>
          </w:tcPr>
          <w:p w14:paraId="5029B32C" w14:textId="17F6697F" w:rsidR="005A19C3" w:rsidRPr="00800CCF" w:rsidRDefault="005A19C3" w:rsidP="005A19C3"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339FD02" wp14:editId="42AC27B1">
                  <wp:extent cx="6645910" cy="3958590"/>
                  <wp:effectExtent l="0" t="0" r="2540" b="3810"/>
                  <wp:docPr id="9401066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106624" name="Picture 94010662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95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</w:tcPr>
          <w:p w14:paraId="19E8B411" w14:textId="74A09965" w:rsidR="005A19C3" w:rsidRPr="00800CCF" w:rsidRDefault="005A19C3" w:rsidP="005A19C3"/>
        </w:tc>
      </w:tr>
      <w:tr w:rsidR="005A19C3" w:rsidRPr="00800CCF" w14:paraId="074192DB" w14:textId="77777777" w:rsidTr="005A19C3">
        <w:tc>
          <w:tcPr>
            <w:tcW w:w="9360" w:type="dxa"/>
          </w:tcPr>
          <w:p w14:paraId="20F15327" w14:textId="617B95B4" w:rsidR="005A19C3" w:rsidRPr="00800CCF" w:rsidRDefault="005A19C3" w:rsidP="005A19C3">
            <w:pPr>
              <w:spacing w:line="480" w:lineRule="auto"/>
              <w:rPr>
                <w:rFonts w:ascii="Guardian Sans Text" w:hAnsi="Guardian Sans Text"/>
              </w:rPr>
            </w:pPr>
            <w:bookmarkStart w:id="1" w:name="_Hlk221355827"/>
            <w:bookmarkStart w:id="2" w:name="_Hlk221355817"/>
            <w:r>
              <w:rPr>
                <w:rFonts w:ascii="Times New Roman" w:hAnsi="Times New Roman" w:cs="Times New Roman"/>
                <w:b/>
                <w:bCs/>
              </w:rPr>
              <w:t>Figure S2. Distribution of Bloodstream Infection Pathogens Among Hemodialysis Patients</w:t>
            </w:r>
            <w:bookmarkEnd w:id="1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Horizontal bars represent the number of first bloodstream infection episodes per patient (N = 201) caused by each pathogen group. The top 6 organisms are shown individually; the remaining species are combined into the "Other" category (n = 32). SOSA indicates </w:t>
            </w:r>
            <w:r w:rsidRPr="00B945A0">
              <w:rPr>
                <w:rFonts w:ascii="Times New Roman" w:hAnsi="Times New Roman" w:cs="Times New Roman"/>
              </w:rPr>
              <w:t>Staphylococci</w:t>
            </w:r>
            <w:r>
              <w:rPr>
                <w:rFonts w:ascii="Times New Roman" w:hAnsi="Times New Roman" w:cs="Times New Roman"/>
              </w:rPr>
              <w:t xml:space="preserve"> other than </w:t>
            </w:r>
            <w:r>
              <w:rPr>
                <w:rFonts w:ascii="Times New Roman" w:hAnsi="Times New Roman" w:cs="Times New Roman"/>
                <w:i/>
                <w:iCs/>
              </w:rPr>
              <w:t>Staphylococcus aureus</w:t>
            </w:r>
            <w:r>
              <w:rPr>
                <w:rFonts w:ascii="Times New Roman" w:hAnsi="Times New Roman" w:cs="Times New Roman"/>
              </w:rPr>
              <w:t>.</w:t>
            </w:r>
            <w:bookmarkEnd w:id="2"/>
          </w:p>
        </w:tc>
        <w:tc>
          <w:tcPr>
            <w:tcW w:w="9360" w:type="dxa"/>
          </w:tcPr>
          <w:p w14:paraId="27E49555" w14:textId="7C9FFE72" w:rsidR="005A19C3" w:rsidRPr="00800CCF" w:rsidRDefault="005A19C3" w:rsidP="005A19C3">
            <w:pPr>
              <w:spacing w:line="480" w:lineRule="auto"/>
              <w:rPr>
                <w:rFonts w:ascii="Guardian Sans Text" w:hAnsi="Guardian Sans Text"/>
              </w:rPr>
            </w:pPr>
          </w:p>
        </w:tc>
      </w:tr>
    </w:tbl>
    <w:p w14:paraId="4B1722A3" w14:textId="77777777" w:rsidR="00ED6C6F" w:rsidRDefault="00ED6C6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1F015C6" w14:textId="77777777" w:rsidR="00D86245" w:rsidRDefault="00D8624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D10BAA3" w14:textId="77777777" w:rsidR="00D86245" w:rsidRDefault="00D86245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20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  <w:gridCol w:w="9764"/>
      </w:tblGrid>
      <w:tr w:rsidR="00EB2355" w:rsidRPr="00800CCF" w14:paraId="23D47BD3" w14:textId="77777777" w:rsidTr="00EB2355">
        <w:trPr>
          <w:trHeight w:val="7301"/>
        </w:trPr>
        <w:tc>
          <w:tcPr>
            <w:tcW w:w="10223" w:type="dxa"/>
          </w:tcPr>
          <w:p w14:paraId="3AC442EE" w14:textId="6FC63AF6" w:rsidR="00EB2355" w:rsidRPr="00800CCF" w:rsidRDefault="00EB2355" w:rsidP="00EB2355"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22D0F112" wp14:editId="44BD0333">
                  <wp:simplePos x="0" y="0"/>
                  <wp:positionH relativeFrom="margin">
                    <wp:align>center</wp:align>
                  </wp:positionH>
                  <wp:positionV relativeFrom="paragraph">
                    <wp:posOffset>-7620</wp:posOffset>
                  </wp:positionV>
                  <wp:extent cx="6645910" cy="4984750"/>
                  <wp:effectExtent l="0" t="0" r="0" b="6350"/>
                  <wp:wrapSquare wrapText="bothSides"/>
                  <wp:docPr id="122190727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907276" name="Picture 1221907276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98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223" w:type="dxa"/>
          </w:tcPr>
          <w:p w14:paraId="1C4F2894" w14:textId="75CFAA46" w:rsidR="00EB2355" w:rsidRPr="00800CCF" w:rsidRDefault="00EB2355" w:rsidP="00EB2355"/>
        </w:tc>
      </w:tr>
      <w:tr w:rsidR="00EB2355" w:rsidRPr="00800CCF" w14:paraId="58C68970" w14:textId="77777777" w:rsidTr="00EB2355">
        <w:trPr>
          <w:trHeight w:val="4203"/>
        </w:trPr>
        <w:tc>
          <w:tcPr>
            <w:tcW w:w="10223" w:type="dxa"/>
          </w:tcPr>
          <w:p w14:paraId="2C57C478" w14:textId="22309631" w:rsidR="00EB2355" w:rsidRPr="00D86245" w:rsidRDefault="00EB2355" w:rsidP="00EB2355">
            <w:pPr>
              <w:spacing w:line="480" w:lineRule="auto"/>
              <w:rPr>
                <w:rFonts w:ascii="Guardian Sans Text" w:hAnsi="Guardian Sans Text"/>
              </w:rPr>
            </w:pPr>
            <w:bookmarkStart w:id="3" w:name="_Hlk221355832"/>
            <w:r>
              <w:rPr>
                <w:rFonts w:ascii="Times New Roman" w:hAnsi="Times New Roman" w:cs="Times New Roman"/>
                <w:b/>
                <w:bCs/>
              </w:rPr>
              <w:t>Figure S3. Multidrug-Resistant Phenotypes Among Bloodstream Infection Isolates in Hemodialysis Patients</w:t>
            </w:r>
            <w:bookmarkEnd w:id="3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Horizontal bars represent the number of first bloodstream infection isolates per patient (N = 201) harboring each multidrug-resistant phenotype. Phenotypes are not mutually exclusive; a single isolate may carry more than one resistance phenotype. MRSA indicates methicillin-resistant </w:t>
            </w:r>
            <w:r>
              <w:rPr>
                <w:rFonts w:ascii="Times New Roman" w:hAnsi="Times New Roman" w:cs="Times New Roman"/>
                <w:i/>
                <w:iCs/>
              </w:rPr>
              <w:t>Staphylococcus aureus</w:t>
            </w:r>
            <w:r>
              <w:rPr>
                <w:rFonts w:ascii="Times New Roman" w:hAnsi="Times New Roman" w:cs="Times New Roman"/>
              </w:rPr>
              <w:t xml:space="preserve">; CRE, carbapenem-resistant </w:t>
            </w:r>
            <w:proofErr w:type="spellStart"/>
            <w:r>
              <w:rPr>
                <w:rFonts w:ascii="Times New Roman" w:hAnsi="Times New Roman" w:cs="Times New Roman"/>
              </w:rPr>
              <w:t>Enterobacterales</w:t>
            </w:r>
            <w:proofErr w:type="spellEnd"/>
            <w:r>
              <w:rPr>
                <w:rFonts w:ascii="Times New Roman" w:hAnsi="Times New Roman" w:cs="Times New Roman"/>
              </w:rPr>
              <w:t xml:space="preserve">; VRE, vancomycin-resistant Enterococcus; ESC-R, extended-spectrum cephalosporin-resistant </w:t>
            </w:r>
            <w:proofErr w:type="spellStart"/>
            <w:r>
              <w:rPr>
                <w:rFonts w:ascii="Times New Roman" w:hAnsi="Times New Roman" w:cs="Times New Roman"/>
              </w:rPr>
              <w:t>Enterobacterales</w:t>
            </w:r>
            <w:proofErr w:type="spellEnd"/>
            <w:r>
              <w:rPr>
                <w:rFonts w:ascii="Times New Roman" w:hAnsi="Times New Roman" w:cs="Times New Roman"/>
              </w:rPr>
              <w:t xml:space="preserve">; CRAB, carbapenem-resistant </w:t>
            </w:r>
            <w:r>
              <w:rPr>
                <w:rFonts w:ascii="Times New Roman" w:hAnsi="Times New Roman" w:cs="Times New Roman"/>
                <w:i/>
                <w:iCs/>
              </w:rPr>
              <w:t>Acinetobacter baumannii</w:t>
            </w:r>
            <w:r>
              <w:rPr>
                <w:rFonts w:ascii="Times New Roman" w:hAnsi="Times New Roman" w:cs="Times New Roman"/>
              </w:rPr>
              <w:t xml:space="preserve">; CRPA, carbapenem-resistant </w:t>
            </w:r>
            <w:r>
              <w:rPr>
                <w:rFonts w:ascii="Times New Roman" w:hAnsi="Times New Roman" w:cs="Times New Roman"/>
                <w:i/>
                <w:iCs/>
              </w:rPr>
              <w:t>Pseudomonas aeruginosa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23" w:type="dxa"/>
          </w:tcPr>
          <w:p w14:paraId="299F2120" w14:textId="57A33C93" w:rsidR="00EB2355" w:rsidRPr="00D86245" w:rsidRDefault="00EB2355" w:rsidP="00EB2355">
            <w:pPr>
              <w:spacing w:line="480" w:lineRule="auto"/>
              <w:rPr>
                <w:rFonts w:ascii="Guardian Sans Text" w:hAnsi="Guardian Sans Text"/>
              </w:rPr>
            </w:pPr>
          </w:p>
        </w:tc>
      </w:tr>
    </w:tbl>
    <w:p w14:paraId="2AA7CEE0" w14:textId="77777777" w:rsidR="00711DB4" w:rsidRPr="00711DB4" w:rsidRDefault="00711DB4" w:rsidP="000105FC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711DB4" w:rsidRPr="00711DB4" w:rsidSect="00711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ardian Sans Tex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B4"/>
    <w:rsid w:val="000105FC"/>
    <w:rsid w:val="001D04FF"/>
    <w:rsid w:val="002D5B4C"/>
    <w:rsid w:val="0038158C"/>
    <w:rsid w:val="005A19C3"/>
    <w:rsid w:val="006765CF"/>
    <w:rsid w:val="00711DB4"/>
    <w:rsid w:val="008A0D58"/>
    <w:rsid w:val="00A96BB9"/>
    <w:rsid w:val="00AB30B6"/>
    <w:rsid w:val="00AE20E7"/>
    <w:rsid w:val="00B945A0"/>
    <w:rsid w:val="00BD2033"/>
    <w:rsid w:val="00BF5CAE"/>
    <w:rsid w:val="00C3116C"/>
    <w:rsid w:val="00D86245"/>
    <w:rsid w:val="00DF39BB"/>
    <w:rsid w:val="00E8357F"/>
    <w:rsid w:val="00EB2355"/>
    <w:rsid w:val="00ED6C6F"/>
    <w:rsid w:val="00F4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0B3AF"/>
  <w15:chartTrackingRefBased/>
  <w15:docId w15:val="{973D9107-2066-4167-A8DE-978FBC83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D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D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D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D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D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D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D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D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D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D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D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D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D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D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D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DB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D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3D591-E33E-4E60-8D37-321F1EB1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سليمان عبد القادر</dc:creator>
  <cp:keywords/>
  <dc:description/>
  <cp:lastModifiedBy>سليمان عبد القادر</cp:lastModifiedBy>
  <cp:revision>13</cp:revision>
  <dcterms:created xsi:type="dcterms:W3CDTF">2026-02-09T18:14:00Z</dcterms:created>
  <dcterms:modified xsi:type="dcterms:W3CDTF">2026-05-22T13:46:00Z</dcterms:modified>
</cp:coreProperties>
</file>