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3246" w14:textId="77777777" w:rsidR="00521A2D" w:rsidRPr="0095688E" w:rsidRDefault="00521A2D" w:rsidP="00521A2D">
      <w:pPr>
        <w:pStyle w:val="a3"/>
        <w:ind w:firstLine="241"/>
        <w:rPr>
          <w:rFonts w:ascii="Times New Roman" w:eastAsia="黑体" w:hAnsi="Times New Roman" w:cs="Times New Roman"/>
          <w:b/>
          <w:bCs/>
          <w:spacing w:val="0"/>
          <w:kern w:val="2"/>
          <w:sz w:val="32"/>
          <w:szCs w:val="32"/>
          <w14:ligatures w14:val="none"/>
        </w:rPr>
      </w:pPr>
      <w:r w:rsidRPr="0095688E">
        <w:rPr>
          <w:rFonts w:ascii="Times New Roman" w:eastAsia="黑体" w:hAnsi="Times New Roman" w:cs="Times New Roman"/>
          <w:b/>
          <w:bCs/>
          <w:spacing w:val="0"/>
          <w:kern w:val="2"/>
          <w:sz w:val="32"/>
          <w:szCs w:val="32"/>
          <w14:ligatures w14:val="none"/>
        </w:rPr>
        <w:t>Supplementary Material</w:t>
      </w:r>
    </w:p>
    <w:p w14:paraId="2A327ECC" w14:textId="77777777" w:rsidR="00521A2D" w:rsidRDefault="00521A2D" w:rsidP="00521A2D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 w:rsidRPr="00FC1C5E">
        <w:rPr>
          <w:rFonts w:ascii="Times New Roman" w:eastAsia="黑体" w:hAnsi="Times New Roman" w:cs="Times New Roman"/>
          <w:b/>
          <w:bCs/>
          <w:sz w:val="32"/>
          <w:szCs w:val="32"/>
        </w:rPr>
        <w:t>Concurrent κ light chain proximal tubulopathy and crystal-storing histiocytosis in monoclonal gammopathy of renal significance: a rare case report with 4-year follow-up and literature review</w:t>
      </w:r>
    </w:p>
    <w:p w14:paraId="6E372A01" w14:textId="77777777" w:rsidR="00521A2D" w:rsidRDefault="00521A2D" w:rsidP="00521A2D">
      <w:pPr>
        <w:jc w:val="center"/>
        <w:rPr>
          <w:rFonts w:hint="eastAsia"/>
        </w:rPr>
      </w:pPr>
    </w:p>
    <w:p w14:paraId="555356A8" w14:textId="77777777" w:rsidR="00521A2D" w:rsidRDefault="00521A2D" w:rsidP="00521A2D">
      <w:pPr>
        <w:rPr>
          <w:rFonts w:ascii="Times New Roman" w:hAnsi="Times New Roman" w:cs="Times New Roman"/>
          <w:b/>
          <w:bCs/>
          <w:i/>
          <w:iCs/>
          <w:sz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Changxiu</w:t>
      </w:r>
      <w:proofErr w:type="spellEnd"/>
      <w:r>
        <w:rPr>
          <w:rFonts w:ascii="Times New Roman" w:eastAsia="宋体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Guo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</w:rPr>
        <w:t>Rui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Xue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Qinghui</w:t>
      </w:r>
      <w:proofErr w:type="spellEnd"/>
      <w:r>
        <w:rPr>
          <w:rFonts w:ascii="Times New Roman" w:eastAsia="宋体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Zhou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Qijun</w:t>
      </w:r>
      <w:proofErr w:type="spellEnd"/>
      <w:r>
        <w:rPr>
          <w:rFonts w:ascii="Times New Roman" w:eastAsia="宋体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Wan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Xiuli</w:t>
      </w:r>
      <w:proofErr w:type="spellEnd"/>
      <w:r>
        <w:rPr>
          <w:rFonts w:ascii="Times New Roman" w:eastAsia="宋体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Zhang*</w:t>
      </w:r>
    </w:p>
    <w:p w14:paraId="79305341" w14:textId="77777777" w:rsidR="00521A2D" w:rsidRDefault="00521A2D" w:rsidP="00521A2D">
      <w:pPr>
        <w:rPr>
          <w:rFonts w:hint="eastAsia"/>
        </w:rPr>
      </w:pPr>
      <w:r>
        <w:rPr>
          <w:rFonts w:ascii="Times New Roman" w:eastAsia="Times New Roman" w:hAnsi="Times New Roman" w:hint="eastAsia"/>
          <w:i/>
          <w:iCs/>
          <w:sz w:val="24"/>
        </w:rPr>
        <w:t xml:space="preserve">*Correspondence authors: </w:t>
      </w:r>
      <w:proofErr w:type="spellStart"/>
      <w:r>
        <w:rPr>
          <w:rFonts w:ascii="Times New Roman" w:eastAsia="Times New Roman" w:hAnsi="Times New Roman" w:hint="eastAsia"/>
          <w:i/>
          <w:iCs/>
          <w:sz w:val="24"/>
        </w:rPr>
        <w:t>Xiuli</w:t>
      </w:r>
      <w:proofErr w:type="spellEnd"/>
      <w:r>
        <w:rPr>
          <w:rFonts w:ascii="Times New Roman" w:eastAsia="Times New Roman" w:hAnsi="Times New Roman" w:hint="eastAsia"/>
          <w:i/>
          <w:iCs/>
          <w:sz w:val="24"/>
        </w:rPr>
        <w:t xml:space="preserve"> Zhang: </w:t>
      </w:r>
      <w:hyperlink r:id="rId4" w:history="1">
        <w:r>
          <w:rPr>
            <w:rStyle w:val="ae"/>
            <w:rFonts w:ascii="Times New Roman" w:eastAsia="Times New Roman" w:hAnsi="Times New Roman" w:hint="eastAsia"/>
            <w:i/>
            <w:iCs/>
            <w:sz w:val="24"/>
          </w:rPr>
          <w:t>Zhang2013_12@163.com</w:t>
        </w:r>
      </w:hyperlink>
    </w:p>
    <w:p w14:paraId="287F92A4" w14:textId="77777777" w:rsidR="00521A2D" w:rsidRDefault="00521A2D" w:rsidP="00521A2D">
      <w:pPr>
        <w:rPr>
          <w:rFonts w:ascii="Times New Roman" w:eastAsia="Times New Roman" w:hAnsi="Times New Roman"/>
          <w:i/>
          <w:iCs/>
          <w:sz w:val="24"/>
        </w:rPr>
      </w:pPr>
    </w:p>
    <w:p w14:paraId="0DDF162A" w14:textId="38D4C8C5" w:rsidR="00521A2D" w:rsidRDefault="00521A2D" w:rsidP="00521A2D">
      <w:pPr>
        <w:rPr>
          <w:rFonts w:ascii="Times New Roman" w:eastAsia="等线 Light" w:hAnsi="Times New Roman" w:cs="Times New Roman"/>
          <w:b/>
          <w:bCs/>
          <w:sz w:val="24"/>
        </w:rPr>
      </w:pPr>
      <w:r>
        <w:rPr>
          <w:rFonts w:ascii="Times New Roman" w:eastAsia="黑体" w:hAnsi="Times New Roman" w:cs="Times New Roman"/>
          <w:b/>
          <w:bCs/>
          <w:sz w:val="24"/>
          <w:szCs w:val="32"/>
        </w:rPr>
        <w:t xml:space="preserve">Supplementary Table </w:t>
      </w:r>
      <w:r w:rsidRPr="0095688E">
        <w:rPr>
          <w:rFonts w:ascii="Times New Roman" w:eastAsia="黑体" w:hAnsi="Times New Roman" w:cs="Times New Roman" w:hint="eastAsia"/>
          <w:b/>
          <w:bCs/>
          <w:sz w:val="24"/>
          <w:szCs w:val="32"/>
        </w:rPr>
        <w:t>2:</w:t>
      </w:r>
      <w:r>
        <w:rPr>
          <w:rFonts w:ascii="Times New Roman" w:eastAsia="黑体" w:hAnsi="Times New Roman" w:cs="Times New Roman" w:hint="eastAsia"/>
          <w:b/>
          <w:bCs/>
          <w:sz w:val="24"/>
          <w:szCs w:val="32"/>
        </w:rPr>
        <w:t xml:space="preserve"> </w:t>
      </w:r>
      <w:r w:rsidR="006C6F2B" w:rsidRPr="006C6F2B">
        <w:rPr>
          <w:rFonts w:ascii="Times New Roman" w:eastAsia="等线 Light" w:hAnsi="Times New Roman" w:cs="Times New Roman"/>
          <w:b/>
          <w:bCs/>
          <w:sz w:val="24"/>
        </w:rPr>
        <w:t>Key clinical timeline according to CARE guidelines</w:t>
      </w:r>
    </w:p>
    <w:tbl>
      <w:tblPr>
        <w:tblStyle w:val="af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886"/>
      </w:tblGrid>
      <w:tr w:rsidR="00521A2D" w14:paraId="0195CDC3" w14:textId="77777777" w:rsidTr="0095688E">
        <w:tc>
          <w:tcPr>
            <w:tcW w:w="2410" w:type="dxa"/>
            <w:tcBorders>
              <w:top w:val="single" w:sz="12" w:space="0" w:color="auto"/>
              <w:bottom w:val="single" w:sz="8" w:space="0" w:color="auto"/>
            </w:tcBorders>
          </w:tcPr>
          <w:p w14:paraId="1562FB88" w14:textId="5969CD2F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Time point</w:t>
            </w:r>
          </w:p>
        </w:tc>
        <w:tc>
          <w:tcPr>
            <w:tcW w:w="5886" w:type="dxa"/>
            <w:tcBorders>
              <w:top w:val="single" w:sz="12" w:space="0" w:color="auto"/>
              <w:bottom w:val="single" w:sz="8" w:space="0" w:color="auto"/>
            </w:tcBorders>
          </w:tcPr>
          <w:p w14:paraId="11583FD7" w14:textId="7175E6AE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Event</w:t>
            </w:r>
          </w:p>
        </w:tc>
      </w:tr>
      <w:tr w:rsidR="00521A2D" w14:paraId="040645D3" w14:textId="77777777" w:rsidTr="0095688E">
        <w:tc>
          <w:tcPr>
            <w:tcW w:w="2410" w:type="dxa"/>
            <w:tcBorders>
              <w:top w:val="single" w:sz="8" w:space="0" w:color="auto"/>
            </w:tcBorders>
          </w:tcPr>
          <w:p w14:paraId="6B035D39" w14:textId="7D6D4F60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March 2021</w:t>
            </w:r>
          </w:p>
        </w:tc>
        <w:tc>
          <w:tcPr>
            <w:tcW w:w="5886" w:type="dxa"/>
            <w:tcBorders>
              <w:top w:val="single" w:sz="8" w:space="0" w:color="auto"/>
            </w:tcBorders>
          </w:tcPr>
          <w:p w14:paraId="7B1C3410" w14:textId="35B091C9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Onset of polydipsia, polyuria, and nocturia</w:t>
            </w:r>
          </w:p>
        </w:tc>
      </w:tr>
      <w:tr w:rsidR="00521A2D" w14:paraId="3B00AC5D" w14:textId="77777777" w:rsidTr="0095688E">
        <w:tc>
          <w:tcPr>
            <w:tcW w:w="2410" w:type="dxa"/>
          </w:tcPr>
          <w:p w14:paraId="7FB15470" w14:textId="6214C2B1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June 18, 2021</w:t>
            </w:r>
          </w:p>
        </w:tc>
        <w:tc>
          <w:tcPr>
            <w:tcW w:w="5886" w:type="dxa"/>
          </w:tcPr>
          <w:p w14:paraId="51015402" w14:textId="53A1FCF0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Kidney biopsy performed</w:t>
            </w:r>
          </w:p>
        </w:tc>
      </w:tr>
      <w:tr w:rsidR="00521A2D" w14:paraId="331C5D4D" w14:textId="77777777" w:rsidTr="0095688E">
        <w:tc>
          <w:tcPr>
            <w:tcW w:w="2410" w:type="dxa"/>
          </w:tcPr>
          <w:p w14:paraId="23E14B3F" w14:textId="1468ED88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June 2021</w:t>
            </w:r>
          </w:p>
        </w:tc>
        <w:tc>
          <w:tcPr>
            <w:tcW w:w="5886" w:type="dxa"/>
          </w:tcPr>
          <w:p w14:paraId="1510731A" w14:textId="793D3294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Initiation of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CyBorD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 cycle 1</w:t>
            </w:r>
          </w:p>
        </w:tc>
      </w:tr>
      <w:tr w:rsidR="00521A2D" w14:paraId="2CC0841D" w14:textId="77777777" w:rsidTr="0095688E">
        <w:tc>
          <w:tcPr>
            <w:tcW w:w="2410" w:type="dxa"/>
          </w:tcPr>
          <w:p w14:paraId="623416EE" w14:textId="0FF2B746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July 2021</w:t>
            </w:r>
          </w:p>
        </w:tc>
        <w:tc>
          <w:tcPr>
            <w:tcW w:w="5886" w:type="dxa"/>
          </w:tcPr>
          <w:p w14:paraId="03609F00" w14:textId="627BDDF7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CyBorD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 cycle 2</w:t>
            </w:r>
          </w:p>
        </w:tc>
      </w:tr>
      <w:tr w:rsidR="00521A2D" w14:paraId="494DE0F6" w14:textId="77777777" w:rsidTr="0095688E">
        <w:tc>
          <w:tcPr>
            <w:tcW w:w="2410" w:type="dxa"/>
          </w:tcPr>
          <w:p w14:paraId="70992074" w14:textId="41D2259B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September 2021</w:t>
            </w:r>
          </w:p>
        </w:tc>
        <w:tc>
          <w:tcPr>
            <w:tcW w:w="5886" w:type="dxa"/>
          </w:tcPr>
          <w:p w14:paraId="3D7EECC4" w14:textId="3F31AD49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Completion of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CyBorD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 cycle 3; partial hematological remission achieved</w:t>
            </w:r>
          </w:p>
        </w:tc>
      </w:tr>
      <w:tr w:rsidR="00521A2D" w14:paraId="17926050" w14:textId="77777777" w:rsidTr="0095688E">
        <w:tc>
          <w:tcPr>
            <w:tcW w:w="2410" w:type="dxa"/>
          </w:tcPr>
          <w:p w14:paraId="6BE9A0A3" w14:textId="7B36D51A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May 2022</w:t>
            </w:r>
          </w:p>
        </w:tc>
        <w:tc>
          <w:tcPr>
            <w:tcW w:w="5886" w:type="dxa"/>
          </w:tcPr>
          <w:p w14:paraId="7CC47390" w14:textId="266329AD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Follow-up: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SCr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 76.7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μmol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>/L</w:t>
            </w:r>
          </w:p>
        </w:tc>
      </w:tr>
      <w:tr w:rsidR="00521A2D" w14:paraId="02F92F98" w14:textId="77777777" w:rsidTr="0095688E">
        <w:tc>
          <w:tcPr>
            <w:tcW w:w="2410" w:type="dxa"/>
          </w:tcPr>
          <w:p w14:paraId="02AE9C0D" w14:textId="133AAD37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September 2024</w:t>
            </w:r>
          </w:p>
        </w:tc>
        <w:tc>
          <w:tcPr>
            <w:tcW w:w="5886" w:type="dxa"/>
          </w:tcPr>
          <w:p w14:paraId="7FA54947" w14:textId="7B43FC23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Initiation of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BorD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 cycle 1 (due to mild edema and increased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dFLC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</w:tr>
      <w:tr w:rsidR="00521A2D" w14:paraId="48EE6F90" w14:textId="77777777" w:rsidTr="0095688E">
        <w:tc>
          <w:tcPr>
            <w:tcW w:w="2410" w:type="dxa"/>
          </w:tcPr>
          <w:p w14:paraId="2BEBE5DD" w14:textId="01B61726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October 2024</w:t>
            </w:r>
          </w:p>
        </w:tc>
        <w:tc>
          <w:tcPr>
            <w:tcW w:w="5886" w:type="dxa"/>
          </w:tcPr>
          <w:p w14:paraId="13DE0EE7" w14:textId="15E7E0C8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Completion of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BorD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 cycle 2</w:t>
            </w:r>
          </w:p>
        </w:tc>
      </w:tr>
      <w:tr w:rsidR="00521A2D" w14:paraId="11BD2A18" w14:textId="77777777" w:rsidTr="0095688E">
        <w:tc>
          <w:tcPr>
            <w:tcW w:w="2410" w:type="dxa"/>
          </w:tcPr>
          <w:p w14:paraId="5F594ED3" w14:textId="4C707310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>April 2025</w:t>
            </w:r>
          </w:p>
        </w:tc>
        <w:tc>
          <w:tcPr>
            <w:tcW w:w="5886" w:type="dxa"/>
          </w:tcPr>
          <w:p w14:paraId="0031CE1F" w14:textId="58D7202F" w:rsidR="00521A2D" w:rsidRPr="0095688E" w:rsidRDefault="00521A2D">
            <w:pPr>
              <w:rPr>
                <w:rFonts w:ascii="Times New Roman" w:eastAsia="宋体" w:hAnsi="Times New Roman" w:cs="Times New Roman"/>
                <w:sz w:val="24"/>
              </w:rPr>
            </w:pPr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Last follow-up: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SCr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 xml:space="preserve"> 65.8 </w:t>
            </w:r>
            <w:proofErr w:type="spellStart"/>
            <w:r w:rsidRPr="0095688E">
              <w:rPr>
                <w:rFonts w:ascii="Times New Roman" w:eastAsia="宋体" w:hAnsi="Times New Roman" w:cs="Times New Roman"/>
                <w:sz w:val="24"/>
              </w:rPr>
              <w:t>μmol</w:t>
            </w:r>
            <w:proofErr w:type="spellEnd"/>
            <w:r w:rsidRPr="0095688E">
              <w:rPr>
                <w:rFonts w:ascii="Times New Roman" w:eastAsia="宋体" w:hAnsi="Times New Roman" w:cs="Times New Roman"/>
                <w:sz w:val="24"/>
              </w:rPr>
              <w:t>/L</w:t>
            </w:r>
          </w:p>
        </w:tc>
      </w:tr>
    </w:tbl>
    <w:p w14:paraId="3CD52D13" w14:textId="77777777" w:rsidR="0095688E" w:rsidRDefault="0095688E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170DA7C" w14:textId="4F3629EC" w:rsidR="00BE303B" w:rsidRPr="0095688E" w:rsidRDefault="00553FCA">
      <w:pPr>
        <w:rPr>
          <w:rFonts w:hint="eastAsia"/>
          <w:sz w:val="24"/>
        </w:rPr>
      </w:pPr>
      <w:r>
        <w:rPr>
          <w:rFonts w:ascii="Times New Roman" w:hAnsi="Times New Roman" w:cs="Times New Roman"/>
          <w:sz w:val="24"/>
        </w:rPr>
        <w:t>Abbreviation</w:t>
      </w:r>
      <w:r>
        <w:rPr>
          <w:rFonts w:ascii="Times New Roman" w:hAnsi="Times New Roman" w:cs="Times New Roman" w:hint="eastAsia"/>
          <w:sz w:val="24"/>
        </w:rPr>
        <w:t xml:space="preserve">: </w:t>
      </w:r>
      <w:proofErr w:type="spellStart"/>
      <w:r w:rsidR="006C6F2B" w:rsidRPr="0095688E">
        <w:rPr>
          <w:rFonts w:ascii="Times New Roman" w:hAnsi="Times New Roman" w:cs="Times New Roman"/>
          <w:color w:val="000000" w:themeColor="text1"/>
          <w:sz w:val="24"/>
        </w:rPr>
        <w:t>CyBorD</w:t>
      </w:r>
      <w:proofErr w:type="spellEnd"/>
      <w:r w:rsidR="006C6F2B" w:rsidRPr="0095688E">
        <w:rPr>
          <w:rFonts w:ascii="Times New Roman" w:hAnsi="Times New Roman" w:cs="Times New Roman" w:hint="eastAsia"/>
          <w:color w:val="000000" w:themeColor="text1"/>
          <w:sz w:val="24"/>
        </w:rPr>
        <w:t xml:space="preserve">: </w:t>
      </w:r>
      <w:r w:rsidR="006C6F2B" w:rsidRPr="0095688E">
        <w:rPr>
          <w:rFonts w:ascii="Times New Roman" w:hAnsi="Times New Roman" w:cs="Times New Roman"/>
          <w:color w:val="000000" w:themeColor="text1"/>
          <w:sz w:val="24"/>
        </w:rPr>
        <w:t>cyclophosphamide</w:t>
      </w:r>
      <w:r w:rsidR="006C6F2B" w:rsidRPr="0095688E">
        <w:rPr>
          <w:rFonts w:ascii="Times New Roman" w:hAnsi="Times New Roman" w:cs="Times New Roman" w:hint="eastAsia"/>
          <w:color w:val="000000" w:themeColor="text1"/>
          <w:sz w:val="24"/>
        </w:rPr>
        <w:t xml:space="preserve">, </w:t>
      </w:r>
      <w:r w:rsidR="006C6F2B" w:rsidRPr="0095688E">
        <w:rPr>
          <w:rFonts w:ascii="Times New Roman" w:hAnsi="Times New Roman" w:cs="Times New Roman"/>
          <w:color w:val="000000" w:themeColor="text1"/>
          <w:sz w:val="24"/>
        </w:rPr>
        <w:t>bortezomib</w:t>
      </w:r>
      <w:r w:rsidR="006C6F2B" w:rsidRPr="0095688E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6C6F2B" w:rsidRPr="0095688E">
        <w:rPr>
          <w:rFonts w:ascii="Times New Roman" w:hAnsi="Times New Roman" w:cs="Times New Roman"/>
          <w:color w:val="000000" w:themeColor="text1"/>
          <w:sz w:val="24"/>
        </w:rPr>
        <w:t>and dexamethasone</w:t>
      </w:r>
      <w:r w:rsidR="006C6F2B" w:rsidRPr="0095688E">
        <w:rPr>
          <w:rFonts w:ascii="Times New Roman" w:hAnsi="Times New Roman" w:cs="Times New Roman" w:hint="eastAsia"/>
          <w:color w:val="000000" w:themeColor="text1"/>
          <w:sz w:val="24"/>
        </w:rPr>
        <w:t xml:space="preserve">; </w:t>
      </w:r>
      <w:proofErr w:type="spellStart"/>
      <w:r w:rsidR="006C6F2B" w:rsidRPr="0095688E">
        <w:rPr>
          <w:rFonts w:ascii="Times New Roman" w:hAnsi="Times New Roman" w:cs="Times New Roman"/>
          <w:color w:val="000000" w:themeColor="text1"/>
          <w:sz w:val="24"/>
        </w:rPr>
        <w:t>BorD</w:t>
      </w:r>
      <w:proofErr w:type="spellEnd"/>
      <w:r w:rsidR="006C6F2B" w:rsidRPr="0095688E">
        <w:rPr>
          <w:rFonts w:ascii="Times New Roman" w:hAnsi="Times New Roman" w:cs="Times New Roman" w:hint="eastAsia"/>
          <w:color w:val="000000" w:themeColor="text1"/>
          <w:sz w:val="24"/>
        </w:rPr>
        <w:t xml:space="preserve">: </w:t>
      </w:r>
      <w:r w:rsidR="006C6F2B" w:rsidRPr="0095688E">
        <w:rPr>
          <w:rFonts w:ascii="Times New Roman" w:hAnsi="Times New Roman" w:cs="Times New Roman"/>
          <w:color w:val="000000" w:themeColor="text1"/>
          <w:sz w:val="24"/>
        </w:rPr>
        <w:t>bortezomib and dexamethasone</w:t>
      </w:r>
      <w:r w:rsidR="00064071">
        <w:rPr>
          <w:rFonts w:ascii="Times New Roman" w:hAnsi="Times New Roman" w:cs="Times New Roman" w:hint="eastAsia"/>
          <w:color w:val="000000" w:themeColor="text1"/>
          <w:sz w:val="24"/>
        </w:rPr>
        <w:t>;</w:t>
      </w:r>
      <w:r w:rsidR="00064071" w:rsidRPr="00064071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proofErr w:type="spellStart"/>
      <w:r w:rsidR="00064071" w:rsidRPr="00C278FD">
        <w:rPr>
          <w:rFonts w:ascii="Times New Roman" w:hAnsi="Times New Roman" w:cs="Times New Roman"/>
          <w:color w:val="000000" w:themeColor="text1"/>
          <w:szCs w:val="21"/>
        </w:rPr>
        <w:t>dFLC</w:t>
      </w:r>
      <w:proofErr w:type="spellEnd"/>
      <w:r w:rsidR="00064071" w:rsidRPr="00C278FD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064071">
        <w:rPr>
          <w:rFonts w:ascii="Times New Roman" w:hAnsi="Times New Roman" w:cs="Times New Roman" w:hint="eastAsia"/>
          <w:color w:val="000000" w:themeColor="text1"/>
          <w:szCs w:val="21"/>
        </w:rPr>
        <w:t xml:space="preserve">: </w:t>
      </w:r>
      <w:r w:rsidR="00064071" w:rsidRPr="00C278FD">
        <w:rPr>
          <w:rFonts w:ascii="Times New Roman" w:hAnsi="Times New Roman" w:cs="Times New Roman"/>
          <w:color w:val="000000" w:themeColor="text1"/>
          <w:szCs w:val="21"/>
        </w:rPr>
        <w:t xml:space="preserve">the difference between involved and uninvolved </w:t>
      </w:r>
      <w:proofErr w:type="spellStart"/>
      <w:r w:rsidR="00064071">
        <w:rPr>
          <w:rFonts w:ascii="Times New Roman" w:hAnsi="Times New Roman" w:cs="Times New Roman" w:hint="eastAsia"/>
          <w:color w:val="000000" w:themeColor="text1"/>
          <w:szCs w:val="21"/>
        </w:rPr>
        <w:t>sFLC</w:t>
      </w:r>
      <w:proofErr w:type="spellEnd"/>
      <w:r w:rsidR="00064071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proofErr w:type="spellStart"/>
      <w:r w:rsidR="00064071">
        <w:rPr>
          <w:rFonts w:ascii="Times New Roman" w:hAnsi="Times New Roman" w:cs="Times New Roman" w:hint="eastAsia"/>
          <w:color w:val="000000" w:themeColor="text1"/>
          <w:szCs w:val="21"/>
        </w:rPr>
        <w:t>sFLC</w:t>
      </w:r>
      <w:proofErr w:type="spellEnd"/>
      <w:r w:rsidR="00064071">
        <w:rPr>
          <w:rFonts w:ascii="Times New Roman" w:hAnsi="Times New Roman" w:cs="Times New Roman" w:hint="eastAsia"/>
          <w:color w:val="000000" w:themeColor="text1"/>
          <w:szCs w:val="21"/>
        </w:rPr>
        <w:t xml:space="preserve">: </w:t>
      </w:r>
      <w:r w:rsidR="00064071" w:rsidRPr="00C278FD">
        <w:rPr>
          <w:rFonts w:ascii="Times New Roman" w:hAnsi="Times New Roman" w:cs="Times New Roman"/>
          <w:color w:val="000000" w:themeColor="text1"/>
          <w:szCs w:val="21"/>
        </w:rPr>
        <w:t>serum free light chain</w:t>
      </w:r>
      <w:r w:rsidR="00064071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proofErr w:type="spellStart"/>
      <w:r w:rsidR="00064071" w:rsidRPr="00C278FD">
        <w:rPr>
          <w:rFonts w:ascii="Times New Roman" w:hAnsi="Times New Roman" w:cs="Times New Roman"/>
          <w:color w:val="000000" w:themeColor="text1"/>
          <w:szCs w:val="21"/>
        </w:rPr>
        <w:t>SCr</w:t>
      </w:r>
      <w:proofErr w:type="spellEnd"/>
      <w:r w:rsidR="00064071">
        <w:rPr>
          <w:rFonts w:ascii="Times New Roman" w:hAnsi="Times New Roman" w:cs="Times New Roman" w:hint="eastAsia"/>
          <w:color w:val="000000" w:themeColor="text1"/>
          <w:szCs w:val="21"/>
        </w:rPr>
        <w:t xml:space="preserve">: </w:t>
      </w:r>
      <w:r w:rsidR="00064071" w:rsidRPr="00C278FD">
        <w:rPr>
          <w:rFonts w:ascii="Times New Roman" w:hAnsi="Times New Roman" w:cs="Times New Roman"/>
          <w:color w:val="000000" w:themeColor="text1"/>
          <w:szCs w:val="21"/>
        </w:rPr>
        <w:t>serum creatinine</w:t>
      </w:r>
    </w:p>
    <w:sectPr w:rsidR="00BE303B" w:rsidRPr="009568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2D"/>
    <w:rsid w:val="00064071"/>
    <w:rsid w:val="000C32DE"/>
    <w:rsid w:val="004136EE"/>
    <w:rsid w:val="00481997"/>
    <w:rsid w:val="00521A2D"/>
    <w:rsid w:val="00553FCA"/>
    <w:rsid w:val="006C6F2B"/>
    <w:rsid w:val="00925B2F"/>
    <w:rsid w:val="0095688E"/>
    <w:rsid w:val="00BE303B"/>
    <w:rsid w:val="00C8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A4BF5B"/>
  <w15:chartTrackingRefBased/>
  <w15:docId w15:val="{91307979-A813-4C0A-9184-7464812F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A2D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1A2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A2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A2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A2D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1A2D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1A2D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1A2D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A2D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1A2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21A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21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21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21A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21A2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21A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21A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21A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21A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521A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21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1A2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21A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1A2D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21A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1A2D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521A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1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21A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1A2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qFormat/>
    <w:rsid w:val="00521A2D"/>
    <w:rPr>
      <w:color w:val="0000FF"/>
      <w:u w:val="single"/>
    </w:rPr>
  </w:style>
  <w:style w:type="table" w:styleId="af">
    <w:name w:val="Table Grid"/>
    <w:basedOn w:val="a1"/>
    <w:uiPriority w:val="39"/>
    <w:rsid w:val="0052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hang2013_12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161</Words>
  <Characters>981</Characters>
  <Application>Microsoft Office Word</Application>
  <DocSecurity>0</DocSecurity>
  <Lines>39</Lines>
  <Paragraphs>31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昌秀 郭</dc:creator>
  <cp:keywords/>
  <dc:description/>
  <cp:lastModifiedBy>昌秀 郭</cp:lastModifiedBy>
  <cp:revision>3</cp:revision>
  <dcterms:created xsi:type="dcterms:W3CDTF">2026-06-14T09:18:00Z</dcterms:created>
  <dcterms:modified xsi:type="dcterms:W3CDTF">2026-06-14T10:23:00Z</dcterms:modified>
</cp:coreProperties>
</file>