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0420" w14:textId="77777777" w:rsidR="001442A6" w:rsidRDefault="00000000">
      <w:pPr>
        <w:pStyle w:val="a4"/>
        <w:ind w:firstLine="241"/>
        <w:rPr>
          <w:rFonts w:ascii="Times New Roman" w:hAnsi="Times New Roman" w:cs="Times New Roman"/>
          <w:i/>
          <w:iCs/>
          <w:sz w:val="32"/>
        </w:rPr>
      </w:pPr>
      <w:r>
        <w:rPr>
          <w:rFonts w:ascii="Times New Roman" w:hAnsi="Times New Roman" w:cs="Times New Roman"/>
          <w:i/>
          <w:iCs/>
          <w:sz w:val="32"/>
        </w:rPr>
        <w:t>Supplementary Material</w:t>
      </w:r>
    </w:p>
    <w:p w14:paraId="5A50F589" w14:textId="1A942B2A" w:rsidR="001442A6" w:rsidRDefault="005A5469" w:rsidP="005A5469">
      <w:pPr>
        <w:jc w:val="center"/>
        <w:rPr>
          <w:rFonts w:ascii="Times New Roman" w:eastAsia="黑体" w:hAnsi="Times New Roman" w:cs="Times New Roman"/>
          <w:b/>
          <w:bCs/>
          <w:sz w:val="32"/>
          <w:szCs w:val="32"/>
        </w:rPr>
      </w:pPr>
      <w:r w:rsidRPr="005A5469">
        <w:rPr>
          <w:rFonts w:ascii="Times New Roman" w:eastAsia="黑体" w:hAnsi="Times New Roman" w:cs="Times New Roman"/>
          <w:b/>
          <w:bCs/>
          <w:sz w:val="32"/>
          <w:szCs w:val="32"/>
        </w:rPr>
        <w:t>Concurrent κ light chain proximal tubulopathy and crystal-storing histiocytosis in monoclonal gammopathy of renal significance: a rare case report with 4-year follow-up and literature review</w:t>
      </w:r>
    </w:p>
    <w:p w14:paraId="19D5271A" w14:textId="77777777" w:rsidR="005A5469" w:rsidRDefault="005A5469" w:rsidP="005A5469">
      <w:pPr>
        <w:jc w:val="center"/>
      </w:pPr>
    </w:p>
    <w:p w14:paraId="7C688C4A" w14:textId="77777777" w:rsidR="001442A6" w:rsidRDefault="00000000">
      <w:pPr>
        <w:rPr>
          <w:rFonts w:ascii="Times New Roman" w:hAnsi="Times New Roman" w:cs="Times New Roman"/>
          <w:b/>
          <w:bCs/>
          <w:i/>
          <w:iCs/>
          <w:sz w:val="24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Changxiu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Guo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 xml:space="preserve">, </w:t>
      </w:r>
      <w:r>
        <w:rPr>
          <w:rFonts w:ascii="Times New Roman" w:hAnsi="Times New Roman" w:cs="Times New Roman"/>
          <w:b/>
          <w:bCs/>
          <w:i/>
          <w:iCs/>
          <w:sz w:val="24"/>
        </w:rPr>
        <w:t>Rui Xue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Qinghui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Zhou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Qijun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Wan</w:t>
      </w:r>
      <w:r>
        <w:rPr>
          <w:rFonts w:ascii="Times New Roman" w:hAnsi="Times New Roman" w:cs="Times New Roman" w:hint="eastAsia"/>
          <w:b/>
          <w:bCs/>
          <w:i/>
          <w:iCs/>
          <w:sz w:val="24"/>
        </w:rPr>
        <w:t>,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</w:rPr>
        <w:t>Xiuli</w:t>
      </w:r>
      <w:proofErr w:type="spellEnd"/>
      <w:r>
        <w:rPr>
          <w:rFonts w:ascii="Times New Roman" w:eastAsia="宋体" w:hAnsi="Times New Roman" w:cs="Times New Roman"/>
          <w:b/>
          <w:bCs/>
          <w:i/>
          <w:i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</w:rPr>
        <w:t>Zhang*</w:t>
      </w:r>
    </w:p>
    <w:p w14:paraId="37C205B7" w14:textId="77777777" w:rsidR="001442A6" w:rsidRDefault="00000000">
      <w:pPr>
        <w:rPr>
          <w:rFonts w:ascii="Times New Roman" w:eastAsia="Times New Roman" w:hAnsi="Times New Roman"/>
          <w:i/>
          <w:iCs/>
          <w:sz w:val="24"/>
        </w:rPr>
      </w:pPr>
      <w:r>
        <w:rPr>
          <w:rFonts w:ascii="Times New Roman" w:eastAsia="Times New Roman" w:hAnsi="Times New Roman" w:hint="eastAsia"/>
          <w:i/>
          <w:iCs/>
          <w:sz w:val="24"/>
        </w:rPr>
        <w:t>*Correspondence authors</w:t>
      </w:r>
      <w:r>
        <w:rPr>
          <w:rFonts w:ascii="Times New Roman" w:eastAsia="宋体" w:hAnsi="Times New Roman" w:hint="eastAsia"/>
          <w:i/>
          <w:iCs/>
          <w:sz w:val="24"/>
        </w:rPr>
        <w:t xml:space="preserve">: </w:t>
      </w:r>
      <w:r>
        <w:rPr>
          <w:rFonts w:ascii="Times New Roman" w:eastAsia="Times New Roman" w:hAnsi="Times New Roman" w:hint="eastAsia"/>
          <w:i/>
          <w:iCs/>
          <w:sz w:val="24"/>
        </w:rPr>
        <w:t xml:space="preserve"> </w:t>
      </w:r>
      <w:proofErr w:type="spellStart"/>
      <w:r>
        <w:rPr>
          <w:rFonts w:ascii="Times New Roman" w:eastAsia="Times New Roman" w:hAnsi="Times New Roman" w:hint="eastAsia"/>
          <w:i/>
          <w:iCs/>
          <w:sz w:val="24"/>
        </w:rPr>
        <w:t>Xiuli</w:t>
      </w:r>
      <w:proofErr w:type="spellEnd"/>
      <w:r>
        <w:rPr>
          <w:rFonts w:ascii="Times New Roman" w:eastAsia="Times New Roman" w:hAnsi="Times New Roman" w:hint="eastAsia"/>
          <w:i/>
          <w:iCs/>
          <w:sz w:val="24"/>
        </w:rPr>
        <w:t xml:space="preserve"> Zhang</w:t>
      </w:r>
      <w:r>
        <w:rPr>
          <w:rFonts w:ascii="Times New Roman" w:eastAsia="宋体" w:hAnsi="Times New Roman" w:hint="eastAsia"/>
          <w:i/>
          <w:iCs/>
          <w:sz w:val="24"/>
        </w:rPr>
        <w:t xml:space="preserve">: </w:t>
      </w:r>
      <w:r>
        <w:rPr>
          <w:rFonts w:ascii="Times New Roman" w:eastAsia="Times New Roman" w:hAnsi="Times New Roman" w:hint="eastAsia"/>
          <w:i/>
          <w:iCs/>
          <w:sz w:val="24"/>
        </w:rPr>
        <w:t xml:space="preserve"> </w:t>
      </w:r>
      <w:hyperlink r:id="rId8" w:history="1">
        <w:r w:rsidR="001442A6">
          <w:rPr>
            <w:rStyle w:val="a7"/>
            <w:rFonts w:ascii="Times New Roman" w:eastAsia="Times New Roman" w:hAnsi="Times New Roman" w:hint="eastAsia"/>
            <w:i/>
            <w:iCs/>
            <w:sz w:val="24"/>
          </w:rPr>
          <w:t>Zhang2013_12@163.com</w:t>
        </w:r>
      </w:hyperlink>
    </w:p>
    <w:p w14:paraId="6DBD6464" w14:textId="77777777" w:rsidR="001442A6" w:rsidRDefault="001442A6">
      <w:pPr>
        <w:rPr>
          <w:rFonts w:ascii="Times New Roman" w:hAnsi="Times New Roman" w:cs="Times New Roman"/>
          <w:sz w:val="24"/>
        </w:rPr>
      </w:pPr>
    </w:p>
    <w:p w14:paraId="4694DC2B" w14:textId="107EF433" w:rsidR="001442A6" w:rsidRPr="00D258AE" w:rsidRDefault="00000000">
      <w:pPr>
        <w:rPr>
          <w:rFonts w:ascii="Times New Roman" w:hAnsi="Times New Roman" w:cs="Times New Roman"/>
          <w:b/>
          <w:bCs/>
          <w:sz w:val="24"/>
        </w:rPr>
      </w:pPr>
      <w:r w:rsidRPr="00D258AE">
        <w:rPr>
          <w:rFonts w:ascii="Times New Roman" w:hAnsi="Times New Roman" w:cs="Times New Roman" w:hint="eastAsia"/>
          <w:b/>
          <w:bCs/>
          <w:sz w:val="24"/>
        </w:rPr>
        <w:t xml:space="preserve">Supplementary </w:t>
      </w:r>
      <w:r w:rsidRPr="00D258AE">
        <w:rPr>
          <w:rFonts w:ascii="Times New Roman" w:hAnsi="Times New Roman" w:cs="Times New Roman"/>
          <w:b/>
          <w:bCs/>
          <w:sz w:val="24"/>
        </w:rPr>
        <w:t xml:space="preserve">table </w:t>
      </w:r>
      <w:r w:rsidR="00D258AE" w:rsidRPr="00D258AE">
        <w:rPr>
          <w:rFonts w:ascii="Times New Roman" w:hAnsi="Times New Roman" w:cs="Times New Roman" w:hint="eastAsia"/>
          <w:b/>
          <w:bCs/>
          <w:sz w:val="24"/>
        </w:rPr>
        <w:t>3</w:t>
      </w:r>
      <w:r w:rsidRPr="00D258AE">
        <w:rPr>
          <w:rFonts w:ascii="Times New Roman" w:hAnsi="Times New Roman" w:cs="Times New Roman" w:hint="eastAsia"/>
          <w:b/>
          <w:bCs/>
          <w:sz w:val="24"/>
        </w:rPr>
        <w:t xml:space="preserve">: </w:t>
      </w:r>
      <w:r w:rsidRPr="00D258AE">
        <w:rPr>
          <w:rFonts w:ascii="Times New Roman" w:hAnsi="Times New Roman" w:cs="Times New Roman"/>
          <w:b/>
          <w:bCs/>
          <w:sz w:val="24"/>
        </w:rPr>
        <w:t xml:space="preserve">Previous reports of cases with combined LCPT and CSH </w:t>
      </w:r>
      <w:proofErr w:type="spellStart"/>
      <w:r w:rsidRPr="00D258AE">
        <w:rPr>
          <w:rFonts w:ascii="Times New Roman" w:hAnsi="Times New Roman" w:cs="Times New Roman"/>
          <w:b/>
          <w:bCs/>
          <w:sz w:val="24"/>
        </w:rPr>
        <w:t>cauesd</w:t>
      </w:r>
      <w:proofErr w:type="spellEnd"/>
      <w:r w:rsidRPr="00D258AE">
        <w:rPr>
          <w:rFonts w:ascii="Times New Roman" w:hAnsi="Times New Roman" w:cs="Times New Roman"/>
          <w:b/>
          <w:bCs/>
          <w:sz w:val="24"/>
        </w:rPr>
        <w:t xml:space="preserve"> by MGRS or MGUS</w:t>
      </w:r>
    </w:p>
    <w:tbl>
      <w:tblPr>
        <w:tblStyle w:val="a5"/>
        <w:tblpPr w:leftFromText="180" w:rightFromText="180" w:vertAnchor="text" w:horzAnchor="page" w:tblpX="1414" w:tblpY="327"/>
        <w:tblOverlap w:val="never"/>
        <w:tblW w:w="4998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819"/>
        <w:gridCol w:w="1547"/>
        <w:gridCol w:w="797"/>
        <w:gridCol w:w="1288"/>
        <w:gridCol w:w="766"/>
        <w:gridCol w:w="1325"/>
        <w:gridCol w:w="1418"/>
        <w:gridCol w:w="1325"/>
        <w:gridCol w:w="2341"/>
        <w:gridCol w:w="1155"/>
      </w:tblGrid>
      <w:tr w:rsidR="001442A6" w14:paraId="04DEBBD4" w14:textId="77777777">
        <w:trPr>
          <w:trHeight w:val="90"/>
          <w:tblHeader/>
        </w:trPr>
        <w:tc>
          <w:tcPr>
            <w:tcW w:w="41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911A20C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Author[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Ref]</w:t>
            </w:r>
          </w:p>
        </w:tc>
        <w:tc>
          <w:tcPr>
            <w:tcW w:w="29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573AE48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Age/sex</w:t>
            </w:r>
          </w:p>
        </w:tc>
        <w:tc>
          <w:tcPr>
            <w:tcW w:w="552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CEE7862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Serum Creatinine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Scr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 mg/dL)</w:t>
            </w:r>
          </w:p>
        </w:tc>
        <w:tc>
          <w:tcPr>
            <w:tcW w:w="286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DBF84C3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Urine Protein (g/day)</w:t>
            </w:r>
          </w:p>
        </w:tc>
        <w:tc>
          <w:tcPr>
            <w:tcW w:w="46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E327E31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Clinical Renal Manifestation</w:t>
            </w:r>
          </w:p>
        </w:tc>
        <w:tc>
          <w:tcPr>
            <w:tcW w:w="27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3DE324" w14:textId="77777777" w:rsidR="001442A6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Plasma cell dyscrasia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E353F1F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Hematologic Disease</w:t>
            </w:r>
          </w:p>
        </w:tc>
        <w:tc>
          <w:tcPr>
            <w:tcW w:w="50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580E10C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Crystal Distribution</w:t>
            </w:r>
          </w:p>
        </w:tc>
        <w:tc>
          <w:tcPr>
            <w:tcW w:w="474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768392B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Treatment</w:t>
            </w:r>
          </w:p>
        </w:tc>
        <w:tc>
          <w:tcPr>
            <w:tcW w:w="83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FFE6282" w14:textId="77777777" w:rsidR="001442A6" w:rsidRDefault="00000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Prognosis</w:t>
            </w:r>
          </w:p>
        </w:tc>
        <w:tc>
          <w:tcPr>
            <w:tcW w:w="41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CEA2B1" w14:textId="77777777" w:rsidR="001442A6" w:rsidRDefault="00000000">
            <w:pPr>
              <w:jc w:val="center"/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Follow-up period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（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months</w:t>
            </w:r>
            <w:r>
              <w:rPr>
                <w:rFonts w:ascii="Times New Roman" w:eastAsia="宋体" w:hAnsi="Times New Roman" w:cs="Times New Roman"/>
                <w:b/>
                <w:bCs/>
                <w:sz w:val="16"/>
                <w:szCs w:val="16"/>
              </w:rPr>
              <w:t>）</w:t>
            </w:r>
          </w:p>
        </w:tc>
      </w:tr>
      <w:tr w:rsidR="001442A6" w14:paraId="4B18523C" w14:textId="77777777">
        <w:trPr>
          <w:trHeight w:val="2081"/>
        </w:trPr>
        <w:tc>
          <w:tcPr>
            <w:tcW w:w="419" w:type="pct"/>
            <w:tcBorders>
              <w:top w:val="single" w:sz="8" w:space="0" w:color="auto"/>
            </w:tcBorders>
            <w:vAlign w:val="center"/>
          </w:tcPr>
          <w:p w14:paraId="3F87D871" w14:textId="48BF2B13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Qin et al.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[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 w:hint="eastAsia"/>
                <w:sz w:val="18"/>
                <w:szCs w:val="18"/>
              </w:rPr>
              <w:instrText>REF _Ref220276938 \r \h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t>S1]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94" w:type="pct"/>
            <w:tcBorders>
              <w:top w:val="single" w:sz="8" w:space="0" w:color="auto"/>
            </w:tcBorders>
            <w:vAlign w:val="center"/>
          </w:tcPr>
          <w:p w14:paraId="277525DD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67/M</w:t>
            </w:r>
          </w:p>
        </w:tc>
        <w:tc>
          <w:tcPr>
            <w:tcW w:w="552" w:type="pct"/>
            <w:tcBorders>
              <w:top w:val="single" w:sz="8" w:space="0" w:color="auto"/>
            </w:tcBorders>
            <w:vAlign w:val="center"/>
          </w:tcPr>
          <w:p w14:paraId="6BDC648C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10.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5→1.8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86" w:type="pct"/>
            <w:tcBorders>
              <w:top w:val="single" w:sz="8" w:space="0" w:color="auto"/>
            </w:tcBorders>
            <w:vAlign w:val="center"/>
          </w:tcPr>
          <w:p w14:paraId="7215346D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2.01</w:t>
            </w:r>
          </w:p>
        </w:tc>
        <w:tc>
          <w:tcPr>
            <w:tcW w:w="461" w:type="pct"/>
            <w:tcBorders>
              <w:top w:val="single" w:sz="8" w:space="0" w:color="auto"/>
            </w:tcBorders>
            <w:vAlign w:val="center"/>
          </w:tcPr>
          <w:p w14:paraId="314EAA75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AKI, partial Fanconi syndrome</w:t>
            </w:r>
          </w:p>
        </w:tc>
        <w:tc>
          <w:tcPr>
            <w:tcW w:w="275" w:type="pct"/>
            <w:tcBorders>
              <w:top w:val="single" w:sz="8" w:space="0" w:color="auto"/>
            </w:tcBorders>
            <w:vAlign w:val="center"/>
          </w:tcPr>
          <w:p w14:paraId="433A72C1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κ light chain</w:t>
            </w:r>
          </w:p>
        </w:tc>
        <w:tc>
          <w:tcPr>
            <w:tcW w:w="474" w:type="pct"/>
            <w:tcBorders>
              <w:top w:val="single" w:sz="8" w:space="0" w:color="auto"/>
            </w:tcBorders>
            <w:vAlign w:val="center"/>
          </w:tcPr>
          <w:p w14:paraId="120FFDDE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MGRS</w:t>
            </w:r>
          </w:p>
        </w:tc>
        <w:tc>
          <w:tcPr>
            <w:tcW w:w="507" w:type="pct"/>
            <w:tcBorders>
              <w:top w:val="single" w:sz="8" w:space="0" w:color="auto"/>
            </w:tcBorders>
            <w:vAlign w:val="center"/>
          </w:tcPr>
          <w:p w14:paraId="47D1235F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Proximal tubular epithelial cells, renal interstitial histiocytes, bone marrow histiocytes</w:t>
            </w:r>
          </w:p>
        </w:tc>
        <w:tc>
          <w:tcPr>
            <w:tcW w:w="474" w:type="pct"/>
            <w:tcBorders>
              <w:top w:val="single" w:sz="8" w:space="0" w:color="auto"/>
            </w:tcBorders>
            <w:vAlign w:val="center"/>
          </w:tcPr>
          <w:p w14:paraId="45E7E6AC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 cycles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CyBorD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1 cycle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BorD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combined with daratumumab and one more cycle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BorD</w:t>
            </w:r>
            <w:proofErr w:type="spellEnd"/>
          </w:p>
        </w:tc>
        <w:tc>
          <w:tcPr>
            <w:tcW w:w="838" w:type="pct"/>
            <w:tcBorders>
              <w:top w:val="single" w:sz="8" w:space="0" w:color="auto"/>
            </w:tcBorders>
            <w:vAlign w:val="center"/>
          </w:tcPr>
          <w:p w14:paraId="385A3BF4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 xml:space="preserve">VGPR, stable renal </w:t>
            </w:r>
            <w:proofErr w:type="gramStart"/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function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SCr1.4→1.6mg/dl)</w:t>
            </w: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, improved Fanconi syndrome</w:t>
            </w:r>
          </w:p>
        </w:tc>
        <w:tc>
          <w:tcPr>
            <w:tcW w:w="413" w:type="pct"/>
            <w:tcBorders>
              <w:top w:val="single" w:sz="8" w:space="0" w:color="auto"/>
            </w:tcBorders>
            <w:vAlign w:val="center"/>
          </w:tcPr>
          <w:p w14:paraId="415481F5" w14:textId="77777777" w:rsidR="001442A6" w:rsidRDefault="00000000">
            <w:pPr>
              <w:jc w:val="left"/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  <w:t>30</w:t>
            </w:r>
          </w:p>
        </w:tc>
      </w:tr>
      <w:tr w:rsidR="001442A6" w14:paraId="5B004F5B" w14:textId="77777777">
        <w:trPr>
          <w:trHeight w:val="1416"/>
        </w:trPr>
        <w:tc>
          <w:tcPr>
            <w:tcW w:w="419" w:type="pct"/>
            <w:vAlign w:val="center"/>
          </w:tcPr>
          <w:p w14:paraId="6D07E046" w14:textId="5A171C15" w:rsidR="001442A6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lastRenderedPageBreak/>
              <w:t>Nakamura et al.</w:t>
            </w:r>
            <w:r>
              <w:rPr>
                <w:rFonts w:ascii="Times New Roman" w:eastAsia="宋体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 xml:space="preserve"> 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 w:hint="eastAsia"/>
                <w:sz w:val="18"/>
                <w:szCs w:val="18"/>
              </w:rPr>
              <w:instrText>REF _Ref220276969 \r \h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t>[S2]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94" w:type="pct"/>
            <w:vAlign w:val="center"/>
          </w:tcPr>
          <w:p w14:paraId="116A9092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66/F</w:t>
            </w:r>
          </w:p>
        </w:tc>
        <w:tc>
          <w:tcPr>
            <w:tcW w:w="552" w:type="pct"/>
            <w:vAlign w:val="center"/>
          </w:tcPr>
          <w:p w14:paraId="302DDFC6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3.32 → N/A</w:t>
            </w:r>
          </w:p>
        </w:tc>
        <w:tc>
          <w:tcPr>
            <w:tcW w:w="286" w:type="pct"/>
            <w:vAlign w:val="center"/>
          </w:tcPr>
          <w:p w14:paraId="4E289EA0" w14:textId="77777777" w:rsidR="001442A6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2.2</w:t>
            </w:r>
            <w:r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461" w:type="pct"/>
            <w:vAlign w:val="center"/>
          </w:tcPr>
          <w:p w14:paraId="00BCCD43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CKD</w:t>
            </w:r>
          </w:p>
        </w:tc>
        <w:tc>
          <w:tcPr>
            <w:tcW w:w="275" w:type="pct"/>
            <w:vAlign w:val="center"/>
          </w:tcPr>
          <w:p w14:paraId="182AC333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Bence–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Jones  κ</w:t>
            </w:r>
            <w:proofErr w:type="gramEnd"/>
          </w:p>
        </w:tc>
        <w:tc>
          <w:tcPr>
            <w:tcW w:w="474" w:type="pct"/>
            <w:vAlign w:val="center"/>
          </w:tcPr>
          <w:p w14:paraId="4D8D1E86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MGRS</w:t>
            </w:r>
          </w:p>
        </w:tc>
        <w:tc>
          <w:tcPr>
            <w:tcW w:w="507" w:type="pct"/>
            <w:vAlign w:val="center"/>
          </w:tcPr>
          <w:p w14:paraId="4C3AF5D0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Proximal tubular epithelial cells, renal interstitial histiocytes</w:t>
            </w:r>
          </w:p>
        </w:tc>
        <w:tc>
          <w:tcPr>
            <w:tcW w:w="474" w:type="pct"/>
            <w:vAlign w:val="center"/>
          </w:tcPr>
          <w:p w14:paraId="6CBC3303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38" w:type="pct"/>
            <w:vAlign w:val="center"/>
          </w:tcPr>
          <w:p w14:paraId="2C93268C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413" w:type="pct"/>
            <w:vAlign w:val="center"/>
          </w:tcPr>
          <w:p w14:paraId="2F717434" w14:textId="77777777" w:rsidR="001442A6" w:rsidRDefault="0000000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1442A6" w14:paraId="72EB0EEB" w14:textId="77777777">
        <w:trPr>
          <w:trHeight w:val="2194"/>
        </w:trPr>
        <w:tc>
          <w:tcPr>
            <w:tcW w:w="419" w:type="pct"/>
            <w:vAlign w:val="center"/>
          </w:tcPr>
          <w:p w14:paraId="0F37A3B3" w14:textId="2B3F893B" w:rsidR="001442A6" w:rsidRDefault="00000000">
            <w:pPr>
              <w:jc w:val="left"/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Ito et al.</w:t>
            </w:r>
            <w:r>
              <w:rPr>
                <w:rFonts w:ascii="Times New Roman" w:eastAsia="宋体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 xml:space="preserve"> 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 w:hint="eastAsia"/>
                <w:sz w:val="18"/>
                <w:szCs w:val="18"/>
              </w:rPr>
              <w:instrText>REF _Ref220276997 \r \h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instrText xml:space="preserve"> </w:instrTex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t>[S3]</w:t>
            </w:r>
            <w:r w:rsidR="00F479BA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294" w:type="pct"/>
            <w:vAlign w:val="center"/>
          </w:tcPr>
          <w:p w14:paraId="4DC3C8A6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65/F</w:t>
            </w:r>
          </w:p>
        </w:tc>
        <w:tc>
          <w:tcPr>
            <w:tcW w:w="552" w:type="pct"/>
            <w:vAlign w:val="center"/>
          </w:tcPr>
          <w:p w14:paraId="6AECE08F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1.94 → eGFR 36</w:t>
            </w:r>
            <w:r>
              <w:rPr>
                <w:rFonts w:ascii="Times New Roman" w:eastAsia="Segoe UI" w:hAnsi="Times New Roman" w:cs="Times New Roman"/>
                <w:sz w:val="18"/>
                <w:szCs w:val="18"/>
                <w:shd w:val="clear" w:color="auto" w:fill="FFFFFF"/>
              </w:rPr>
              <w:t>mL/min/1.73m²</w:t>
            </w:r>
          </w:p>
        </w:tc>
        <w:tc>
          <w:tcPr>
            <w:tcW w:w="286" w:type="pct"/>
            <w:vAlign w:val="center"/>
          </w:tcPr>
          <w:p w14:paraId="29C3C15D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1.31</w:t>
            </w:r>
          </w:p>
        </w:tc>
        <w:tc>
          <w:tcPr>
            <w:tcW w:w="461" w:type="pct"/>
            <w:vAlign w:val="center"/>
          </w:tcPr>
          <w:p w14:paraId="2B41AA93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CKD without Fanconi syndrome</w:t>
            </w:r>
          </w:p>
        </w:tc>
        <w:tc>
          <w:tcPr>
            <w:tcW w:w="275" w:type="pct"/>
            <w:vAlign w:val="center"/>
          </w:tcPr>
          <w:p w14:paraId="1373DB3A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IgGκ</w:t>
            </w:r>
            <w:proofErr w:type="spellEnd"/>
          </w:p>
        </w:tc>
        <w:tc>
          <w:tcPr>
            <w:tcW w:w="474" w:type="pct"/>
            <w:vAlign w:val="center"/>
          </w:tcPr>
          <w:p w14:paraId="299C9283" w14:textId="77777777" w:rsidR="001442A6" w:rsidRDefault="00000000">
            <w:pPr>
              <w:jc w:val="left"/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MGUS</w:t>
            </w:r>
          </w:p>
        </w:tc>
        <w:tc>
          <w:tcPr>
            <w:tcW w:w="507" w:type="pct"/>
            <w:vAlign w:val="center"/>
          </w:tcPr>
          <w:p w14:paraId="2D167A04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Podocytes, tubular epithelial cells, renal interstitial histiocytes</w:t>
            </w:r>
          </w:p>
        </w:tc>
        <w:tc>
          <w:tcPr>
            <w:tcW w:w="474" w:type="pct"/>
            <w:vAlign w:val="center"/>
          </w:tcPr>
          <w:p w14:paraId="25DBBF7C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 courses of bortezomib and dexamethasone</w:t>
            </w:r>
          </w:p>
        </w:tc>
        <w:tc>
          <w:tcPr>
            <w:tcW w:w="838" w:type="pct"/>
            <w:vAlign w:val="center"/>
          </w:tcPr>
          <w:p w14:paraId="47F09284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Renal function improved to eGFR 36 mL/min/1.73m²</w:t>
            </w:r>
          </w:p>
        </w:tc>
        <w:tc>
          <w:tcPr>
            <w:tcW w:w="413" w:type="pct"/>
            <w:vAlign w:val="center"/>
          </w:tcPr>
          <w:p w14:paraId="335F6F9D" w14:textId="4EC21FBC" w:rsidR="001442A6" w:rsidRDefault="007170D7">
            <w:pPr>
              <w:jc w:val="left"/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>10</w:t>
            </w:r>
          </w:p>
        </w:tc>
      </w:tr>
      <w:tr w:rsidR="001442A6" w14:paraId="17338FB5" w14:textId="77777777">
        <w:tc>
          <w:tcPr>
            <w:tcW w:w="419" w:type="pct"/>
            <w:vAlign w:val="center"/>
          </w:tcPr>
          <w:p w14:paraId="4B46A044" w14:textId="77777777" w:rsidR="001442A6" w:rsidRDefault="00000000">
            <w:pPr>
              <w:jc w:val="left"/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Present case</w:t>
            </w:r>
          </w:p>
        </w:tc>
        <w:tc>
          <w:tcPr>
            <w:tcW w:w="294" w:type="pct"/>
            <w:vAlign w:val="center"/>
          </w:tcPr>
          <w:p w14:paraId="4632FC67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61/F</w:t>
            </w:r>
          </w:p>
        </w:tc>
        <w:tc>
          <w:tcPr>
            <w:tcW w:w="552" w:type="pct"/>
            <w:vAlign w:val="center"/>
          </w:tcPr>
          <w:p w14:paraId="49C08DD6" w14:textId="77777777" w:rsidR="001442A6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2.3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5→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286" w:type="pct"/>
            <w:vAlign w:val="center"/>
          </w:tcPr>
          <w:p w14:paraId="7E9FB821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461" w:type="pct"/>
            <w:vAlign w:val="center"/>
          </w:tcPr>
          <w:p w14:paraId="7131C55D" w14:textId="77777777" w:rsidR="001442A6" w:rsidRDefault="00000000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CKD</w:t>
            </w:r>
            <w:r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  <w:t>with</w:t>
            </w: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Fanconi</w:t>
            </w:r>
            <w:proofErr w:type="spellEnd"/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 xml:space="preserve"> syndrome</w:t>
            </w:r>
          </w:p>
        </w:tc>
        <w:tc>
          <w:tcPr>
            <w:tcW w:w="275" w:type="pct"/>
            <w:vAlign w:val="center"/>
          </w:tcPr>
          <w:p w14:paraId="2571406B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IgGκ</w:t>
            </w:r>
            <w:proofErr w:type="spellEnd"/>
          </w:p>
        </w:tc>
        <w:tc>
          <w:tcPr>
            <w:tcW w:w="474" w:type="pct"/>
            <w:vAlign w:val="center"/>
          </w:tcPr>
          <w:p w14:paraId="1AAB0417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MGRS</w:t>
            </w:r>
          </w:p>
        </w:tc>
        <w:tc>
          <w:tcPr>
            <w:tcW w:w="507" w:type="pct"/>
            <w:vAlign w:val="center"/>
          </w:tcPr>
          <w:p w14:paraId="34E85E95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Proximal tubular epithelial cells, renal interstitial histiocytes</w:t>
            </w:r>
          </w:p>
        </w:tc>
        <w:tc>
          <w:tcPr>
            <w:tcW w:w="474" w:type="pct"/>
            <w:vAlign w:val="center"/>
          </w:tcPr>
          <w:p w14:paraId="2615AAA9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 cycles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CyBorD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combined with 2 cycle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BorD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38" w:type="pct"/>
            <w:vAlign w:val="center"/>
          </w:tcPr>
          <w:p w14:paraId="26706674" w14:textId="77777777" w:rsidR="001442A6" w:rsidRDefault="0000000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Segoe UI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>PR</w:t>
            </w:r>
            <w:r>
              <w:rPr>
                <w:rFonts w:ascii="Times New Roman" w:eastAsia="宋体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>，</w:t>
            </w: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 xml:space="preserve"> stable</w:t>
            </w:r>
            <w:r>
              <w:rPr>
                <w:rFonts w:ascii="Times New Roman" w:eastAsia="宋体" w:hAnsi="Times New Roman" w:cs="Times New Roman" w:hint="eastAsia"/>
                <w:spacing w:val="6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renal function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(SCr0.74→1.25 mg/dl)</w:t>
            </w:r>
            <w:r>
              <w:rPr>
                <w:rFonts w:ascii="Times New Roman" w:eastAsia="Segoe UI" w:hAnsi="Times New Roman" w:cs="Times New Roman"/>
                <w:spacing w:val="6"/>
                <w:sz w:val="18"/>
                <w:szCs w:val="18"/>
                <w:shd w:val="clear" w:color="auto" w:fill="FFFFFF"/>
              </w:rPr>
              <w:t>, improved Fanconi syndrome</w:t>
            </w:r>
          </w:p>
        </w:tc>
        <w:tc>
          <w:tcPr>
            <w:tcW w:w="413" w:type="pct"/>
            <w:vAlign w:val="center"/>
          </w:tcPr>
          <w:p w14:paraId="6A1EB547" w14:textId="77777777" w:rsidR="001442A6" w:rsidRDefault="00000000">
            <w:pPr>
              <w:jc w:val="left"/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spacing w:val="6"/>
                <w:sz w:val="18"/>
                <w:szCs w:val="18"/>
                <w:shd w:val="clear" w:color="auto" w:fill="FFFFFF"/>
              </w:rPr>
              <w:t>48</w:t>
            </w:r>
          </w:p>
        </w:tc>
      </w:tr>
    </w:tbl>
    <w:p w14:paraId="14D64760" w14:textId="77777777" w:rsidR="001442A6" w:rsidRDefault="001442A6">
      <w:pPr>
        <w:jc w:val="left"/>
      </w:pPr>
    </w:p>
    <w:p w14:paraId="77F4D116" w14:textId="77777777" w:rsidR="001442A6" w:rsidRDefault="00000000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Abbreviation</w:t>
      </w:r>
      <w:r>
        <w:rPr>
          <w:rFonts w:ascii="Times New Roman" w:hAnsi="Times New Roman" w:cs="Times New Roman" w:hint="eastAsia"/>
          <w:sz w:val="24"/>
        </w:rPr>
        <w:t xml:space="preserve">: M: Male; AKI: acute kidney injury; MGRS: monoclonal gammopathy of renal significance; </w:t>
      </w:r>
      <w:proofErr w:type="spellStart"/>
      <w:r>
        <w:rPr>
          <w:rFonts w:ascii="Times New Roman" w:hAnsi="Times New Roman" w:cs="Times New Roman"/>
          <w:sz w:val="24"/>
        </w:rPr>
        <w:t>CyBorD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cyclophosphamide, bortezomib, and dexamethasone</w:t>
      </w:r>
      <w:r>
        <w:rPr>
          <w:rFonts w:ascii="Times New Roman" w:hAnsi="Times New Roman" w:cs="Times New Roman" w:hint="eastAsia"/>
          <w:sz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</w:rPr>
        <w:t>BorD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bortezomib and dexamethasone</w:t>
      </w:r>
      <w:r>
        <w:rPr>
          <w:rFonts w:ascii="Times New Roman" w:hAnsi="Times New Roman" w:cs="Times New Roman" w:hint="eastAsia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VGPR</w:t>
      </w:r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very good partial response</w:t>
      </w:r>
      <w:r>
        <w:rPr>
          <w:rFonts w:ascii="Times New Roman" w:hAnsi="Times New Roman" w:cs="Times New Roman" w:hint="eastAsia"/>
          <w:sz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</w:rPr>
        <w:t>SCr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serum creatinine</w:t>
      </w:r>
      <w:r>
        <w:rPr>
          <w:rFonts w:ascii="Times New Roman" w:hAnsi="Times New Roman" w:cs="Times New Roman" w:hint="eastAsia"/>
          <w:sz w:val="24"/>
        </w:rPr>
        <w:t xml:space="preserve">; F:  Female; CKD: chronic kidney disease; </w:t>
      </w:r>
      <w:r>
        <w:rPr>
          <w:rFonts w:ascii="Times New Roman" w:hAnsi="Times New Roman" w:cs="Times New Roman"/>
          <w:sz w:val="24"/>
        </w:rPr>
        <w:t>NA</w:t>
      </w:r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not available</w:t>
      </w:r>
      <w:r>
        <w:rPr>
          <w:rFonts w:ascii="Times New Roman" w:hAnsi="Times New Roman" w:cs="Times New Roman" w:hint="eastAsia"/>
          <w:sz w:val="24"/>
        </w:rPr>
        <w:t xml:space="preserve">; eGFR: estimated Glomerular Filtration Rate; </w:t>
      </w:r>
      <w:r>
        <w:rPr>
          <w:rFonts w:ascii="Times New Roman" w:hAnsi="Times New Roman" w:cs="Times New Roman"/>
          <w:sz w:val="24"/>
        </w:rPr>
        <w:t>MGUS</w:t>
      </w:r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monoclonal gammopathy of undetermined significance</w:t>
      </w:r>
      <w:r>
        <w:rPr>
          <w:rFonts w:ascii="Times New Roman" w:hAnsi="Times New Roman" w:cs="Times New Roman" w:hint="eastAsia"/>
          <w:sz w:val="24"/>
        </w:rPr>
        <w:t>; P</w:t>
      </w:r>
      <w:r>
        <w:rPr>
          <w:rFonts w:ascii="Times New Roman" w:hAnsi="Times New Roman" w:cs="Times New Roman"/>
          <w:sz w:val="24"/>
        </w:rPr>
        <w:t xml:space="preserve">R </w:t>
      </w:r>
      <w:r>
        <w:rPr>
          <w:rFonts w:ascii="Times New Roman" w:hAnsi="Times New Roman" w:cs="Times New Roman" w:hint="eastAsia"/>
          <w:sz w:val="24"/>
        </w:rPr>
        <w:t xml:space="preserve">: partial remission; </w:t>
      </w:r>
      <w:r>
        <w:rPr>
          <w:rFonts w:ascii="Times New Roman" w:hAnsi="Times New Roman" w:cs="Times New Roman"/>
          <w:sz w:val="24"/>
        </w:rPr>
        <w:t>CSH</w:t>
      </w:r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>crystal-storing histiocytosis</w:t>
      </w:r>
      <w:r>
        <w:rPr>
          <w:rFonts w:ascii="Times New Roman" w:hAnsi="Times New Roman" w:cs="Times New Roman" w:hint="eastAsia"/>
          <w:sz w:val="24"/>
        </w:rPr>
        <w:t xml:space="preserve">; </w:t>
      </w:r>
      <w:r>
        <w:rPr>
          <w:rFonts w:ascii="Times New Roman" w:hAnsi="Times New Roman" w:cs="Times New Roman"/>
          <w:sz w:val="24"/>
        </w:rPr>
        <w:t>LCPT</w:t>
      </w:r>
      <w:r>
        <w:rPr>
          <w:rFonts w:ascii="Times New Roman" w:hAnsi="Times New Roman" w:cs="Times New Roman" w:hint="eastAsia"/>
          <w:sz w:val="24"/>
        </w:rPr>
        <w:t xml:space="preserve">: </w:t>
      </w:r>
      <w:r>
        <w:rPr>
          <w:rFonts w:ascii="Times New Roman" w:hAnsi="Times New Roman" w:cs="Times New Roman"/>
          <w:sz w:val="24"/>
        </w:rPr>
        <w:t xml:space="preserve"> light chain proximal tubulopathy</w:t>
      </w:r>
    </w:p>
    <w:p w14:paraId="21D700E2" w14:textId="77777777" w:rsidR="001442A6" w:rsidRDefault="001442A6">
      <w:pPr>
        <w:rPr>
          <w:rFonts w:ascii="Times New Roman" w:hAnsi="Times New Roman" w:cs="Times New Roman"/>
          <w:sz w:val="24"/>
        </w:rPr>
      </w:pPr>
    </w:p>
    <w:p w14:paraId="252E2C14" w14:textId="77777777" w:rsidR="001442A6" w:rsidRDefault="001442A6">
      <w:pPr>
        <w:rPr>
          <w:rFonts w:ascii="Times New Roman" w:hAnsi="Times New Roman" w:cs="Times New Roman"/>
          <w:sz w:val="24"/>
        </w:rPr>
      </w:pPr>
    </w:p>
    <w:p w14:paraId="6DACB844" w14:textId="77777777" w:rsidR="001442A6" w:rsidRDefault="00000000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 w:hint="eastAsia"/>
          <w:sz w:val="24"/>
        </w:rPr>
        <w:t>Referrences</w:t>
      </w:r>
      <w:proofErr w:type="spellEnd"/>
      <w:r>
        <w:rPr>
          <w:rFonts w:ascii="Times New Roman" w:hAnsi="Times New Roman" w:cs="Times New Roman" w:hint="eastAsia"/>
          <w:sz w:val="24"/>
        </w:rPr>
        <w:t>:</w:t>
      </w:r>
    </w:p>
    <w:p w14:paraId="12262303" w14:textId="77777777" w:rsidR="00665BCA" w:rsidRDefault="00665BCA">
      <w:pPr>
        <w:rPr>
          <w:rFonts w:ascii="Times New Roman" w:hAnsi="Times New Roman" w:cs="Times New Roman"/>
          <w:sz w:val="24"/>
        </w:rPr>
      </w:pPr>
    </w:p>
    <w:p w14:paraId="633EFF37" w14:textId="77777777" w:rsidR="00665BCA" w:rsidRPr="00665BCA" w:rsidRDefault="00665BCA" w:rsidP="00665BCA">
      <w:pPr>
        <w:pStyle w:val="ac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bookmarkStart w:id="0" w:name="_Ref220276938"/>
      <w:bookmarkStart w:id="1" w:name="_Hlk219829509"/>
      <w:r w:rsidRPr="00665BCA">
        <w:rPr>
          <w:rFonts w:ascii="Times New Roman" w:hAnsi="Times New Roman" w:cs="Times New Roman"/>
          <w:sz w:val="24"/>
        </w:rPr>
        <w:t>Qin A, Yu X, Zheng X et al. Lessons for the clinical nephrologist: a rare case with MGRS characterized by combined crystalline light chain proximal tubulopathy and crystal-storing histiocytosis responding to daratumumab. J Nephrol 2023; 36:1203-7.</w:t>
      </w:r>
      <w:bookmarkEnd w:id="0"/>
    </w:p>
    <w:p w14:paraId="7E1E7D30" w14:textId="77777777" w:rsidR="00665BCA" w:rsidRDefault="00665BCA">
      <w:pPr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bookmarkStart w:id="2" w:name="_Ref220276969"/>
      <w:bookmarkStart w:id="3" w:name="OLE_LINK24"/>
      <w:bookmarkEnd w:id="1"/>
      <w:r w:rsidRPr="00665BCA">
        <w:rPr>
          <w:rFonts w:ascii="Times New Roman" w:hAnsi="Times New Roman" w:cs="Times New Roman"/>
          <w:sz w:val="24"/>
        </w:rPr>
        <w:t>Nakamura Y, Kitamura H, Ikai H et al. Combined light chain crystalline tubulopathy, podocytopathy, and histiocytosis associated with Bence–Jones κ protein diagnosed via immuno-electron microscopy. CEN Case Rep 2021;</w:t>
      </w:r>
      <w:r w:rsidRPr="00665BCA">
        <w:rPr>
          <w:rFonts w:ascii="Times New Roman" w:hAnsi="Times New Roman" w:cs="Times New Roman" w:hint="eastAsia"/>
          <w:sz w:val="24"/>
        </w:rPr>
        <w:t xml:space="preserve"> </w:t>
      </w:r>
      <w:r w:rsidRPr="00665BCA">
        <w:rPr>
          <w:rFonts w:ascii="Times New Roman" w:hAnsi="Times New Roman" w:cs="Times New Roman"/>
          <w:sz w:val="24"/>
        </w:rPr>
        <w:t>10:453-8.</w:t>
      </w:r>
      <w:bookmarkEnd w:id="2"/>
    </w:p>
    <w:p w14:paraId="1F573EB3" w14:textId="77777777" w:rsidR="00665BCA" w:rsidRPr="00665BCA" w:rsidRDefault="00665BCA" w:rsidP="00665BCA">
      <w:pPr>
        <w:pStyle w:val="ac"/>
        <w:numPr>
          <w:ilvl w:val="0"/>
          <w:numId w:val="1"/>
        </w:numPr>
        <w:ind w:firstLineChars="0"/>
        <w:rPr>
          <w:rFonts w:ascii="Times New Roman" w:hAnsi="Times New Roman" w:cs="Times New Roman"/>
          <w:sz w:val="24"/>
        </w:rPr>
      </w:pPr>
      <w:bookmarkStart w:id="4" w:name="_Ref220276997"/>
      <w:bookmarkEnd w:id="3"/>
      <w:r w:rsidRPr="00665BCA">
        <w:rPr>
          <w:rFonts w:ascii="Times New Roman" w:hAnsi="Times New Roman" w:cs="Times New Roman"/>
          <w:sz w:val="24"/>
        </w:rPr>
        <w:t>Ito K, Hara S, Yamada K et al. A case report of crystalline light chain inclusion-associated kidney disease affecting podocytes but without Fanconi syndrome: a clonal analysis of pathological monoclonal light chain. Medicine (Baltimore) 2019; 98: e13915.</w:t>
      </w:r>
      <w:bookmarkEnd w:id="4"/>
    </w:p>
    <w:p w14:paraId="517673F2" w14:textId="0D5C0C79" w:rsidR="001442A6" w:rsidRDefault="001442A6" w:rsidP="00665BCA">
      <w:pPr>
        <w:ind w:left="454"/>
        <w:rPr>
          <w:rFonts w:ascii="Times New Roman" w:hAnsi="Times New Roman" w:cs="Times New Roman"/>
          <w:sz w:val="24"/>
        </w:rPr>
      </w:pPr>
    </w:p>
    <w:sectPr w:rsidR="001442A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249C4" w14:textId="77777777" w:rsidR="00863FEC" w:rsidRDefault="00863FEC" w:rsidP="00E010DA">
      <w:r>
        <w:separator/>
      </w:r>
    </w:p>
  </w:endnote>
  <w:endnote w:type="continuationSeparator" w:id="0">
    <w:p w14:paraId="52961B19" w14:textId="77777777" w:rsidR="00863FEC" w:rsidRDefault="00863FEC" w:rsidP="00E01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9D54" w14:textId="77777777" w:rsidR="00863FEC" w:rsidRDefault="00863FEC" w:rsidP="00E010DA">
      <w:r>
        <w:separator/>
      </w:r>
    </w:p>
  </w:footnote>
  <w:footnote w:type="continuationSeparator" w:id="0">
    <w:p w14:paraId="1BD7A3F9" w14:textId="77777777" w:rsidR="00863FEC" w:rsidRDefault="00863FEC" w:rsidP="00E01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FA8850"/>
    <w:multiLevelType w:val="singleLevel"/>
    <w:tmpl w:val="4CFA8850"/>
    <w:lvl w:ilvl="0">
      <w:start w:val="1"/>
      <w:numFmt w:val="decimal"/>
      <w:lvlText w:val="[S%1]"/>
      <w:lvlJc w:val="left"/>
      <w:pPr>
        <w:tabs>
          <w:tab w:val="left" w:pos="582"/>
        </w:tabs>
        <w:ind w:left="454" w:hanging="454"/>
      </w:pPr>
      <w:rPr>
        <w:rFonts w:hint="default"/>
      </w:rPr>
    </w:lvl>
  </w:abstractNum>
  <w:num w:numId="1" w16cid:durableId="6812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420"/>
  <w:autoHyphenation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1D26A0D"/>
    <w:rsid w:val="000D1B4C"/>
    <w:rsid w:val="000D4A28"/>
    <w:rsid w:val="001442A6"/>
    <w:rsid w:val="001B68F3"/>
    <w:rsid w:val="002736F8"/>
    <w:rsid w:val="002766D9"/>
    <w:rsid w:val="002F2DAF"/>
    <w:rsid w:val="003C0140"/>
    <w:rsid w:val="004136EE"/>
    <w:rsid w:val="005A5469"/>
    <w:rsid w:val="005C62C1"/>
    <w:rsid w:val="0065580E"/>
    <w:rsid w:val="00665BCA"/>
    <w:rsid w:val="007170D7"/>
    <w:rsid w:val="008563DE"/>
    <w:rsid w:val="00863FEC"/>
    <w:rsid w:val="008715DB"/>
    <w:rsid w:val="009F604F"/>
    <w:rsid w:val="00A00224"/>
    <w:rsid w:val="00A0558B"/>
    <w:rsid w:val="00AA5ED7"/>
    <w:rsid w:val="00AC43B4"/>
    <w:rsid w:val="00B0199C"/>
    <w:rsid w:val="00B667ED"/>
    <w:rsid w:val="00C47D94"/>
    <w:rsid w:val="00D258AE"/>
    <w:rsid w:val="00DE26EC"/>
    <w:rsid w:val="00DF33C8"/>
    <w:rsid w:val="00E010DA"/>
    <w:rsid w:val="00E12869"/>
    <w:rsid w:val="00E50E37"/>
    <w:rsid w:val="00F479BA"/>
    <w:rsid w:val="070D5281"/>
    <w:rsid w:val="07AF01F4"/>
    <w:rsid w:val="09DE7495"/>
    <w:rsid w:val="0C1C4326"/>
    <w:rsid w:val="18170882"/>
    <w:rsid w:val="1C8C6544"/>
    <w:rsid w:val="2ABA0028"/>
    <w:rsid w:val="3ABA6528"/>
    <w:rsid w:val="42D068DB"/>
    <w:rsid w:val="46D332C1"/>
    <w:rsid w:val="4F8F3EBA"/>
    <w:rsid w:val="518C10B0"/>
    <w:rsid w:val="5D230628"/>
    <w:rsid w:val="5F414DE7"/>
    <w:rsid w:val="699532DE"/>
    <w:rsid w:val="69E96648"/>
    <w:rsid w:val="71D26A0D"/>
    <w:rsid w:val="774E334F"/>
    <w:rsid w:val="79BF22E2"/>
    <w:rsid w:val="7A123A4A"/>
    <w:rsid w:val="7FA7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715325"/>
  <w15:docId w15:val="{C5B2BE1C-FC97-4DE0-AC14-1026383E3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Title"/>
    <w:basedOn w:val="a"/>
    <w:next w:val="a"/>
    <w:qFormat/>
    <w:pPr>
      <w:spacing w:before="240" w:after="60"/>
      <w:jc w:val="center"/>
      <w:outlineLvl w:val="0"/>
    </w:pPr>
    <w:rPr>
      <w:rFonts w:eastAsia="黑体" w:cstheme="majorBidi"/>
      <w:b/>
      <w:bCs/>
      <w:sz w:val="24"/>
      <w:szCs w:val="32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paragraph" w:styleId="a8">
    <w:name w:val="header"/>
    <w:basedOn w:val="a"/>
    <w:link w:val="a9"/>
    <w:rsid w:val="00E010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E010D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footer"/>
    <w:basedOn w:val="a"/>
    <w:link w:val="ab"/>
    <w:rsid w:val="00E010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E010D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c">
    <w:name w:val="List Paragraph"/>
    <w:basedOn w:val="a"/>
    <w:uiPriority w:val="99"/>
    <w:unhideWhenUsed/>
    <w:rsid w:val="00665BC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hang2013_12@163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2A7D6-85E4-4371-8E05-1833EC861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430</Words>
  <Characters>2608</Characters>
  <Application>Microsoft Office Word</Application>
  <DocSecurity>0</DocSecurity>
  <Lines>104</Lines>
  <Paragraphs>84</Paragraphs>
  <ScaleCrop>false</ScaleCrop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郭昌秀</dc:creator>
  <cp:lastModifiedBy>昌秀 郭</cp:lastModifiedBy>
  <cp:revision>9</cp:revision>
  <dcterms:created xsi:type="dcterms:W3CDTF">2026-05-06T11:00:00Z</dcterms:created>
  <dcterms:modified xsi:type="dcterms:W3CDTF">2026-06-14T10:23:00Z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BDD7BA38BE06462581F4099B769DFAE0_13</vt:lpwstr>
  </property>
  <property fmtid="{D5CDD505-2E9C-101B-9397-08002B2CF9AE}" pid="4" name="KSOTemplateDocerSaveRecord">
    <vt:lpwstr>eyJoZGlkIjoiM2FiZDIzMjBhYjY3YjcwYmIxYWI1NjM4YzVmYjEyMDMiLCJ1c2VySWQiOiIyMDM5MTY2NDgifQ==</vt:lpwstr>
  </property>
</Properties>
</file>