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3E2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Figure 1. Risk-of-bias traffic-light plot for the three included RCTs (RoB-2 domain-level judgements).</w:t>
      </w:r>
    </w:p>
    <w:p w14:paraId="080B85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7961630" cy="2222500"/>
            <wp:effectExtent l="0" t="0" r="13970" b="12700"/>
            <wp:docPr id="1" name="图片 1" descr="纳入RCT的traffic风险评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纳入RCT的traffic风险评估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6163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B0E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/>
          <w:lang w:val="en-US" w:eastAsia="zh-CN"/>
        </w:rPr>
      </w:pPr>
    </w:p>
    <w:p w14:paraId="08FD96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Table 1. RoB-2 Domain-Level Judgements for Makoto Tsujita et al. (UMIN000020597)</w:t>
      </w:r>
    </w:p>
    <w:tbl>
      <w:tblPr>
        <w:tblStyle w:val="2"/>
        <w:tblW w:w="156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2298"/>
        <w:gridCol w:w="1574"/>
        <w:gridCol w:w="2711"/>
        <w:gridCol w:w="1371"/>
        <w:gridCol w:w="5346"/>
      </w:tblGrid>
      <w:tr w14:paraId="5013B718">
        <w:trPr>
          <w:trHeight w:val="0" w:hRule="atLeast"/>
          <w:tblHeader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C11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Unique ID</w:t>
            </w:r>
          </w:p>
        </w:tc>
        <w:tc>
          <w:tcPr>
            <w:tcW w:w="22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F3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Makoto Tsujita et al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3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ID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FF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UMIN000020597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76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Assessor</w:t>
            </w:r>
          </w:p>
        </w:tc>
        <w:tc>
          <w:tcPr>
            <w:tcW w:w="5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DE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Yang</w:t>
            </w:r>
            <w:r>
              <w:rPr>
                <w:rFonts w:hint="eastAsia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and Wang</w:t>
            </w:r>
          </w:p>
        </w:tc>
      </w:tr>
      <w:tr w14:paraId="23E003B4">
        <w:trPr>
          <w:trHeight w:val="0" w:hRule="atLeast"/>
          <w:jc w:val="center"/>
        </w:trPr>
        <w:tc>
          <w:tcPr>
            <w:tcW w:w="2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07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 or Label</w:t>
            </w:r>
          </w:p>
        </w:tc>
        <w:tc>
          <w:tcPr>
            <w:tcW w:w="2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122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DOI: 10.1002/jbmr.4469</w:t>
            </w:r>
          </w:p>
        </w:tc>
        <w:tc>
          <w:tcPr>
            <w:tcW w:w="1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D1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4896E">
            <w:pPr>
              <w:keepNext w:val="0"/>
              <w:keepLines w:val="0"/>
              <w:widowControl/>
              <w:suppressLineNumbers w:val="0"/>
              <w:snapToGrid w:val="0"/>
              <w:spacing w:after="220" w:afterAutospacing="0"/>
              <w:ind w:left="0" w:leftChars="0" w:right="0" w:rightChars="0" w:firstLine="0" w:firstLineChars="0"/>
              <w:jc w:val="left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assignment to intervention (the 'intention-to-treat' effect)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2A08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16"/>
                <w:u w:val="none"/>
              </w:rPr>
            </w:pPr>
          </w:p>
        </w:tc>
        <w:tc>
          <w:tcPr>
            <w:tcW w:w="53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C7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6A48D">
        <w:trPr>
          <w:trHeight w:val="0" w:hRule="atLeast"/>
          <w:jc w:val="center"/>
        </w:trPr>
        <w:tc>
          <w:tcPr>
            <w:tcW w:w="23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CFA6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Experimental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0A55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Cholecalcifero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2552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Comparator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92C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7AD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Source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73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Journal article(s)</w:t>
            </w:r>
          </w:p>
        </w:tc>
      </w:tr>
      <w:tr w14:paraId="5912A0AB">
        <w:trPr>
          <w:trHeight w:val="0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4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2298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760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PTH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5D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</w:t>
            </w:r>
          </w:p>
        </w:tc>
        <w:tc>
          <w:tcPr>
            <w:tcW w:w="2711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E15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95%CI, -25 to -3</w:t>
            </w:r>
          </w:p>
        </w:tc>
        <w:tc>
          <w:tcPr>
            <w:tcW w:w="1371" w:type="dxa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1D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Weight</w:t>
            </w:r>
          </w:p>
        </w:tc>
        <w:tc>
          <w:tcPr>
            <w:tcW w:w="5346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2F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2CE094A">
        <w:trPr>
          <w:trHeight w:val="0" w:hRule="atLeast"/>
          <w:jc w:val="center"/>
        </w:trPr>
        <w:tc>
          <w:tcPr>
            <w:tcW w:w="2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75F37F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2"/>
                <w:szCs w:val="24"/>
                <w:u w:val="none"/>
                <w:lang w:val="en-US" w:eastAsia="zh-CN" w:bidi="ar"/>
              </w:rPr>
              <w:t>Domain</w:t>
            </w:r>
          </w:p>
        </w:tc>
        <w:tc>
          <w:tcPr>
            <w:tcW w:w="658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000000"/>
            <w:noWrap/>
            <w:vAlign w:val="center"/>
          </w:tcPr>
          <w:p w14:paraId="54DB6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2"/>
                <w:szCs w:val="24"/>
                <w:u w:val="none"/>
                <w:lang w:val="en-US" w:eastAsia="zh-CN" w:bidi="ar"/>
              </w:rPr>
              <w:t>Signalling question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2B21D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2"/>
                <w:szCs w:val="24"/>
                <w:u w:val="none"/>
                <w:lang w:val="en-US" w:eastAsia="zh-CN" w:bidi="ar"/>
              </w:rPr>
              <w:t>Response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25E1E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2"/>
                <w:szCs w:val="24"/>
                <w:u w:val="none"/>
                <w:lang w:val="en-US" w:eastAsia="zh-CN" w:bidi="ar"/>
              </w:rPr>
              <w:t>Comments</w:t>
            </w:r>
          </w:p>
        </w:tc>
      </w:tr>
      <w:tr w14:paraId="2DC7BE32">
        <w:trPr>
          <w:trHeight w:val="0" w:hRule="atLeast"/>
          <w:jc w:val="center"/>
        </w:trPr>
        <w:tc>
          <w:tcPr>
            <w:tcW w:w="23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3BF6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Bias arising from the randomization process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3C5C34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1.1 Was the allocation sequence random?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37788B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534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99611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Participants were randomized using a computer-generated sequence at an allocation ratio of 1:1 to receive either cholecalciferol 4000 IU or a matching placebo daily from 1 to 12 months post-transplant, with a random block size of 8 and stratified by age (&lt;50 or ≥50 years) and sex. None of the patients received active forms of vitamin D, or antiresorptive or anabolic agents for the prevention or treatment of osteoporosis throughout the study period.</w:t>
            </w:r>
          </w:p>
        </w:tc>
      </w:tr>
      <w:tr w14:paraId="08C3346B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8F80F3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E1C6A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1.2 Was the allocation sequence concealed until participants were enrolled and assigned to interventions?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199102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53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7A26A4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06FE5A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1181FF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5C4769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1.3 Did baseline differences between intervention groups suggest a problem with the randomization process?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6118EC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71FF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Baseline characteristics were similar across the two treatment groups</w:t>
            </w:r>
          </w:p>
        </w:tc>
      </w:tr>
      <w:tr w14:paraId="30FF2A08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1904A3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44C83B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06C28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4E06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962B1">
        <w:trPr>
          <w:trHeight w:val="0" w:hRule="atLeast"/>
          <w:jc w:val="center"/>
        </w:trPr>
        <w:tc>
          <w:tcPr>
            <w:tcW w:w="23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6CF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Bias due to deviations from intended interventions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46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2.1.Were participants aware of their assigned intervention during the trial?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B3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</w:t>
            </w:r>
          </w:p>
        </w:tc>
        <w:tc>
          <w:tcPr>
            <w:tcW w:w="534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6F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Participants were randomized using a computer-generated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sequence at an allocation ratio of 1:1 to receive either cholecalciferol 4000 IU or a matching placebo daily from 1 to 12 months post-transplant, with a random block size of 8 and stratified by age (&lt;50 or ≥50 years) and sex</w:t>
            </w:r>
          </w:p>
        </w:tc>
      </w:tr>
      <w:tr w14:paraId="40B1C12B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A324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0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2.2.Were carers and people delivering the interventions aware of participants' assigned intervention during the trial?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E8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</w:t>
            </w:r>
          </w:p>
        </w:tc>
        <w:tc>
          <w:tcPr>
            <w:tcW w:w="53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6216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A3CF8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D8BB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27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2.3. If Y/PY/NI to 2.1 or 2.2: Were there deviations from the intended intervention that arose because of the experimental context?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B6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7C89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4E2E6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92B8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C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2.4 If Y/PY to 2.3: Were these deviations likely to have affected the outcome?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79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B7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91129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6DEA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1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2.5. If Y/PY/NI to 2.4: Were these deviations from intended intervention balanced between groups?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EF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37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136D27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E4F6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D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2.6 Was an appropriate analysis used to estimate the effect of assignment to intervention?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62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D4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effects of cholecalciferol versus placebo on whole PTH, TRACP-5b, BAP, and BMD levels were estimated by analysis of covariance (ANCOVA), adjusting for baseline values based on the full analysis set that included all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randomized participants who took the allocated drugs at least once. </w:t>
            </w:r>
          </w:p>
        </w:tc>
      </w:tr>
      <w:tr w14:paraId="7007720F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D11A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DE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2.7 If N/PN/NI to 2.6: Was there potential for a substantial impact (on the result) of the failure to analyse participants in the group to which they were randomized?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F4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EC1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F3A06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8C7C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1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2A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F9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D598D5">
        <w:trPr>
          <w:trHeight w:val="0" w:hRule="atLeast"/>
          <w:jc w:val="center"/>
        </w:trPr>
        <w:tc>
          <w:tcPr>
            <w:tcW w:w="23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042FE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Bias due to missing outcome data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F1CCE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3.1 Were data for this outcome available for all, or nearly all, participants randomized?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22AB4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4FD6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 total of 193 patients were randomized to either cholecalciferol (n = 96) or placebo (n = 97)</w:t>
            </w:r>
          </w:p>
        </w:tc>
      </w:tr>
      <w:tr w14:paraId="3BF0E0A7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44ABA7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7FB7C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3.2 If N/PN/NI to 3.1: Is there evidence that result was not biased by missing outcome data?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3947CA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4897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FA7C2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1E3E18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34B4A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3.3 If N/PN to 3.2: Could missingness in the outcome depend on its true value?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297B1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0034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C8BD9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6E8EF8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54C8B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3.4 If Y/PY/NI to 3.3: Is it likely that missingness in the outcome depended on its true value?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3CBF21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9D4FF2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7D7B8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E2002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38797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130D3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7E4A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B128F0">
        <w:trPr>
          <w:trHeight w:val="0" w:hRule="atLeast"/>
          <w:jc w:val="center"/>
        </w:trPr>
        <w:tc>
          <w:tcPr>
            <w:tcW w:w="23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E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Bias in measurement of the outcome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EC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4.1 Was the method of measuring the outcome inappropriate?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ECE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D0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 avoid arbitrary cut-points and preserve the statistical power, we used the multivariable fractional polynomial interaction approach to evaluate the interactions between continuous variables and treatment.</w:t>
            </w:r>
          </w:p>
        </w:tc>
      </w:tr>
      <w:tr w14:paraId="55A69DE5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475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C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4.2 Could measurement or ascertainment of the outcome have differed between intervention groups?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43C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5DB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 avoid arbitrary cut-points and preserve the statistical power, we used the multivariable fractional polynomial interaction approach to evaluate the interactions between continuous variables and treatment.</w:t>
            </w:r>
          </w:p>
        </w:tc>
      </w:tr>
      <w:tr w14:paraId="04E7399A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F8C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7E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4.3 Were outcome assessors aware of the intervention received by study participants?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3C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70B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2D499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0943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2C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4.4 If Y/PY/NI to 4.3: Could assessment of the outcome have been influenced by knowledge of intervention received?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733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534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AF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40E6E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EA1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B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4.5 If Y/PY/NI to 4.4: Is it likely that assessment of the outcome was influenced by knowledge of intervention received?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CBF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53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F5A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C5B3B5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2066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7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A6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99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EC708">
        <w:trPr>
          <w:trHeight w:val="0" w:hRule="atLeast"/>
          <w:jc w:val="center"/>
        </w:trPr>
        <w:tc>
          <w:tcPr>
            <w:tcW w:w="230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939E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Bias in selection of the reported result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73909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5.1 Were the data that produced this result analysed in accordance with a pre-specified analysis plan that was finalized before unblinded outcome data were available for analysis?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2770B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B7906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This is a secondary endpoints study</w:t>
            </w:r>
          </w:p>
        </w:tc>
      </w:tr>
      <w:tr w14:paraId="6EA790C5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57190C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33364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5.2 ... multiple eligible outcome measurements (e.g. scales, definitions, time points) within the outcome domain?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31FC7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232E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F83F7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602581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600A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5.3 ... multiple eligible analyses of the data?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55D994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6EEA6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8BE42">
        <w:trPr>
          <w:trHeight w:val="0" w:hRule="atLeast"/>
          <w:jc w:val="center"/>
        </w:trPr>
        <w:tc>
          <w:tcPr>
            <w:tcW w:w="23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7694C3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400C9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45E91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0D27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A0A3E">
        <w:trPr>
          <w:trHeight w:val="0" w:hRule="atLeast"/>
          <w:jc w:val="center"/>
        </w:trPr>
        <w:tc>
          <w:tcPr>
            <w:tcW w:w="2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17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Overall bias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3A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F6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5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D0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8BB5839"/>
    <w:p w14:paraId="587CADFD"/>
    <w:p w14:paraId="30F7E602">
      <w:pPr>
        <w:rPr>
          <w:rFonts w:hint="eastAsia" w:eastAsiaTheme="minorEastAsia"/>
          <w:lang w:val="en-US" w:eastAsia="zh-CN"/>
        </w:rPr>
      </w:pPr>
    </w:p>
    <w:p w14:paraId="720080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46248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050C67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71EB9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BD039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D6BF4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2C333B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0C8B85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28BB16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Table 2. RoB-2 Domain-Level Judgements for Yoshitsugu Obi et al. (NCT01817699)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2279"/>
        <w:gridCol w:w="1453"/>
        <w:gridCol w:w="2672"/>
        <w:gridCol w:w="1706"/>
        <w:gridCol w:w="5384"/>
      </w:tblGrid>
      <w:tr w14:paraId="117D7CFE"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57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Unique ID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DBE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Yoshitsugu Obi et al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A69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ID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097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NCT01817699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B6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Assessor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E8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Yang</w:t>
            </w:r>
            <w:r>
              <w:rPr>
                <w:rFonts w:hint="eastAsia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and Wang</w:t>
            </w:r>
          </w:p>
        </w:tc>
      </w:tr>
      <w:tr w14:paraId="32CFEF4C"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A93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Ref or Label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56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Transplant International 2021; 34: 1212–1225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FD6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Aim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50EE3">
            <w:pPr>
              <w:keepNext w:val="0"/>
              <w:keepLines w:val="0"/>
              <w:widowControl/>
              <w:suppressLineNumbers w:val="0"/>
              <w:snapToGrid w:val="0"/>
              <w:spacing w:after="220" w:afterAutospacing="0"/>
              <w:ind w:left="0" w:leftChars="0" w:right="0" w:rightChars="0" w:firstLine="0" w:firstLineChars="0"/>
              <w:jc w:val="left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assignment to intervention (the 'intention-to-treat' effect)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0B3E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96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BEDA7B6"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4FF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Experimental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9BD0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 xml:space="preserve">Cholecalciferol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E40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Comparator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FE872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37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Source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27B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Journal article(s)</w:t>
            </w:r>
          </w:p>
        </w:tc>
      </w:tr>
      <w:tr w14:paraId="326B411C"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18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A2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eGFR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CDA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Results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09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i.e., -1.6±4.5</w:t>
            </w:r>
          </w:p>
        </w:tc>
        <w:tc>
          <w:tcPr>
            <w:tcW w:w="0" w:type="auto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90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Weight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1B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CAE7434"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08C40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Domain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000000"/>
            <w:noWrap/>
            <w:vAlign w:val="center"/>
          </w:tcPr>
          <w:p w14:paraId="18357A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Signalling question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11D4E1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Response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29433B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Comments</w:t>
            </w:r>
          </w:p>
        </w:tc>
      </w:tr>
      <w:tr w14:paraId="64C0F26B"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C3F7E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arising from the randomization process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C131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 Was the allocation sequence random?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0161C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D56EC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Participants were randomly assigned in a 1:1 ratio to either a high or low hemoglobin target (i.e., ≥12.5 vs. &lt;10.5 g/dl) and to either a cholecalciferol group or a control group by using an online-based block randomization program (block size: 8) with stratification by transplant date</w:t>
            </w:r>
          </w:p>
        </w:tc>
      </w:tr>
      <w:tr w14:paraId="75A3F8CF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84E704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530F58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 Was the allocation sequence concealed until participants were enrolled and assigned to interventions?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68653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5F3B4D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4C5577CF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696BAB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4DAC5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 Did baseline differences between intervention groups suggest a problem with the randomization process?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18C5D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E5A9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The baseline characteristics including the levels of eGFR, hemoglobin, and serum 25(OH)D were similar across all groups</w:t>
            </w:r>
          </w:p>
        </w:tc>
      </w:tr>
      <w:tr w14:paraId="595BCB06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CA2940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18A753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7C25F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C86E6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6520A690"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9F0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due to deviations from intended interventions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AD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2.1.Were participants aware of their assigned intervention during the trial?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B0E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4D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This was an open-label trial, and treatment allocation was not concealed from the patients and investigators</w:t>
            </w:r>
          </w:p>
        </w:tc>
      </w:tr>
      <w:tr w14:paraId="3D30DE05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3D76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0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2.2.Were carers and people delivering the interventions aware of participants' assigned intervention during the trial?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9AA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ADC3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1AE55A5E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86C3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C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2.3. If Y/PY/NI to 2.1 or 2.2: Were there deviations from the intended intervention that arose because of the experimental context?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19F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33E9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Despite periodical monitoring and recommendations made by the central study team, the high hemoglobin target group showed lower mean levels (i.e., 11.4 g/dl) than originally planned with suboptimal dose of MPG-EPO</w:t>
            </w:r>
          </w:p>
        </w:tc>
      </w:tr>
      <w:tr w14:paraId="51849CE2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97ED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E1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 If Y/PY to 2.3: Were these deviations likely to have affected the outcome?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0A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29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035AC0D5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D193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4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2.5. If Y/PY/NI to 2.4: Were these deviations from intended intervention balanced between groups?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269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5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99087E0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EF1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4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 Was an appropriate analysis used to estimate the effect of assignment to intervention?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7F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58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All analyses were done by intention to treat.</w:t>
            </w:r>
          </w:p>
        </w:tc>
      </w:tr>
      <w:tr w14:paraId="68ECC733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7212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DD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 If N/PN/NI to 2.6: Was there potential for a substantial impact (on the result) of the failure to analyse participants in the group to which they were randomized?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893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EC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9FC8D29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19D9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5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68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399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FD0076A"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2473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due to missing outcome data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37EC8A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 Were data for this outcome available for all, or nearly all, participants randomized?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682EE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CC63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52FF319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988B48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BB08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 If N/PN/NI to 3.1: Is there evidence that result was not biased by missing outcome data?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0E5170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74CE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14399445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596BC6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521F3D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 If N/PN to 3.2: Could missingness in the outcome depend on its true value?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7F5FA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29CD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C2E4E4F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23E1ED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1083A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 If Y/PY/NI to 3.3: Is it likely that missingness in the outcome depended on its true value?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126A4D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BF693B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61EE788F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A5A03F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3F5FD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6C695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5311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F52B599"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3CA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in measurement of the outcome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4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 Was the method of measuring the outcome inappropriate?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D1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0C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0FBEBA49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1CE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6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 Could measurement or ascertainment of the outcome have differed between intervention groups?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8D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C80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132C9B4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3C19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5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 Were outcome assessors aware of the intervention received by study participants?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BBD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92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6F0FBABE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B93F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4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 If Y/PY/NI to 4.3: Could assessment of the outcome have been influenced by knowledge of intervention received?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638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4F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E2841FA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A30F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2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 If Y/PY/NI to 4.4: Is it likely that assessment of the outcome was influenced by knowledge of intervention received?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B4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127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FA2AFC7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D317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19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4F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D5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20868E6"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6005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in selection of the reported result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42B58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Were the data that produced this result analysed in accordance with a pre-specified analysis plan that was finalized before unblinded outcome data were available for analysis?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4E766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18F2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1BF8A3C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25FE67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47B3F2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 ... multiple eligible outcome measurements (e.g. scales, definitions, time points) within the outcome domain?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0087F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F5F1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14749F0F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C06B93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0227FA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 ... multiple eligible analyses of the data?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7211B7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3FDA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30979E8"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3FDCCA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4EC9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4AC06B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E724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02FA4C4"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234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Overall bias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1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90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4CC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Adherence to the hemoglobin targets was periodically evaluated by the central study team who made intervention recommendations</w:t>
            </w:r>
          </w:p>
        </w:tc>
      </w:tr>
    </w:tbl>
    <w:p w14:paraId="31A2C21D"/>
    <w:p w14:paraId="53475174"/>
    <w:p w14:paraId="460D8B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0D9FA2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701B0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DCA48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5D2F9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4B2EFE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1BF24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5A58D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83C80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BB5848C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Suplementary Table 3. RoB-2 Domain-Level Judgements for Yohei Doi et al. (UMIN000020597)</w:t>
      </w:r>
    </w:p>
    <w:tbl>
      <w:tblPr>
        <w:tblStyle w:val="2"/>
        <w:tblpPr w:leftFromText="180" w:rightFromText="180" w:vertAnchor="text" w:tblpXSpec="center" w:tblpY="1"/>
        <w:tblOverlap w:val="never"/>
        <w:tblW w:w="156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2208"/>
        <w:gridCol w:w="1593"/>
        <w:gridCol w:w="2970"/>
        <w:gridCol w:w="1371"/>
        <w:gridCol w:w="4958"/>
      </w:tblGrid>
      <w:tr w14:paraId="06968C2E">
        <w:trPr>
          <w:trHeight w:val="0" w:hRule="atLeast"/>
          <w:tblHeader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705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ADB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0F8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172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CEC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63E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848971">
        <w:trPr>
          <w:trHeight w:val="0" w:hRule="atLeast"/>
          <w:tblHeader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2FF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Unique ID</w:t>
            </w: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9DD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Yohei Doi et al</w:t>
            </w:r>
          </w:p>
        </w:tc>
        <w:tc>
          <w:tcPr>
            <w:tcW w:w="1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FC1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ID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545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UMIN000020597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72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Assessor</w:t>
            </w:r>
          </w:p>
        </w:tc>
        <w:tc>
          <w:tcPr>
            <w:tcW w:w="4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361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Yang</w:t>
            </w:r>
            <w:r>
              <w:rPr>
                <w:rFonts w:hint="eastAsia" w:ascii="Arial" w:hAnsi="Arial" w:eastAsia="宋体" w:cs="Arial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and Wang</w:t>
            </w:r>
          </w:p>
        </w:tc>
      </w:tr>
      <w:tr w14:paraId="6D30741E">
        <w:trPr>
          <w:trHeight w:val="0" w:hRule="atLeast"/>
        </w:trPr>
        <w:tc>
          <w:tcPr>
            <w:tcW w:w="2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BB13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Ref or Label</w:t>
            </w:r>
          </w:p>
        </w:tc>
        <w:tc>
          <w:tcPr>
            <w:tcW w:w="2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5AC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Am J Transplant. 2021;00:1–12.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1F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Aim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E8F2">
            <w:pPr>
              <w:keepNext/>
              <w:keepLines w:val="0"/>
              <w:widowControl/>
              <w:suppressLineNumbers w:val="0"/>
              <w:snapToGrid w:val="0"/>
              <w:spacing w:after="220" w:afterAutospacing="0"/>
              <w:ind w:left="0" w:leftChars="0" w:right="0" w:rightChars="0" w:firstLine="0" w:firstLineChars="0"/>
              <w:jc w:val="left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assignment to intervention (the 'intention-to-treat' effect)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A029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16"/>
                <w:u w:val="none"/>
              </w:rPr>
            </w:pPr>
          </w:p>
        </w:tc>
        <w:tc>
          <w:tcPr>
            <w:tcW w:w="49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505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1F0BBD70">
        <w:trPr>
          <w:trHeight w:val="0" w:hRule="atLeast"/>
        </w:trPr>
        <w:tc>
          <w:tcPr>
            <w:tcW w:w="25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524B6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Experimental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56FF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 xml:space="preserve">Cholecalciferol 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BE0EB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Comparator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8E138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Placebo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4FD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Source</w:t>
            </w: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D36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Journal article(s)</w:t>
            </w:r>
          </w:p>
        </w:tc>
      </w:tr>
      <w:tr w14:paraId="3057B4AB">
        <w:trPr>
          <w:trHeight w:val="0" w:hRule="atLeast"/>
        </w:trPr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F25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2208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CA3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eGFR</w:t>
            </w:r>
          </w:p>
        </w:tc>
        <w:tc>
          <w:tcPr>
            <w:tcW w:w="1593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D02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Results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70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95% CI，−0.7 to 3.1</w:t>
            </w:r>
          </w:p>
        </w:tc>
        <w:tc>
          <w:tcPr>
            <w:tcW w:w="1371" w:type="dxa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1EE2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Weight</w:t>
            </w:r>
          </w:p>
        </w:tc>
        <w:tc>
          <w:tcPr>
            <w:tcW w:w="4958" w:type="dxa"/>
            <w:tcBorders>
              <w:top w:val="single" w:color="auto" w:sz="4" w:space="0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40A8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556C612">
        <w:trPr>
          <w:trHeight w:val="0" w:hRule="atLeast"/>
        </w:trPr>
        <w:tc>
          <w:tcPr>
            <w:tcW w:w="2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124048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Domain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000000"/>
            <w:noWrap/>
            <w:vAlign w:val="center"/>
          </w:tcPr>
          <w:p w14:paraId="075223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Signalling question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217FBE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Response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0000"/>
            <w:noWrap/>
            <w:vAlign w:val="center"/>
          </w:tcPr>
          <w:p w14:paraId="016202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FFFFFF"/>
                <w:kern w:val="0"/>
                <w:sz w:val="20"/>
                <w:szCs w:val="24"/>
                <w:u w:val="none"/>
                <w:lang w:val="en-US" w:eastAsia="zh-CN" w:bidi="ar"/>
              </w:rPr>
              <w:t>Comments</w:t>
            </w:r>
          </w:p>
        </w:tc>
      </w:tr>
      <w:tr w14:paraId="6B9E1C30">
        <w:trPr>
          <w:trHeight w:val="0" w:hRule="atLeast"/>
        </w:trPr>
        <w:tc>
          <w:tcPr>
            <w:tcW w:w="25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F0DCD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arising from the randomization process</w:t>
            </w: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8B952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 Was the allocation sequence random?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5C37FE3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95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8E0DB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With the use of a computer-generated random sequence</w:t>
            </w:r>
          </w:p>
        </w:tc>
      </w:tr>
      <w:tr w14:paraId="30D795E6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CD1B22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0AC319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 Was the allocation sequence concealed until participants were enrolled and assigned to interventions?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03ADC5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95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DD6E3D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137B66F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83177D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5D09A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 Did baseline differences between intervention groups suggest a problem with the randomization process?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21DF04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28C76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Baseline characteristics were well balanced between groups, except for the u-LFABP creatinine ratio in the cholecalciferol group.</w:t>
            </w:r>
          </w:p>
        </w:tc>
      </w:tr>
      <w:tr w14:paraId="66B336FB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D22605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20B191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5BBB0F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1A48DC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0FDE55B9">
        <w:trPr>
          <w:trHeight w:val="0" w:hRule="atLeast"/>
        </w:trPr>
        <w:tc>
          <w:tcPr>
            <w:tcW w:w="25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E4A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due to deviations from intended interventions</w:t>
            </w: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45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2.1.Were participants aware of their assigned intervention during the trial?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85F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3FF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Participants and investigators were masked to treatment allocation throughout the entire study.</w:t>
            </w:r>
          </w:p>
        </w:tc>
      </w:tr>
      <w:tr w14:paraId="44CD2340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4CA1E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43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2.2.Were carers and people delivering the interventions aware of participants' assigned intervention during the trial?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D95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F761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4A3D9DF3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E29B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4CD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2.3. If Y/PY/NI to 2.1 or 2.2: Were there deviations from the intended intervention that arose because of the experimental context?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508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BCA04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6A084C3B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42D1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68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 If Y/PY to 2.3: Were these deviations likely to have affected the outcome?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C56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7DC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778F2CE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6437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9E8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2.5. If Y/PY/NI to 2.4: Were these deviations from intended intervention balanced between groups?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76C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C79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76BAC7F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AB46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32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 Was an appropriate analysis used to estimate the effect of assignment to intervention?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E8BB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F70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Primary analysis: “ANCOVA with adjustment for baseline values was used … based on the modified intention-to-treat set which included all randomized patients who received the study drug at least once</w:t>
            </w:r>
          </w:p>
        </w:tc>
      </w:tr>
      <w:tr w14:paraId="5C43FD21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888D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38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 If N/PN/NI to 2.6: Was there potential for a substantial impact (on the result) of the failure to analyse participants in the group to which they were randomized?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62B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AA6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0F6EDC7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2923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2D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A87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354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A99796A">
        <w:trPr>
          <w:trHeight w:val="0" w:hRule="atLeast"/>
        </w:trPr>
        <w:tc>
          <w:tcPr>
            <w:tcW w:w="25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C7D54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due to missing outcome data</w:t>
            </w: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5DD411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 Were data for this outcome available for all, or nearly all, participants randomized?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710093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3FDB2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C82B4EC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433276E5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65C8D9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 If N/PN/NI to 3.1: Is there evidence that result was not biased by missing outcome data?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75CD44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5156C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CA8C76C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939E72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7BCB797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 If N/PN to 3.2: Could missingness in the outcome depend on its true value?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62E1EF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3F37C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F90E13B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60C185EC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259CEE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 If Y/PY/NI to 3.3: Is it likely that missingness in the outcome depended on its true value?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1FAC50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067DF63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9EDC43D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5E7C9B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7DB40D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20D7C40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0B4771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1DB47FA">
        <w:trPr>
          <w:trHeight w:val="0" w:hRule="atLeast"/>
        </w:trPr>
        <w:tc>
          <w:tcPr>
            <w:tcW w:w="25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998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in measurement of the outcome</w:t>
            </w: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87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 Was the method of measuring the outcome inappropriate?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1F6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1E5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BA9ED5E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55BD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FB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 Could measurement or ascertainment of the outcome have differed between intervention groups?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4E4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3D9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were measured using standard automated techniques</w:t>
            </w:r>
          </w:p>
        </w:tc>
      </w:tr>
      <w:tr w14:paraId="5567A5B6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4E5B9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D2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 Were outcome assessors aware of the intervention received by study participants?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4A1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95A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Participants and investigators were masked to treatment allocation throughout the entire study.</w:t>
            </w:r>
          </w:p>
        </w:tc>
      </w:tr>
      <w:tr w14:paraId="3A194086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D233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C0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 If Y/PY/NI to 4.3: Could assessment of the outcome have been influenced by knowledge of intervention received?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0D6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B98B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59C72849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7893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21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 If Y/PY/NI to 4.4: Is it likely that assessment of the outcome was influenced by knowledge of intervention received?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1C2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495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2B8E0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45FB203E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5B21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43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A52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7E7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23DCE99A">
        <w:trPr>
          <w:trHeight w:val="0" w:hRule="atLeast"/>
        </w:trPr>
        <w:tc>
          <w:tcPr>
            <w:tcW w:w="25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EA260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Bias in selection of the reported result</w:t>
            </w: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178797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Were the data that produced this result analysed in accordance with a pre-specified analysis plan that was finalized before unblinded outcome data were available for analysis?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2E0942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E0B70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 xml:space="preserve">An analysis of covariance (ANCOVA) with adjustment for baseline values was used in the primary endpoint analysis </w:t>
            </w:r>
          </w:p>
        </w:tc>
      </w:tr>
      <w:tr w14:paraId="126449DD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057672F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16B829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 ... multiple eligible outcome measurements (e.g. scales, definitions, time points) within the outcome domain?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7E7EEE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0D059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447F4BC2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5FA144D3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720E50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 ... multiple eligible analyses of the data?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62462E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79FBB8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3C0F6DDC">
        <w:trPr>
          <w:trHeight w:val="0" w:hRule="atLeast"/>
        </w:trPr>
        <w:tc>
          <w:tcPr>
            <w:tcW w:w="2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25E3C302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E7E6E6"/>
            <w:vAlign w:val="center"/>
          </w:tcPr>
          <w:p w14:paraId="101F84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noWrap/>
            <w:vAlign w:val="center"/>
          </w:tcPr>
          <w:p w14:paraId="02BA69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/>
            <w:vAlign w:val="center"/>
          </w:tcPr>
          <w:p w14:paraId="3F452C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  <w:tr w14:paraId="76CB6905">
        <w:trPr>
          <w:trHeight w:val="0" w:hRule="atLeast"/>
        </w:trPr>
        <w:tc>
          <w:tcPr>
            <w:tcW w:w="2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6F1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Overall bias</w:t>
            </w:r>
          </w:p>
        </w:tc>
        <w:tc>
          <w:tcPr>
            <w:tcW w:w="6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66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B31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4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7AC3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2"/>
                <w:u w:val="none"/>
              </w:rPr>
            </w:pPr>
          </w:p>
        </w:tc>
      </w:tr>
    </w:tbl>
    <w:p w14:paraId="37D570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5877A4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03329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B6325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667C7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F9877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6851A9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B2D11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5FBA06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62A19C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25BCFA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276357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5C8B86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6CB47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6AE41AB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Table 4. ROBINS-I Risk-of-Bias Summary for the Six Included Observational Studies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</w:p>
    <w:tbl>
      <w:tblPr>
        <w:tblStyle w:val="2"/>
        <w:tblW w:w="1318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2"/>
        <w:gridCol w:w="2507"/>
        <w:gridCol w:w="1059"/>
        <w:gridCol w:w="1059"/>
        <w:gridCol w:w="1059"/>
        <w:gridCol w:w="1059"/>
        <w:gridCol w:w="1059"/>
        <w:gridCol w:w="962"/>
        <w:gridCol w:w="962"/>
        <w:gridCol w:w="962"/>
      </w:tblGrid>
      <w:tr w14:paraId="103EAC48">
        <w:trPr>
          <w:trHeight w:val="700" w:hRule="atLeast"/>
        </w:trPr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127F5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5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58B56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7B6E9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Overall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419C9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1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6803D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2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102BE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3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715F9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4</w:t>
            </w:r>
          </w:p>
        </w:tc>
        <w:tc>
          <w:tcPr>
            <w:tcW w:w="9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07DDE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5</w:t>
            </w:r>
          </w:p>
        </w:tc>
        <w:tc>
          <w:tcPr>
            <w:tcW w:w="9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19163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6</w:t>
            </w:r>
          </w:p>
        </w:tc>
        <w:tc>
          <w:tcPr>
            <w:tcW w:w="9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60074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Domain 7</w:t>
            </w:r>
          </w:p>
        </w:tc>
      </w:tr>
      <w:tr w14:paraId="1D44D16A"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noWrap/>
            <w:vAlign w:val="center"/>
          </w:tcPr>
          <w:p w14:paraId="21F34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K. Martin Wissing et al</w:t>
            </w:r>
          </w:p>
        </w:tc>
        <w:tc>
          <w:tcPr>
            <w:tcW w:w="25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2DC48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Transplantation 2005;79: 108 –115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center"/>
          </w:tcPr>
          <w:p w14:paraId="2C02E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15F914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02E55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5CCD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5EFEF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1E9667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1F295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4FE3CB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</w:tr>
      <w:tr w14:paraId="7DBCBF19"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noWrap/>
            <w:vAlign w:val="center"/>
          </w:tcPr>
          <w:p w14:paraId="70EC8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Marie Courbebaisse et al</w:t>
            </w:r>
          </w:p>
        </w:tc>
        <w:tc>
          <w:tcPr>
            <w:tcW w:w="25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16400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Kidney International (2009) 75, 646–651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center"/>
          </w:tcPr>
          <w:p w14:paraId="3D57C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C7CE"/>
            <w:noWrap/>
            <w:vAlign w:val="bottom"/>
          </w:tcPr>
          <w:p w14:paraId="3E9ECB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0006"/>
                <w:kern w:val="0"/>
                <w:sz w:val="22"/>
                <w:szCs w:val="22"/>
                <w:u w:val="none"/>
                <w:lang w:val="en-US" w:eastAsia="zh-CN" w:bidi="ar"/>
              </w:rPr>
              <w:t>Serious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6F1273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119D8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28456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1E5D0C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49C647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0D8BFF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</w:tr>
      <w:tr w14:paraId="032AFA5D"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noWrap/>
            <w:vAlign w:val="center"/>
          </w:tcPr>
          <w:p w14:paraId="6B77D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Marie Courbebaisse et al </w:t>
            </w:r>
          </w:p>
        </w:tc>
        <w:tc>
          <w:tcPr>
            <w:tcW w:w="25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27068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American Journal of Transplantation 23 (2023) 366–376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0AC6E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06554E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8EF7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C7D8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9ACE4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583B66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583E8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167D15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</w:tr>
      <w:tr w14:paraId="05A9680C"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noWrap/>
            <w:vAlign w:val="center"/>
          </w:tcPr>
          <w:p w14:paraId="22C96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Yuri Battaglia et al</w:t>
            </w:r>
          </w:p>
        </w:tc>
        <w:tc>
          <w:tcPr>
            <w:tcW w:w="25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0D4C2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Biomolecules 2023, 13, 629.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109FA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2D0C02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3B2A3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05AC2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31FA92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37A3A2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4882B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5CB96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</w:tr>
      <w:tr w14:paraId="2B296FCF"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2CEEF"/>
            <w:noWrap/>
            <w:vAlign w:val="center"/>
          </w:tcPr>
          <w:p w14:paraId="5617B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Shu-Meng Hu  et al</w:t>
            </w:r>
          </w:p>
        </w:tc>
        <w:tc>
          <w:tcPr>
            <w:tcW w:w="25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2CEEF"/>
            <w:vAlign w:val="center"/>
          </w:tcPr>
          <w:p w14:paraId="266C8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Endocrine Connections (2022) 11, e220123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center"/>
          </w:tcPr>
          <w:p w14:paraId="3A978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C7CE"/>
            <w:noWrap/>
            <w:vAlign w:val="bottom"/>
          </w:tcPr>
          <w:p w14:paraId="6B7499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0006"/>
                <w:kern w:val="0"/>
                <w:sz w:val="22"/>
                <w:szCs w:val="22"/>
                <w:u w:val="none"/>
                <w:lang w:val="en-US" w:eastAsia="zh-CN" w:bidi="ar"/>
              </w:rPr>
              <w:t>Serious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5F1293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EB9C"/>
            <w:noWrap/>
            <w:vAlign w:val="bottom"/>
          </w:tcPr>
          <w:p w14:paraId="469322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9C57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2858A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56BDE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785891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6EFCE"/>
            <w:noWrap/>
            <w:vAlign w:val="bottom"/>
          </w:tcPr>
          <w:p w14:paraId="4EE4A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61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</w:tr>
    </w:tbl>
    <w:p w14:paraId="49CF3404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7C201988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Table 5. Vitamin D Level Definitions Used in Each Study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</w:p>
    <w:tbl>
      <w:tblPr>
        <w:tblStyle w:val="2"/>
        <w:tblW w:w="1486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656"/>
        <w:gridCol w:w="11693"/>
      </w:tblGrid>
      <w:tr w14:paraId="3A0BE5A9">
        <w:trPr>
          <w:trHeight w:val="340" w:hRule="atLeast"/>
        </w:trPr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FFFFFF"/>
            <w:vAlign w:val="center"/>
          </w:tcPr>
          <w:p w14:paraId="493AC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73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Year</w:t>
            </w:r>
          </w:p>
        </w:tc>
        <w:tc>
          <w:tcPr>
            <w:tcW w:w="1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E6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Original definition of vitamin D status</w:t>
            </w:r>
          </w:p>
        </w:tc>
      </w:tr>
      <w:tr w14:paraId="57C799D0">
        <w:trPr>
          <w:trHeight w:val="2361" w:hRule="atLeast"/>
        </w:trPr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E6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K. Martin Wissing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19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1E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explicitly defined for deficiency/insufficiency; baseline 25(OH)D 19–24 ng/mL</w:t>
            </w:r>
          </w:p>
        </w:tc>
      </w:tr>
      <w:tr w14:paraId="4139AC87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2A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Makoto Tsujita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FA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90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Deficiency: &lt;20 ng/mL (96% of participants); sufficiency target: &gt;30 ng/mL; used Endocrine Society criteria</w:t>
            </w:r>
          </w:p>
        </w:tc>
      </w:tr>
      <w:tr w14:paraId="4D4B373F">
        <w:trPr>
          <w:trHeight w:val="9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F3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Yoshitsugu Obi1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51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34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defined for deficiency; baseline 25(OH)D 14.5 ng/mL</w:t>
            </w:r>
          </w:p>
        </w:tc>
      </w:tr>
      <w:tr w14:paraId="7050EA6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DFB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Marie Courbebaisse1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20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39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Insufficiency: &lt;30 ng/mL; treatment target: &gt;30 ng/mL; used K/DOQI guidelines</w:t>
            </w:r>
          </w:p>
        </w:tc>
      </w:tr>
      <w:tr w14:paraId="0AB76E1D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03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Marie Courbebaisse1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10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FB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Insufficiency: &lt;30 ng/mL; inclusion criterion was &lt;30 ng/mL</w:t>
            </w:r>
          </w:p>
        </w:tc>
      </w:tr>
      <w:tr w14:paraId="3192D767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98C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Yohei Doi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C7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2C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Insufficiency according to Endocrine Society: &lt;30 ng/mL; baseline median 10 ng/mL</w:t>
            </w:r>
          </w:p>
        </w:tc>
      </w:tr>
      <w:tr w14:paraId="513648D1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37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Yuri Battaglia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E76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6D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Insufficiency: &lt;30 ng/mL; severe insufficiency: &lt;20 ng/mL; deficiency: &lt;10 ng/mL; baseline 25(OH)D 15 ng/mL in both groups</w:t>
            </w:r>
          </w:p>
        </w:tc>
      </w:tr>
      <w:tr w14:paraId="776E09BF">
        <w:trPr>
          <w:trHeight w:val="18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F0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Shu-Meng Hu  et 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6B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1E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Sufficiency: &gt;75 nmol/L (&gt;30 ng/mL); deficiency: ≤75 nmol/L (≤30 ng/mL)</w:t>
            </w:r>
          </w:p>
        </w:tc>
      </w:tr>
    </w:tbl>
    <w:p w14:paraId="0033F6D6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631A661B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Table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6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 Additional characteristics of the included studies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671"/>
        <w:gridCol w:w="1108"/>
        <w:gridCol w:w="3402"/>
        <w:gridCol w:w="3539"/>
        <w:gridCol w:w="3371"/>
      </w:tblGrid>
      <w:tr w14:paraId="7158BB88">
        <w:trPr>
          <w:trHeight w:val="76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0095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2413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Transplant vintage at enrollment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E77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Donor type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1E56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Immunosuppressive regimen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1F03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Key exclusion criteria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640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Control of bisphosphonates, calcimimetics, active vitamin D</w:t>
            </w:r>
          </w:p>
        </w:tc>
      </w:tr>
      <w:tr w14:paraId="4EDD95B5">
        <w:trPr>
          <w:trHeight w:val="206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988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K. Martin Wissing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CABD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randomization and supplementation started end of first week after transplant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29D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living donors 2/41 (5%) in Ca group, 5/38 (13%) in VitD group; remainder deceased donor 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2E1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Induction: Thymoglobulin (high/intermediate risk) or basiliximab. Maintenance: Prednisolone (taper: 20→10→7.5→5 mg by month 3, withdrawal in low-risk at month 6); CNI (tacrolimus or cyclosporine) + MMF 2 g/d. Rejection: IV methylprednisolone.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D4E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Spontaneous hypercalcemia, hypocalcemia requiring active vitamin D, multi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organ transplant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25B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Bisphosphonates/active D: excluded if active D needed; bisphosphonates not mentioned.</w:t>
            </w:r>
          </w:p>
        </w:tc>
      </w:tr>
      <w:tr w14:paraId="06BEECD0">
        <w:trPr>
          <w:trHeight w:val="102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BFD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Makoto Tsujita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4673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month post-transplant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D07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 living donors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397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Induction: risk-based. Maintenance: Prednisolone (start 60 mg → taper to 10 mg by week 3 → 5 mg by month 3); CNI + MMF or everolimus. Rejection: IV methylprednisolone.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DF60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hypercalcaemia (corrected Ca ≥11 mg/dL), eGFR &lt;30 mL/min/1.73m²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C6B9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standardised or excluded – randomisation expected to balance.</w:t>
            </w:r>
          </w:p>
        </w:tc>
      </w:tr>
      <w:tr w14:paraId="79FB915B">
        <w:trPr>
          <w:trHeight w:val="120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D83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Yoshitsugu Obi1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76BD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median 8 years (IQR 5–12)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E3AB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reported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0B32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CNI (tacrolimus 64%, cyclosporine 34%), MMF 80%, everolimus 23%, steroids 82%, azathioprine 5%, mizoribine 10%. No induction details.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275F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Current nutritional vitamin D, hypercalcaemia (≥10.5 mg/dL), HIV, pregnancy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6C20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bisphosphonates: not explicitly controlled</w:t>
            </w:r>
          </w:p>
        </w:tc>
      </w:tr>
      <w:tr w14:paraId="5A4FCF26">
        <w:trPr>
          <w:trHeight w:val="102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958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Marie Courbebaisse1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3404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months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DE38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reported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E835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Maintenance: CNI (cyclosporine 28–47%, tacrolimus 65%) + steroids (mean dose at M3 ~10 mg/d, at M12 ~6–8 mg/d). Rejection rate ~20%.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341E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Hypercalcaemia (≥2.70 mmol/L)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B282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mention of standardisation or exclusion. Control group received no bone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active medication.</w:t>
            </w:r>
          </w:p>
        </w:tc>
      </w:tr>
      <w:tr w14:paraId="613379D9">
        <w:trPr>
          <w:trHeight w:val="102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915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Marie Courbebaisse1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B39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12–48 months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471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reported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2DCC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Steroids (60–63%), CNI (tacrolimus/cyclosporine), antimetabolites (MMF, azathioprine). No active vitamin D at inclusion. Diabetes excluded.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B573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Diabetes, hypercalcaemia, hyperphosphataemia, severe renal dysfunction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BD85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Bisphosphonates/active D: allowed; randomisation balances.</w:t>
            </w:r>
          </w:p>
        </w:tc>
      </w:tr>
      <w:tr w14:paraId="16B9B864">
        <w:trPr>
          <w:trHeight w:val="102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029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Yohei Doi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6CCB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month post-transplant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7B26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 living donors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1374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Prednisolone taper: 60 mg → 10 mg at week 3 → 5 mg at month 3. CNI + MMF or everolimus.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5361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Nutritional vitamin D use, hypercalcaemia (≥11 mg/dL), eGFR &lt;30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E71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bisphosphonates: not standardised – randomisation as main balancing method.</w:t>
            </w:r>
          </w:p>
        </w:tc>
      </w:tr>
      <w:tr w14:paraId="2EDAA085">
        <w:trPr>
          <w:trHeight w:val="680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29F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Yuri Battaglia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F555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b w:val="0"/>
                <w:color w:val="000000"/>
                <w:lang w:val="en-US" w:eastAsia="zh-CN" w:bidi="ar"/>
              </w:rPr>
              <w:t xml:space="preserve">median </w:t>
            </w:r>
            <w:r>
              <w:rPr>
                <w:rStyle w:val="5"/>
                <w:b w:val="0"/>
                <w:color w:val="000000"/>
                <w:lang w:val="en-US" w:eastAsia="zh-CN" w:bidi="ar"/>
              </w:rPr>
              <w:t xml:space="preserve">88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months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06F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reported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E503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Steroids (91%), cyclosporine (40%), tacrolimus (54%), MMF (64%), azathioprine (12%), mTORi (6–14%).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83F8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History of fractures, parathyroidectomy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0E03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Subgroup analysis by bisphosphonate/calcimimetic/active D use.</w:t>
            </w:r>
          </w:p>
        </w:tc>
      </w:tr>
      <w:tr w14:paraId="086FBA20">
        <w:trPr>
          <w:trHeight w:val="1821" w:hRule="atLeast"/>
          <w:tblHeader/>
        </w:trPr>
        <w:tc>
          <w:tcPr>
            <w:tcW w:w="8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571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Shu-Meng Hu  et al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FFE3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weeks (1–4) post-transplant</w:t>
            </w:r>
          </w:p>
        </w:tc>
        <w:tc>
          <w:tcPr>
            <w:tcW w:w="3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3700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reported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F524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Standard triple therapy: CNI (tacrolimus, target 5.95–7.11 ng/mL), MMF (AUC 45.7–70.9 mg·h/L), and steroids. No further induction details.</w:t>
            </w:r>
          </w:p>
        </w:tc>
        <w:tc>
          <w:tcPr>
            <w:tcW w:w="113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B9A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Parathyroidectomy, use of active vitamin D / cinacalcet / bisphosphonates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B91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Multivariable regression adjusting for pre/post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transplant vitamin D supplementation, age, sex, dialysis vintage, etc.</w:t>
            </w:r>
          </w:p>
        </w:tc>
      </w:tr>
    </w:tbl>
    <w:p w14:paraId="5D8D1619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6C2AABCA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Table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7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 Specific Search Strategies.</w:t>
      </w:r>
    </w:p>
    <w:tbl>
      <w:tblPr>
        <w:tblStyle w:val="2"/>
        <w:tblW w:w="80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6049"/>
      </w:tblGrid>
      <w:tr w14:paraId="0967C4E7">
        <w:trPr>
          <w:trHeight w:val="336" w:hRule="atLeast"/>
        </w:trPr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6FA2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Database</w:t>
            </w:r>
          </w:p>
        </w:tc>
        <w:tc>
          <w:tcPr>
            <w:tcW w:w="60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755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Search Strategy</w:t>
            </w:r>
          </w:p>
        </w:tc>
      </w:tr>
      <w:tr w14:paraId="237F408E">
        <w:trPr>
          <w:trHeight w:val="336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C86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PubMed</w:t>
            </w:r>
          </w:p>
        </w:tc>
        <w:tc>
          <w:tcPr>
            <w:tcW w:w="60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7633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("Vitamin D"[MeSH Terms] OR "vitamin D"[Title/Abstract] OR "25-dihydroxyvitamin D"[Title/Abstract] OR "cholecalciferol"[Title/Abstract] OR "ergocalciferol"[Title/Abstract]) AND ("Kidney Transplantation"[MeSH Terms] OR "kidney transplantation"[Title/Abstract] OR "renal transplantation"[Title/Abstract] OR "kidney transplant"[Title/Abstract] OR "renal transplant"[Title/Abstract] OR "kidney graft"[Title/Abstract] OR "renal graft"[Title/Abstract]) </w:t>
            </w:r>
          </w:p>
        </w:tc>
      </w:tr>
      <w:tr w14:paraId="5FD48515">
        <w:trPr>
          <w:trHeight w:val="202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487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EMBASE</w:t>
            </w:r>
          </w:p>
        </w:tc>
        <w:tc>
          <w:tcPr>
            <w:tcW w:w="60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59D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('vitamin d'/exp OR 'vitamin d':ti,ab OR '25-dihydroxyvitamin d':ti,ab OR 'cholecalciferol':ti,ab OR 'ergocalciferol':ti,ab) AND ('kidney transplantation'/exp OR 'kidney transplantation':ti,ab OR 'renal transplantation':ti,ab OR 'kidney transplant':ti,ab OR 'renal transplant':ti,ab OR 'kidney graft':ti,ab OR 'renal graft':ti,ab) </w:t>
            </w:r>
          </w:p>
        </w:tc>
      </w:tr>
      <w:tr w14:paraId="78EBE71F">
        <w:trPr>
          <w:trHeight w:val="16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D0E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Web of Science</w:t>
            </w:r>
          </w:p>
        </w:tc>
        <w:tc>
          <w:tcPr>
            <w:tcW w:w="60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27E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TS=("vitamin D" OR "25-dihydroxyvitamin D" OR "cholecalciferol" OR "ergocalciferol") AND TS=("kidney transplantation" OR "renal transplantation" OR "kidney transplant" OR "renal transplant" OR "kidney graft" OR "renal graft")</w:t>
            </w:r>
          </w:p>
        </w:tc>
      </w:tr>
    </w:tbl>
    <w:p w14:paraId="3DE9D56C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6CDE3D0F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Figure 2. Sensitivity analysis of the effect of vitamin D supplementation on post-transplant vitamin D Levels in kidney transplant recipients.</w:t>
      </w:r>
    </w:p>
    <w:p w14:paraId="1D8975B2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15075" cy="1793875"/>
            <wp:effectExtent l="0" t="0" r="0" b="0"/>
            <wp:docPr id="8" name="图片 8" descr="v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vd"/>
                    <pic:cNvPicPr>
                      <a:picLocks noChangeAspect="1"/>
                    </pic:cNvPicPr>
                  </pic:nvPicPr>
                  <pic:blipFill>
                    <a:blip r:embed="rId5"/>
                    <a:srcRect l="2752" t="25389" r="2217" b="20357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CBBA9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3520B96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Figure 3. Sensitivity analysis of the effect of vitamin D supplementation on post-transplant eGFR Levels in kidney transplant recipients.</w:t>
      </w:r>
    </w:p>
    <w:p w14:paraId="1D201754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4320" cy="1893570"/>
            <wp:effectExtent l="0" t="0" r="0" b="0"/>
            <wp:docPr id="9" name="图片 9" descr="egfr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gfr敏感性分析"/>
                    <pic:cNvPicPr>
                      <a:picLocks noChangeAspect="1"/>
                    </pic:cNvPicPr>
                  </pic:nvPicPr>
                  <pic:blipFill>
                    <a:blip r:embed="rId6"/>
                    <a:srcRect l="306"/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7B658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4099075E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eastAsiaTheme="minorEastAsia"/>
          <w:lang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Supplementary Figure 4. Sensitivity analysis of the effect of vitamin D supplementation on post-transplant iPTH Levels in kidney transplant recipients.</w:t>
      </w:r>
    </w:p>
    <w:p w14:paraId="49F63047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eastAsia" w:eastAsiaTheme="minorEastAsia"/>
          <w:lang w:eastAsia="zh-CN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3370" cy="2242820"/>
            <wp:effectExtent l="0" t="0" r="11430" b="17780"/>
            <wp:docPr id="10" name="图片 10" descr="pth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pth敏感性分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4C9C0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5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 Sensitivity analysis of the effect of vitamin D supplementation on post-transplant serum calcium levels in kidney transplant recipient.</w:t>
      </w:r>
    </w:p>
    <w:p w14:paraId="39328538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6644640" cy="2258060"/>
            <wp:effectExtent l="0" t="0" r="10160" b="2540"/>
            <wp:docPr id="11" name="图片 11" descr="血钙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血钙敏感性分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923B4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6368DF96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6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 Sensitivity analysis of the effect of vitamin D supplementation on post-transplant serum phosphorus levels in kidney transplant recipients.</w:t>
      </w:r>
    </w:p>
    <w:p w14:paraId="119917A1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6644640" cy="2258060"/>
            <wp:effectExtent l="0" t="0" r="10160" b="2540"/>
            <wp:docPr id="12" name="图片 12" descr="血磷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血磷敏感性分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6B386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7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Subgroup analysis of vitamin D supplementation on intact parathyroid hormone (PTH) stratified by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the dose of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vitamin D in kidney transplant recipients.</w:t>
      </w:r>
    </w:p>
    <w:p w14:paraId="07D0D807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4833620" cy="3824605"/>
            <wp:effectExtent l="0" t="0" r="17780" b="10795"/>
            <wp:docPr id="14" name="图片 14" descr="forest_PTH_d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orest_PTH_dose"/>
                    <pic:cNvPicPr>
                      <a:picLocks noChangeAspect="1"/>
                    </pic:cNvPicPr>
                  </pic:nvPicPr>
                  <pic:blipFill>
                    <a:blip r:embed="rId10"/>
                    <a:srcRect l="11178" t="3347" r="10298"/>
                    <a:stretch>
                      <a:fillRect/>
                    </a:stretch>
                  </pic:blipFill>
                  <pic:spPr>
                    <a:xfrm>
                      <a:off x="0" y="0"/>
                      <a:ext cx="4833620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3D91A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68F3260C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8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Subgroup analysis of vitamin D supplementation on intact parathyroid hormone (PTH) stratified by duration of follow-up in kidney transplant recipients.</w:t>
      </w:r>
    </w:p>
    <w:p w14:paraId="642134EA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4757420" cy="3754755"/>
            <wp:effectExtent l="0" t="0" r="17780" b="4445"/>
            <wp:docPr id="13" name="图片 13" descr="forest_PTH_follow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orest_PTH_followup"/>
                    <pic:cNvPicPr>
                      <a:picLocks noChangeAspect="1"/>
                    </pic:cNvPicPr>
                  </pic:nvPicPr>
                  <pic:blipFill>
                    <a:blip r:embed="rId11"/>
                    <a:srcRect l="10499" t="2930" r="10432"/>
                    <a:stretch>
                      <a:fillRect/>
                    </a:stretch>
                  </pic:blipFill>
                  <pic:spPr>
                    <a:xfrm>
                      <a:off x="0" y="0"/>
                      <a:ext cx="475742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6A8E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9A6379E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9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Subgroup analysis of vitamin D supplementation on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e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GFR stratified by duration of follow-up in kidney transplant recipients.</w:t>
      </w:r>
    </w:p>
    <w:p w14:paraId="66DEBB23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5364480" cy="2896235"/>
            <wp:effectExtent l="0" t="0" r="0" b="0"/>
            <wp:docPr id="15" name="图片 15" descr="forest_eGFR_follow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orest_eGFR_followup"/>
                    <pic:cNvPicPr>
                      <a:picLocks noChangeAspect="1"/>
                    </pic:cNvPicPr>
                  </pic:nvPicPr>
                  <pic:blipFill>
                    <a:blip r:embed="rId12"/>
                    <a:srcRect t="7466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4F0BF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10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Subgroup analysis of vitamin D supplementation on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e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GFR stratified by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the dose of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vitamin D in kidney transplant recipients.</w:t>
      </w:r>
    </w:p>
    <w:p w14:paraId="3007ABB2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5250180" cy="3063240"/>
            <wp:effectExtent l="0" t="0" r="7620" b="10160"/>
            <wp:docPr id="16" name="图片 16" descr="forest_eGFR_d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orest_eGFR_dos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29D96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53773EBF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EEBEFC0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0067F01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19CD0C4E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0DFDF42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39D67754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60883975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05CFA933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11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 Funnel plot assessing publication bias for the effect of vitamin D supplementation on 25(OH)D levels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</w:p>
    <w:p w14:paraId="1ABEC0D3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4004945" cy="3851910"/>
            <wp:effectExtent l="0" t="0" r="8255" b="8890"/>
            <wp:docPr id="2" name="图片 2" descr="vd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vd漏斗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4945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5D28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723D3D3F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Supplementary Figure 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12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  <w:r>
        <w:rPr>
          <w:rFonts w:hint="eastAsia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 xml:space="preserve"> Funnel plot assessing publication bias for the effect of vitamin D supplementation on PTH levels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t>.</w:t>
      </w:r>
    </w:p>
    <w:p w14:paraId="312DB24F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  <w:drawing>
          <wp:inline distT="0" distB="0" distL="114300" distR="114300">
            <wp:extent cx="4073525" cy="3807460"/>
            <wp:effectExtent l="0" t="0" r="15875" b="2540"/>
            <wp:docPr id="3" name="图片 3" descr="pth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th漏斗图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73525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6755D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p w14:paraId="03E46547">
      <w:pPr>
        <w:keepNext/>
        <w:keepLines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/>
        <w:ind w:left="0" w:leftChars="0" w:right="0" w:rightChars="0" w:firstLine="0" w:firstLineChars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OTMyNWIxNDBlNzFiMmY3NWY3MDJmZjg3NmUzZjEifQ=="/>
  </w:docVars>
  <w:rsids>
    <w:rsidRoot w:val="00000000"/>
    <w:rsid w:val="074A1AD8"/>
    <w:rsid w:val="0EA5511C"/>
    <w:rsid w:val="0F776AD6"/>
    <w:rsid w:val="0F871C1B"/>
    <w:rsid w:val="13FFCDEF"/>
    <w:rsid w:val="17A806FA"/>
    <w:rsid w:val="192B12EA"/>
    <w:rsid w:val="1AF3688D"/>
    <w:rsid w:val="1FBF8C51"/>
    <w:rsid w:val="1FFFB07A"/>
    <w:rsid w:val="21F42BC1"/>
    <w:rsid w:val="296C74E1"/>
    <w:rsid w:val="2AD52E64"/>
    <w:rsid w:val="2F1C72B3"/>
    <w:rsid w:val="329830F5"/>
    <w:rsid w:val="341E7629"/>
    <w:rsid w:val="35DFE29B"/>
    <w:rsid w:val="35FDDE86"/>
    <w:rsid w:val="3C6FDC86"/>
    <w:rsid w:val="3DA36BD0"/>
    <w:rsid w:val="3E6E11AD"/>
    <w:rsid w:val="3EF71096"/>
    <w:rsid w:val="3EFE595D"/>
    <w:rsid w:val="3EFE655B"/>
    <w:rsid w:val="3F3F0630"/>
    <w:rsid w:val="3F5D0B23"/>
    <w:rsid w:val="3FBF011D"/>
    <w:rsid w:val="3FC2F1A3"/>
    <w:rsid w:val="3FDF2018"/>
    <w:rsid w:val="3FDF3627"/>
    <w:rsid w:val="42426BD9"/>
    <w:rsid w:val="4252548F"/>
    <w:rsid w:val="4A1B48DF"/>
    <w:rsid w:val="4BFE6267"/>
    <w:rsid w:val="4C20442F"/>
    <w:rsid w:val="4D79ED64"/>
    <w:rsid w:val="4EBF5130"/>
    <w:rsid w:val="4FFF5B9B"/>
    <w:rsid w:val="5325057D"/>
    <w:rsid w:val="55255A04"/>
    <w:rsid w:val="55F959EB"/>
    <w:rsid w:val="572F6423"/>
    <w:rsid w:val="58E7D824"/>
    <w:rsid w:val="5A821E11"/>
    <w:rsid w:val="5BFB02AE"/>
    <w:rsid w:val="5DFB218B"/>
    <w:rsid w:val="5EAA7B88"/>
    <w:rsid w:val="5EFD64E5"/>
    <w:rsid w:val="5FDF993C"/>
    <w:rsid w:val="5FE90CF2"/>
    <w:rsid w:val="5FF6223F"/>
    <w:rsid w:val="653F6092"/>
    <w:rsid w:val="6793161F"/>
    <w:rsid w:val="67F19015"/>
    <w:rsid w:val="6990454A"/>
    <w:rsid w:val="699C33FC"/>
    <w:rsid w:val="69A2427D"/>
    <w:rsid w:val="6BFE835C"/>
    <w:rsid w:val="6BFF150E"/>
    <w:rsid w:val="6E573888"/>
    <w:rsid w:val="6E59C9E1"/>
    <w:rsid w:val="6EDE0A92"/>
    <w:rsid w:val="6EF96A1B"/>
    <w:rsid w:val="6F739770"/>
    <w:rsid w:val="6FA726C9"/>
    <w:rsid w:val="6FBF6CC9"/>
    <w:rsid w:val="6FF77B4A"/>
    <w:rsid w:val="6FFC5ECF"/>
    <w:rsid w:val="71A43FDF"/>
    <w:rsid w:val="71AB7A47"/>
    <w:rsid w:val="7236A2CD"/>
    <w:rsid w:val="7265E388"/>
    <w:rsid w:val="733FD625"/>
    <w:rsid w:val="73FED948"/>
    <w:rsid w:val="757EA943"/>
    <w:rsid w:val="75F73B5F"/>
    <w:rsid w:val="777B1484"/>
    <w:rsid w:val="777F52C9"/>
    <w:rsid w:val="77BEDFA6"/>
    <w:rsid w:val="77EF4E7A"/>
    <w:rsid w:val="78BBF42B"/>
    <w:rsid w:val="79DB34EB"/>
    <w:rsid w:val="79EDC800"/>
    <w:rsid w:val="79FDFE60"/>
    <w:rsid w:val="79FF7B87"/>
    <w:rsid w:val="7A1A39BC"/>
    <w:rsid w:val="7A7293D3"/>
    <w:rsid w:val="7A9F8EC9"/>
    <w:rsid w:val="7AEF2E28"/>
    <w:rsid w:val="7B17A36D"/>
    <w:rsid w:val="7B7B2DF8"/>
    <w:rsid w:val="7BECEEAA"/>
    <w:rsid w:val="7BFB2C2D"/>
    <w:rsid w:val="7BFE9643"/>
    <w:rsid w:val="7CDF3C6C"/>
    <w:rsid w:val="7CE91F85"/>
    <w:rsid w:val="7DBD5008"/>
    <w:rsid w:val="7DD54EC9"/>
    <w:rsid w:val="7DFFCB61"/>
    <w:rsid w:val="7E355268"/>
    <w:rsid w:val="7EFC2B3C"/>
    <w:rsid w:val="7F3DA8BE"/>
    <w:rsid w:val="7F552150"/>
    <w:rsid w:val="7F7BC694"/>
    <w:rsid w:val="7FBF7712"/>
    <w:rsid w:val="7FDBCB59"/>
    <w:rsid w:val="7FDDFB35"/>
    <w:rsid w:val="7FDF820C"/>
    <w:rsid w:val="7FEB93FE"/>
    <w:rsid w:val="7FF96F12"/>
    <w:rsid w:val="7FFE1B68"/>
    <w:rsid w:val="7FFF693D"/>
    <w:rsid w:val="7FFFF6EF"/>
    <w:rsid w:val="9621CF06"/>
    <w:rsid w:val="97BF44B8"/>
    <w:rsid w:val="9B4D2104"/>
    <w:rsid w:val="9B7D8DC5"/>
    <w:rsid w:val="A77500FC"/>
    <w:rsid w:val="ABBE3915"/>
    <w:rsid w:val="ADDA50DC"/>
    <w:rsid w:val="ADEDB345"/>
    <w:rsid w:val="ADFE7B95"/>
    <w:rsid w:val="AFAE6652"/>
    <w:rsid w:val="AFF70480"/>
    <w:rsid w:val="B7DDE97B"/>
    <w:rsid w:val="B811940C"/>
    <w:rsid w:val="B9F54B5C"/>
    <w:rsid w:val="BBF7C47F"/>
    <w:rsid w:val="BC7D4109"/>
    <w:rsid w:val="BDDF3837"/>
    <w:rsid w:val="BDF813A0"/>
    <w:rsid w:val="BE5F50B5"/>
    <w:rsid w:val="BEBF5717"/>
    <w:rsid w:val="BEE36971"/>
    <w:rsid w:val="BF529AC0"/>
    <w:rsid w:val="BF6D3D36"/>
    <w:rsid w:val="BFADD0BA"/>
    <w:rsid w:val="BFBDA207"/>
    <w:rsid w:val="BFBF3CD4"/>
    <w:rsid w:val="BFEEC132"/>
    <w:rsid w:val="BFEFD2C5"/>
    <w:rsid w:val="CD6D40F8"/>
    <w:rsid w:val="CDFF8975"/>
    <w:rsid w:val="CF7B2E63"/>
    <w:rsid w:val="D1FD5D56"/>
    <w:rsid w:val="D3D9E722"/>
    <w:rsid w:val="D3FEEB62"/>
    <w:rsid w:val="D5D6BF5E"/>
    <w:rsid w:val="D8BEEB02"/>
    <w:rsid w:val="DBAB05B5"/>
    <w:rsid w:val="DBE4C3E3"/>
    <w:rsid w:val="DD6FE7FE"/>
    <w:rsid w:val="DDDE0A61"/>
    <w:rsid w:val="DDFFE194"/>
    <w:rsid w:val="DEC70A66"/>
    <w:rsid w:val="DEF30B02"/>
    <w:rsid w:val="DF7FDBFD"/>
    <w:rsid w:val="DFDEEF58"/>
    <w:rsid w:val="DFE6C920"/>
    <w:rsid w:val="E3637F6F"/>
    <w:rsid w:val="E3F746DA"/>
    <w:rsid w:val="E59F799A"/>
    <w:rsid w:val="E5FC8447"/>
    <w:rsid w:val="E6752591"/>
    <w:rsid w:val="E6F120F1"/>
    <w:rsid w:val="E7BB6842"/>
    <w:rsid w:val="E7F92F3D"/>
    <w:rsid w:val="EAED56E7"/>
    <w:rsid w:val="EAFB4287"/>
    <w:rsid w:val="EBAF8A93"/>
    <w:rsid w:val="EBB75D7D"/>
    <w:rsid w:val="EBDF382E"/>
    <w:rsid w:val="EBDF71A7"/>
    <w:rsid w:val="EC3D2E97"/>
    <w:rsid w:val="ECFFBEC6"/>
    <w:rsid w:val="EFBD5282"/>
    <w:rsid w:val="EFCB70A3"/>
    <w:rsid w:val="EFFA9017"/>
    <w:rsid w:val="F18BC9B9"/>
    <w:rsid w:val="F2FEAD7D"/>
    <w:rsid w:val="F357675C"/>
    <w:rsid w:val="F3D7F681"/>
    <w:rsid w:val="F3FB675A"/>
    <w:rsid w:val="F57F6938"/>
    <w:rsid w:val="F5EFD11F"/>
    <w:rsid w:val="F6780FA6"/>
    <w:rsid w:val="F767844D"/>
    <w:rsid w:val="F768247A"/>
    <w:rsid w:val="F7B9E08E"/>
    <w:rsid w:val="F7FA1497"/>
    <w:rsid w:val="F7FF117C"/>
    <w:rsid w:val="F7FF97D0"/>
    <w:rsid w:val="F8CFC0E8"/>
    <w:rsid w:val="FABFC821"/>
    <w:rsid w:val="FAFB5BC0"/>
    <w:rsid w:val="FAFF8435"/>
    <w:rsid w:val="FB532FBA"/>
    <w:rsid w:val="FB6ED182"/>
    <w:rsid w:val="FBF5D053"/>
    <w:rsid w:val="FBF6AC31"/>
    <w:rsid w:val="FBF6E13E"/>
    <w:rsid w:val="FC7F0D8E"/>
    <w:rsid w:val="FCBE3E6F"/>
    <w:rsid w:val="FCDBDD7F"/>
    <w:rsid w:val="FCFE6B74"/>
    <w:rsid w:val="FD7BD8AF"/>
    <w:rsid w:val="FDDEAD90"/>
    <w:rsid w:val="FDDFF419"/>
    <w:rsid w:val="FDE79F64"/>
    <w:rsid w:val="FDEB08C5"/>
    <w:rsid w:val="FDFBF0C0"/>
    <w:rsid w:val="FDFE8CF4"/>
    <w:rsid w:val="FDFF4BDD"/>
    <w:rsid w:val="FEDBF9A5"/>
    <w:rsid w:val="FEFDBF84"/>
    <w:rsid w:val="FEFF41E3"/>
    <w:rsid w:val="FF3B3B48"/>
    <w:rsid w:val="FF4F18E6"/>
    <w:rsid w:val="FF6A55A1"/>
    <w:rsid w:val="FF7B9F69"/>
    <w:rsid w:val="FF7CFADA"/>
    <w:rsid w:val="FF9F4DEC"/>
    <w:rsid w:val="FFDA11DD"/>
    <w:rsid w:val="FFDBD93B"/>
    <w:rsid w:val="FFFD29C2"/>
    <w:rsid w:val="FFFD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0F111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746</Words>
  <Characters>4057</Characters>
  <Lines>0</Lines>
  <Paragraphs>0</Paragraphs>
  <TotalTime>4</TotalTime>
  <ScaleCrop>false</ScaleCrop>
  <LinksUpToDate>false</LinksUpToDate>
  <CharactersWithSpaces>4698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2025-10-30T12:31:00Z</dcterms:created>
  <dc:creator>yxb</dc:creator>
  <cp:lastModifiedBy>Bin-Qi Yang</cp:lastModifiedBy>
  <dcterms:modified xsi:type="dcterms:W3CDTF">2026-06-29T23:18:06Z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KSOTemplateDocerSaveRecord">
    <vt:lpwstr>eyJoZGlkIjoiOGEzYzQzNDI1ZTQ1MDg2NmZlYmE3YTk2ZTliYmYwMDYiLCJ1c2VySWQiOiIxNzU0OTYxNTA2In0=</vt:lpwstr>
  </property>
  <property fmtid="{D5CDD505-2E9C-101B-9397-08002B2CF9AE}" pid="4" name="ICV">
    <vt:lpwstr>B8C3BD7BDE474B74BA28E6A18B4522AB_12</vt:lpwstr>
  </property>
</Properties>
</file>