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2D2D48">
      <w:pPr>
        <w:pStyle w:val="9"/>
        <w:bidi w:val="0"/>
        <w:jc w:val="left"/>
        <w:rPr>
          <w:rFonts w:hint="eastAsia" w:eastAsia="宋体"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 xml:space="preserve">Supplementary </w:t>
      </w:r>
      <w:r>
        <w:rPr>
          <w:b/>
          <w:bCs/>
          <w:sz w:val="24"/>
          <w:szCs w:val="24"/>
        </w:rPr>
        <w:t xml:space="preserve">Table </w:t>
      </w:r>
      <w:r>
        <w:rPr>
          <w:rFonts w:hint="eastAsia"/>
          <w:b/>
          <w:bCs/>
          <w:sz w:val="24"/>
          <w:szCs w:val="24"/>
          <w:lang w:val="en-US" w:eastAsia="zh-CN"/>
        </w:rPr>
        <w:t>3.</w:t>
      </w:r>
      <w:r>
        <w:rPr>
          <w:b/>
          <w:bCs/>
          <w:sz w:val="24"/>
          <w:szCs w:val="24"/>
        </w:rPr>
        <w:t xml:space="preserve"> </w:t>
      </w:r>
      <w:r>
        <w:rPr>
          <w:rFonts w:hint="eastAsia"/>
          <w:b/>
          <w:bCs/>
          <w:sz w:val="24"/>
          <w:szCs w:val="24"/>
        </w:rPr>
        <w:t>Information of patients with identified infection foci in the IgA-IRGN group</w:t>
      </w:r>
    </w:p>
    <w:tbl>
      <w:tblPr>
        <w:tblStyle w:val="5"/>
        <w:tblW w:w="500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60"/>
        <w:gridCol w:w="1128"/>
        <w:gridCol w:w="1763"/>
        <w:gridCol w:w="2527"/>
        <w:gridCol w:w="2388"/>
      </w:tblGrid>
      <w:tr w14:paraId="67DB3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389" w:type="pct"/>
            <w:tcBorders>
              <w:top w:val="single" w:color="000000" w:sz="12" w:space="0"/>
              <w:bottom w:val="single" w:color="000000" w:sz="4" w:space="0"/>
              <w:tl2br w:val="nil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352582AD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Patient</w:t>
            </w:r>
          </w:p>
        </w:tc>
        <w:tc>
          <w:tcPr>
            <w:tcW w:w="666" w:type="pct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94F63D9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Sex/Age</w:t>
            </w:r>
          </w:p>
        </w:tc>
        <w:tc>
          <w:tcPr>
            <w:tcW w:w="1041" w:type="pct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4890B99D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Infection site</w:t>
            </w:r>
          </w:p>
        </w:tc>
        <w:tc>
          <w:tcPr>
            <w:tcW w:w="1492" w:type="pct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34A53A1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Etiology/Pathogen</w:t>
            </w:r>
          </w:p>
        </w:tc>
        <w:tc>
          <w:tcPr>
            <w:tcW w:w="1410" w:type="pct"/>
            <w:tcBorders>
              <w:top w:val="single" w:color="000000" w:sz="12" w:space="0"/>
              <w:bottom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C880C1D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Anti-infective regimen</w:t>
            </w:r>
          </w:p>
        </w:tc>
      </w:tr>
      <w:tr w14:paraId="69420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9" w:type="pct"/>
            <w:tcBorders>
              <w:top w:val="single" w:color="000000" w:sz="4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2608854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666" w:type="pct"/>
            <w:tcBorders>
              <w:top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547AC1A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Female/72</w:t>
            </w:r>
          </w:p>
        </w:tc>
        <w:tc>
          <w:tcPr>
            <w:tcW w:w="1041" w:type="pct"/>
            <w:tcBorders>
              <w:top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1FFF8E8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Pneumonia</w:t>
            </w:r>
          </w:p>
        </w:tc>
        <w:tc>
          <w:tcPr>
            <w:tcW w:w="1492" w:type="pct"/>
            <w:tcBorders>
              <w:top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279F5D1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/>
                <w:iCs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Legionella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(venous blood IgM)</w:t>
            </w:r>
          </w:p>
        </w:tc>
        <w:tc>
          <w:tcPr>
            <w:tcW w:w="1410" w:type="pct"/>
            <w:tcBorders>
              <w:top w:val="single" w:color="000000" w:sz="4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B470538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Azithromycin (oral)</w:t>
            </w:r>
          </w:p>
        </w:tc>
      </w:tr>
      <w:tr w14:paraId="00FE12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9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208D0E9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2</w:t>
            </w:r>
          </w:p>
        </w:tc>
        <w:tc>
          <w:tcPr>
            <w:tcW w:w="66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CA3C83C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Male/58</w:t>
            </w:r>
          </w:p>
        </w:tc>
        <w:tc>
          <w:tcPr>
            <w:tcW w:w="104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5A0E500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Pneumonia</w:t>
            </w:r>
          </w:p>
        </w:tc>
        <w:tc>
          <w:tcPr>
            <w:tcW w:w="1492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FEB299C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/>
                <w:iCs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Legionella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(respiratory secretions)</w:t>
            </w:r>
          </w:p>
        </w:tc>
        <w:tc>
          <w:tcPr>
            <w:tcW w:w="1410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CEB0942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Levofloxacin (oral)</w:t>
            </w:r>
          </w:p>
        </w:tc>
      </w:tr>
      <w:tr w14:paraId="6F7AC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9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B975683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3</w:t>
            </w:r>
          </w:p>
        </w:tc>
        <w:tc>
          <w:tcPr>
            <w:tcW w:w="66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2AC7976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Male/56</w:t>
            </w:r>
          </w:p>
        </w:tc>
        <w:tc>
          <w:tcPr>
            <w:tcW w:w="104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49E9B7A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Pneumonia</w:t>
            </w:r>
          </w:p>
        </w:tc>
        <w:tc>
          <w:tcPr>
            <w:tcW w:w="1492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35D7635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/>
                <w:iCs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Staphylococcus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 (bronchoalveolar lavage fluid)</w:t>
            </w:r>
          </w:p>
        </w:tc>
        <w:tc>
          <w:tcPr>
            <w:tcW w:w="1410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B3E348D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Piperacillin-tazobactam sodium (intravenous)</w:t>
            </w:r>
          </w:p>
        </w:tc>
      </w:tr>
      <w:tr w14:paraId="492FC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9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626E63E2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4</w:t>
            </w:r>
          </w:p>
        </w:tc>
        <w:tc>
          <w:tcPr>
            <w:tcW w:w="66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bottom"/>
          </w:tcPr>
          <w:p w14:paraId="4652A309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Male/69</w:t>
            </w:r>
          </w:p>
        </w:tc>
        <w:tc>
          <w:tcPr>
            <w:tcW w:w="104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bottom"/>
          </w:tcPr>
          <w:p w14:paraId="3AE81D2E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Pneumonia</w:t>
            </w:r>
          </w:p>
        </w:tc>
        <w:tc>
          <w:tcPr>
            <w:tcW w:w="1492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1A965BF7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Unknown</w:t>
            </w:r>
          </w:p>
        </w:tc>
        <w:tc>
          <w:tcPr>
            <w:tcW w:w="1410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509985D2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ceftriaxone (intravenous)</w:t>
            </w:r>
          </w:p>
        </w:tc>
      </w:tr>
      <w:tr w14:paraId="50D12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9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1ED826D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5</w:t>
            </w:r>
          </w:p>
        </w:tc>
        <w:tc>
          <w:tcPr>
            <w:tcW w:w="66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bottom"/>
          </w:tcPr>
          <w:p w14:paraId="3D3EBE0C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Male/33</w:t>
            </w:r>
          </w:p>
        </w:tc>
        <w:tc>
          <w:tcPr>
            <w:tcW w:w="104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bottom"/>
          </w:tcPr>
          <w:p w14:paraId="57864BD6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Pneumonia</w:t>
            </w:r>
          </w:p>
        </w:tc>
        <w:tc>
          <w:tcPr>
            <w:tcW w:w="1492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bottom"/>
          </w:tcPr>
          <w:p w14:paraId="3850D0FA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  <w14:ligatures w14:val="none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Unknown</w:t>
            </w:r>
          </w:p>
        </w:tc>
        <w:tc>
          <w:tcPr>
            <w:tcW w:w="1410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1148A8DC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eastAsia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Moxifloxacin (intravenous)</w:t>
            </w:r>
          </w:p>
        </w:tc>
      </w:tr>
      <w:tr w14:paraId="3BCA1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9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F381391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6</w:t>
            </w:r>
          </w:p>
        </w:tc>
        <w:tc>
          <w:tcPr>
            <w:tcW w:w="66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bottom"/>
          </w:tcPr>
          <w:p w14:paraId="6383BCC6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Male/49</w:t>
            </w:r>
          </w:p>
        </w:tc>
        <w:tc>
          <w:tcPr>
            <w:tcW w:w="104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bottom"/>
          </w:tcPr>
          <w:p w14:paraId="6F62EC8F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Pneumonia</w:t>
            </w:r>
          </w:p>
        </w:tc>
        <w:tc>
          <w:tcPr>
            <w:tcW w:w="1492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bottom"/>
          </w:tcPr>
          <w:p w14:paraId="77B39302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  <w14:ligatures w14:val="none"/>
              </w:rPr>
              <w:t xml:space="preserve">COVID-19 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(antigen test)</w:t>
            </w:r>
          </w:p>
        </w:tc>
        <w:tc>
          <w:tcPr>
            <w:tcW w:w="1410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6D4CCFD6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None</w:t>
            </w:r>
          </w:p>
        </w:tc>
      </w:tr>
      <w:tr w14:paraId="35122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9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0B3F529D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7</w:t>
            </w:r>
          </w:p>
        </w:tc>
        <w:tc>
          <w:tcPr>
            <w:tcW w:w="66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bottom"/>
          </w:tcPr>
          <w:p w14:paraId="65B485EC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Male/33</w:t>
            </w:r>
          </w:p>
        </w:tc>
        <w:tc>
          <w:tcPr>
            <w:tcW w:w="104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bottom"/>
          </w:tcPr>
          <w:p w14:paraId="3549EA2A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Pneumonia</w:t>
            </w:r>
          </w:p>
        </w:tc>
        <w:tc>
          <w:tcPr>
            <w:tcW w:w="1492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bottom"/>
          </w:tcPr>
          <w:p w14:paraId="1ED197F9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COVID-19 (antigen test)</w:t>
            </w:r>
          </w:p>
        </w:tc>
        <w:tc>
          <w:tcPr>
            <w:tcW w:w="1410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B34F2FC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None</w:t>
            </w:r>
          </w:p>
        </w:tc>
      </w:tr>
      <w:tr w14:paraId="3989F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9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7A4815F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8</w:t>
            </w:r>
          </w:p>
        </w:tc>
        <w:tc>
          <w:tcPr>
            <w:tcW w:w="66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bottom"/>
          </w:tcPr>
          <w:p w14:paraId="1DC0DEB0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Female/67</w:t>
            </w:r>
          </w:p>
        </w:tc>
        <w:tc>
          <w:tcPr>
            <w:tcW w:w="104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bottom"/>
          </w:tcPr>
          <w:p w14:paraId="3859FF2E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Pneumonia</w:t>
            </w:r>
          </w:p>
        </w:tc>
        <w:tc>
          <w:tcPr>
            <w:tcW w:w="1492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bottom"/>
          </w:tcPr>
          <w:p w14:paraId="11AD891B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Unknown</w:t>
            </w:r>
          </w:p>
        </w:tc>
        <w:tc>
          <w:tcPr>
            <w:tcW w:w="1410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35522DDF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None</w:t>
            </w:r>
          </w:p>
        </w:tc>
      </w:tr>
      <w:tr w14:paraId="57C3CA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9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FF045E8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9</w:t>
            </w:r>
          </w:p>
        </w:tc>
        <w:tc>
          <w:tcPr>
            <w:tcW w:w="66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BF46B4C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Male/14</w:t>
            </w:r>
          </w:p>
        </w:tc>
        <w:tc>
          <w:tcPr>
            <w:tcW w:w="104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27B2A06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Upper respiratory</w:t>
            </w:r>
          </w:p>
        </w:tc>
        <w:tc>
          <w:tcPr>
            <w:tcW w:w="1492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831DB4A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Unknown</w:t>
            </w:r>
          </w:p>
        </w:tc>
        <w:tc>
          <w:tcPr>
            <w:tcW w:w="1410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2C2A931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Levofloxacin (oral)</w:t>
            </w:r>
          </w:p>
        </w:tc>
      </w:tr>
      <w:tr w14:paraId="6ACAA1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9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5D051FC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10</w:t>
            </w:r>
          </w:p>
        </w:tc>
        <w:tc>
          <w:tcPr>
            <w:tcW w:w="66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75BD3813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Male/17</w:t>
            </w:r>
          </w:p>
        </w:tc>
        <w:tc>
          <w:tcPr>
            <w:tcW w:w="104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6E23508C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Upper respiratory</w:t>
            </w:r>
          </w:p>
        </w:tc>
        <w:tc>
          <w:tcPr>
            <w:tcW w:w="1492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32B481D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Unknown</w:t>
            </w:r>
          </w:p>
        </w:tc>
        <w:tc>
          <w:tcPr>
            <w:tcW w:w="1410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0B0C97D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Azithromycin (oral)</w:t>
            </w:r>
          </w:p>
        </w:tc>
      </w:tr>
      <w:tr w14:paraId="595C3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9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C3079E9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11</w:t>
            </w:r>
          </w:p>
        </w:tc>
        <w:tc>
          <w:tcPr>
            <w:tcW w:w="66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bottom"/>
          </w:tcPr>
          <w:p w14:paraId="57A01303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Female/24</w:t>
            </w:r>
          </w:p>
        </w:tc>
        <w:tc>
          <w:tcPr>
            <w:tcW w:w="104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bottom"/>
          </w:tcPr>
          <w:p w14:paraId="487D71F7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Upper respiratory</w:t>
            </w:r>
          </w:p>
        </w:tc>
        <w:tc>
          <w:tcPr>
            <w:tcW w:w="1492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bottom"/>
          </w:tcPr>
          <w:p w14:paraId="1AC1AAE0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Unknown</w:t>
            </w:r>
          </w:p>
        </w:tc>
        <w:tc>
          <w:tcPr>
            <w:tcW w:w="1410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012F1389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Cephalosporins (oral</w:t>
            </w:r>
            <w:r>
              <w:rPr>
                <w:rFonts w:hint="eastAsia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, 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unspecified)</w:t>
            </w:r>
          </w:p>
        </w:tc>
      </w:tr>
      <w:tr w14:paraId="2E53A5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9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42819153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12</w:t>
            </w:r>
          </w:p>
        </w:tc>
        <w:tc>
          <w:tcPr>
            <w:tcW w:w="66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bottom"/>
          </w:tcPr>
          <w:p w14:paraId="5CC5243F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Male/23</w:t>
            </w:r>
          </w:p>
        </w:tc>
        <w:tc>
          <w:tcPr>
            <w:tcW w:w="104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bottom"/>
          </w:tcPr>
          <w:p w14:paraId="7A6E0B51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Upper respiratory</w:t>
            </w:r>
          </w:p>
        </w:tc>
        <w:tc>
          <w:tcPr>
            <w:tcW w:w="1492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bottom"/>
          </w:tcPr>
          <w:p w14:paraId="4988EA57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Unknown</w:t>
            </w:r>
          </w:p>
        </w:tc>
        <w:tc>
          <w:tcPr>
            <w:tcW w:w="1410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B604C7D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None</w:t>
            </w:r>
          </w:p>
        </w:tc>
      </w:tr>
      <w:tr w14:paraId="68A3F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389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58A82103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13</w:t>
            </w:r>
          </w:p>
        </w:tc>
        <w:tc>
          <w:tcPr>
            <w:tcW w:w="66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bottom"/>
          </w:tcPr>
          <w:p w14:paraId="2C63E603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Male/46</w:t>
            </w:r>
          </w:p>
        </w:tc>
        <w:tc>
          <w:tcPr>
            <w:tcW w:w="104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bottom"/>
          </w:tcPr>
          <w:p w14:paraId="53E9C3FD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Periodontitis</w:t>
            </w:r>
          </w:p>
        </w:tc>
        <w:tc>
          <w:tcPr>
            <w:tcW w:w="1492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bottom"/>
          </w:tcPr>
          <w:p w14:paraId="6CA00983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sz w:val="18"/>
                <w:szCs w:val="18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Unknown</w:t>
            </w:r>
          </w:p>
        </w:tc>
        <w:tc>
          <w:tcPr>
            <w:tcW w:w="1410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A40D293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Tinidazole (oral)</w:t>
            </w:r>
          </w:p>
        </w:tc>
      </w:tr>
      <w:tr w14:paraId="7460A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9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10F92A99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14</w:t>
            </w:r>
          </w:p>
        </w:tc>
        <w:tc>
          <w:tcPr>
            <w:tcW w:w="66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bottom"/>
          </w:tcPr>
          <w:p w14:paraId="72461740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Female/68</w:t>
            </w:r>
          </w:p>
        </w:tc>
        <w:tc>
          <w:tcPr>
            <w:tcW w:w="104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bottom"/>
          </w:tcPr>
          <w:p w14:paraId="3E8DA697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Periodontiti</w:t>
            </w:r>
            <w:r>
              <w:rPr>
                <w:rFonts w:hint="eastAsia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, periodontal abscess</w:t>
            </w:r>
          </w:p>
        </w:tc>
        <w:tc>
          <w:tcPr>
            <w:tcW w:w="1492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bottom"/>
          </w:tcPr>
          <w:p w14:paraId="676C7CB4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Unknown</w:t>
            </w:r>
          </w:p>
        </w:tc>
        <w:tc>
          <w:tcPr>
            <w:tcW w:w="1410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42F419B0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Incision and drainage + antibiotics (unspecified)</w:t>
            </w:r>
          </w:p>
        </w:tc>
      </w:tr>
      <w:tr w14:paraId="25027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9" w:type="pct"/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2E76F0DD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15</w:t>
            </w:r>
          </w:p>
        </w:tc>
        <w:tc>
          <w:tcPr>
            <w:tcW w:w="666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bottom"/>
          </w:tcPr>
          <w:p w14:paraId="0F36E141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Male/54</w:t>
            </w:r>
          </w:p>
        </w:tc>
        <w:tc>
          <w:tcPr>
            <w:tcW w:w="1041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bottom"/>
          </w:tcPr>
          <w:p w14:paraId="483C9E85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lower limb abscesses</w:t>
            </w:r>
          </w:p>
        </w:tc>
        <w:tc>
          <w:tcPr>
            <w:tcW w:w="1492" w:type="pct"/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bottom"/>
          </w:tcPr>
          <w:p w14:paraId="0380717C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Unk</w:t>
            </w:r>
            <w:bookmarkStart w:id="0" w:name="_GoBack"/>
            <w:bookmarkEnd w:id="0"/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nown</w:t>
            </w:r>
          </w:p>
        </w:tc>
        <w:tc>
          <w:tcPr>
            <w:tcW w:w="1410" w:type="pct"/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273DA5C5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Incision and drainage combined with antibiotics (unspecified)</w:t>
            </w:r>
          </w:p>
        </w:tc>
      </w:tr>
      <w:tr w14:paraId="4831E8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89" w:type="pct"/>
            <w:tcBorders>
              <w:bottom w:val="single" w:color="000000" w:sz="12" w:space="0"/>
            </w:tcBorders>
            <w:shd w:val="clear" w:color="auto" w:fill="FFFFFF"/>
            <w:tcMar>
              <w:top w:w="100" w:type="dxa"/>
              <w:left w:w="0" w:type="dxa"/>
              <w:bottom w:w="100" w:type="dxa"/>
              <w:right w:w="160" w:type="dxa"/>
            </w:tcMar>
            <w:vAlign w:val="center"/>
          </w:tcPr>
          <w:p w14:paraId="7FD4A45C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16</w:t>
            </w:r>
          </w:p>
        </w:tc>
        <w:tc>
          <w:tcPr>
            <w:tcW w:w="666" w:type="pct"/>
            <w:tcBorders>
              <w:bottom w:val="single" w:color="000000" w:sz="12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F3EDD1B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Female/40</w:t>
            </w:r>
          </w:p>
        </w:tc>
        <w:tc>
          <w:tcPr>
            <w:tcW w:w="1041" w:type="pct"/>
            <w:tcBorders>
              <w:bottom w:val="single" w:color="000000" w:sz="12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5751A2C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Urinary tract</w:t>
            </w:r>
          </w:p>
        </w:tc>
        <w:tc>
          <w:tcPr>
            <w:tcW w:w="1492" w:type="pct"/>
            <w:tcBorders>
              <w:bottom w:val="single" w:color="000000" w:sz="12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3A89CB40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/>
                <w:iCs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 xml:space="preserve">ESBL-producing E. coli </w:t>
            </w: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(urine culture)</w:t>
            </w:r>
          </w:p>
        </w:tc>
        <w:tc>
          <w:tcPr>
            <w:tcW w:w="1410" w:type="pct"/>
            <w:tcBorders>
              <w:bottom w:val="single" w:color="000000" w:sz="12" w:space="0"/>
            </w:tcBorders>
            <w:shd w:val="clear" w:color="auto" w:fill="FFFFFF"/>
            <w:tcMar>
              <w:top w:w="100" w:type="dxa"/>
              <w:left w:w="160" w:type="dxa"/>
              <w:bottom w:w="100" w:type="dxa"/>
              <w:right w:w="0" w:type="dxa"/>
            </w:tcMar>
            <w:vAlign w:val="center"/>
          </w:tcPr>
          <w:p w14:paraId="74A4EF7B">
            <w:pPr>
              <w:keepNext w:val="0"/>
              <w:keepLines w:val="0"/>
              <w:widowControl/>
              <w:suppressLineNumbers w:val="0"/>
              <w:spacing w:line="250" w:lineRule="atLeast"/>
              <w:jc w:val="center"/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default" w:ascii="Times New Roman" w:hAnsi="Times New Roman" w:eastAsia="Segoe UI" w:cs="Times New Roman"/>
                <w:b w:val="0"/>
                <w:i w:val="0"/>
                <w:iCs w:val="0"/>
                <w:caps w:val="0"/>
                <w:color w:val="000000"/>
                <w:spacing w:val="0"/>
                <w:kern w:val="0"/>
                <w:sz w:val="18"/>
                <w:szCs w:val="18"/>
                <w:lang w:val="en-US" w:eastAsia="zh-CN" w:bidi="ar"/>
              </w:rPr>
              <w:t>Fosfomycin (oral)</w:t>
            </w:r>
          </w:p>
        </w:tc>
      </w:tr>
    </w:tbl>
    <w:p w14:paraId="64EE34EC">
      <w:pPr>
        <w:bidi w:val="0"/>
        <w:spacing w:after="0" w:line="240" w:lineRule="auto"/>
        <w:ind w:firstLine="422" w:firstLineChars="200"/>
        <w:jc w:val="both"/>
        <w:rPr>
          <w:rFonts w:hint="default" w:ascii="Times New Roman" w:hAnsi="Times New Roman" w:eastAsia="宋体" w:cs="Times New Roman"/>
          <w:b w:val="0"/>
          <w:bCs w:val="0"/>
          <w:sz w:val="21"/>
          <w:szCs w:val="21"/>
          <w:lang w:val="en-US" w:eastAsia="zh-CN"/>
          <w14:ligatures w14:val="none"/>
        </w:rPr>
      </w:pP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  <w14:ligatures w14:val="none"/>
        </w:rPr>
        <w:t>Note:</w:t>
      </w:r>
      <w:r>
        <w:rPr>
          <w:rFonts w:hint="eastAsia" w:ascii="Times New Roman" w:hAnsi="Times New Roman" w:eastAsia="宋体" w:cs="Times New Roman"/>
          <w:b w:val="0"/>
          <w:bCs w:val="0"/>
          <w:sz w:val="21"/>
          <w:szCs w:val="21"/>
          <w:lang w:val="en-US" w:eastAsia="zh-CN"/>
          <w14:ligatures w14:val="none"/>
        </w:rPr>
        <w:t>The remaining 14 patients had no evidence of infection. Patients with ‘None’ did not receive specific anti‑infective treatment; only supportive care (e.g., antipyretics) was given.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716B7D"/>
    <w:multiLevelType w:val="multilevel"/>
    <w:tmpl w:val="AE716B7D"/>
    <w:lvl w:ilvl="0" w:tentative="0">
      <w:start w:val="1"/>
      <w:numFmt w:val="chineseCounting"/>
      <w:pStyle w:val="12"/>
      <w:suff w:val="nothing"/>
      <w:lvlText w:val="第%1章 "/>
      <w:lvlJc w:val="left"/>
      <w:pPr>
        <w:tabs>
          <w:tab w:val="left" w:pos="0"/>
        </w:tabs>
        <w:ind w:left="425" w:hanging="425"/>
      </w:pPr>
      <w:rPr>
        <w:rFonts w:hint="eastAsia"/>
      </w:rPr>
    </w:lvl>
    <w:lvl w:ilvl="1" w:tentative="0">
      <w:start w:val="1"/>
      <w:numFmt w:val="decimal"/>
      <w:pStyle w:val="2"/>
      <w:isLgl/>
      <w:suff w:val="nothing"/>
      <w:lvlText w:val="%1.%2　"/>
      <w:lvlJc w:val="left"/>
      <w:pPr>
        <w:tabs>
          <w:tab w:val="left" w:pos="420"/>
        </w:tabs>
        <w:ind w:left="0" w:leftChars="0" w:firstLine="0" w:firstLineChars="0"/>
      </w:pPr>
      <w:rPr>
        <w:rFonts w:hint="eastAsia"/>
      </w:rPr>
    </w:lvl>
    <w:lvl w:ilvl="2" w:tentative="0">
      <w:start w:val="1"/>
      <w:numFmt w:val="decimal"/>
      <w:isLgl/>
      <w:suff w:val="nothing"/>
      <w:lvlText w:val="%1.%2.%3　"/>
      <w:lvlJc w:val="left"/>
      <w:pPr>
        <w:tabs>
          <w:tab w:val="left" w:pos="420"/>
        </w:tabs>
        <w:ind w:left="0" w:leftChars="0" w:firstLine="0" w:firstLineChars="0"/>
      </w:pPr>
      <w:rPr>
        <w:rFonts w:hint="eastAsia"/>
      </w:rPr>
    </w:lvl>
    <w:lvl w:ilvl="3" w:tentative="0">
      <w:start w:val="1"/>
      <w:numFmt w:val="decimal"/>
      <w:isLgl/>
      <w:suff w:val="nothing"/>
      <w:lvlText w:val="%1.%2.%3.%4　"/>
      <w:lvlJc w:val="left"/>
      <w:pPr>
        <w:tabs>
          <w:tab w:val="left" w:pos="420"/>
        </w:tabs>
        <w:ind w:left="0" w:leftChars="0" w:firstLine="0" w:firstLineChars="0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991" w:hanging="991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75" w:hanging="1275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58" w:hanging="1558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657C68"/>
    <w:rsid w:val="01750714"/>
    <w:rsid w:val="01E730A7"/>
    <w:rsid w:val="02450560"/>
    <w:rsid w:val="039B7153"/>
    <w:rsid w:val="04564EA3"/>
    <w:rsid w:val="05165FD0"/>
    <w:rsid w:val="060F5CAC"/>
    <w:rsid w:val="07DC056F"/>
    <w:rsid w:val="07EA26F0"/>
    <w:rsid w:val="089821D5"/>
    <w:rsid w:val="08AA6A78"/>
    <w:rsid w:val="09D8354C"/>
    <w:rsid w:val="0A4218E2"/>
    <w:rsid w:val="0A561DAC"/>
    <w:rsid w:val="0B311055"/>
    <w:rsid w:val="0B3A262A"/>
    <w:rsid w:val="0BB10241"/>
    <w:rsid w:val="0BE15412"/>
    <w:rsid w:val="0C6D72D4"/>
    <w:rsid w:val="0CCF0902"/>
    <w:rsid w:val="0D6F4E9B"/>
    <w:rsid w:val="0E5010B0"/>
    <w:rsid w:val="0F3E56C9"/>
    <w:rsid w:val="0FDE7608"/>
    <w:rsid w:val="10714D9C"/>
    <w:rsid w:val="10810DC9"/>
    <w:rsid w:val="10B249DD"/>
    <w:rsid w:val="111B68DB"/>
    <w:rsid w:val="12CF08ED"/>
    <w:rsid w:val="15B316E0"/>
    <w:rsid w:val="15EA5524"/>
    <w:rsid w:val="170C59B1"/>
    <w:rsid w:val="172A32E0"/>
    <w:rsid w:val="17D51737"/>
    <w:rsid w:val="18D079E2"/>
    <w:rsid w:val="199F3F4E"/>
    <w:rsid w:val="1B1B3A1F"/>
    <w:rsid w:val="1B3D4A90"/>
    <w:rsid w:val="1C396ABD"/>
    <w:rsid w:val="1C821A46"/>
    <w:rsid w:val="1D195EE4"/>
    <w:rsid w:val="1D5310C2"/>
    <w:rsid w:val="1F411DB6"/>
    <w:rsid w:val="1F6956C3"/>
    <w:rsid w:val="1FAA01F3"/>
    <w:rsid w:val="202715BF"/>
    <w:rsid w:val="208903F2"/>
    <w:rsid w:val="21292634"/>
    <w:rsid w:val="2156689F"/>
    <w:rsid w:val="21A455BC"/>
    <w:rsid w:val="21D5501C"/>
    <w:rsid w:val="23351C2B"/>
    <w:rsid w:val="237268F0"/>
    <w:rsid w:val="245D6EB8"/>
    <w:rsid w:val="24B60A02"/>
    <w:rsid w:val="257135F3"/>
    <w:rsid w:val="25CA54D6"/>
    <w:rsid w:val="272325C6"/>
    <w:rsid w:val="27712B78"/>
    <w:rsid w:val="277C60A9"/>
    <w:rsid w:val="28FB305F"/>
    <w:rsid w:val="2A085B28"/>
    <w:rsid w:val="2A1275C0"/>
    <w:rsid w:val="2A5F641C"/>
    <w:rsid w:val="2A656D79"/>
    <w:rsid w:val="2AED28A3"/>
    <w:rsid w:val="2B6039AD"/>
    <w:rsid w:val="2C043C8F"/>
    <w:rsid w:val="2CE45D9B"/>
    <w:rsid w:val="2CF82F5C"/>
    <w:rsid w:val="2D5F49DE"/>
    <w:rsid w:val="2D990D8E"/>
    <w:rsid w:val="2E7027D3"/>
    <w:rsid w:val="2ECC15FB"/>
    <w:rsid w:val="304B36F9"/>
    <w:rsid w:val="314B23F0"/>
    <w:rsid w:val="315C0C7F"/>
    <w:rsid w:val="3266342D"/>
    <w:rsid w:val="327F4EA1"/>
    <w:rsid w:val="334C6368"/>
    <w:rsid w:val="33A4437A"/>
    <w:rsid w:val="34237C06"/>
    <w:rsid w:val="3425141D"/>
    <w:rsid w:val="35390836"/>
    <w:rsid w:val="36275512"/>
    <w:rsid w:val="36445C07"/>
    <w:rsid w:val="36595A3B"/>
    <w:rsid w:val="369D5BA4"/>
    <w:rsid w:val="375E775E"/>
    <w:rsid w:val="37BA1779"/>
    <w:rsid w:val="383E3166"/>
    <w:rsid w:val="389B74DD"/>
    <w:rsid w:val="392B46CC"/>
    <w:rsid w:val="3938772F"/>
    <w:rsid w:val="39865DD2"/>
    <w:rsid w:val="3A3F11B0"/>
    <w:rsid w:val="3A96223A"/>
    <w:rsid w:val="3AFA763B"/>
    <w:rsid w:val="3B58573B"/>
    <w:rsid w:val="3C922D97"/>
    <w:rsid w:val="3D0F3432"/>
    <w:rsid w:val="3E4B4F61"/>
    <w:rsid w:val="40477F8D"/>
    <w:rsid w:val="40515937"/>
    <w:rsid w:val="40C37274"/>
    <w:rsid w:val="41AD4AD5"/>
    <w:rsid w:val="41E711D0"/>
    <w:rsid w:val="420573B7"/>
    <w:rsid w:val="42582E1B"/>
    <w:rsid w:val="4339457A"/>
    <w:rsid w:val="437F16C7"/>
    <w:rsid w:val="444569C6"/>
    <w:rsid w:val="447B3507"/>
    <w:rsid w:val="451864CF"/>
    <w:rsid w:val="45814DB1"/>
    <w:rsid w:val="459F5006"/>
    <w:rsid w:val="45BE15A0"/>
    <w:rsid w:val="46181BBF"/>
    <w:rsid w:val="46453C83"/>
    <w:rsid w:val="46462EB9"/>
    <w:rsid w:val="46DE3850"/>
    <w:rsid w:val="46FE204E"/>
    <w:rsid w:val="471B5418"/>
    <w:rsid w:val="47AC7BCE"/>
    <w:rsid w:val="48A63B37"/>
    <w:rsid w:val="49B24E8E"/>
    <w:rsid w:val="49D10D16"/>
    <w:rsid w:val="4B946B56"/>
    <w:rsid w:val="4BB72A1F"/>
    <w:rsid w:val="4BC236F2"/>
    <w:rsid w:val="4BD7045F"/>
    <w:rsid w:val="4C950AFB"/>
    <w:rsid w:val="4C9E6353"/>
    <w:rsid w:val="4CA706AC"/>
    <w:rsid w:val="4CA802E5"/>
    <w:rsid w:val="4CE0502F"/>
    <w:rsid w:val="4D113799"/>
    <w:rsid w:val="4D3D59BB"/>
    <w:rsid w:val="4D6058CD"/>
    <w:rsid w:val="4DE727D5"/>
    <w:rsid w:val="4E0F5AB9"/>
    <w:rsid w:val="4E657C68"/>
    <w:rsid w:val="4F173A80"/>
    <w:rsid w:val="4F715909"/>
    <w:rsid w:val="4FD617EF"/>
    <w:rsid w:val="50A5069F"/>
    <w:rsid w:val="51824655"/>
    <w:rsid w:val="51A10DB5"/>
    <w:rsid w:val="5216686D"/>
    <w:rsid w:val="52630765"/>
    <w:rsid w:val="535D458C"/>
    <w:rsid w:val="53946155"/>
    <w:rsid w:val="53F32429"/>
    <w:rsid w:val="54430A6A"/>
    <w:rsid w:val="553B0FC7"/>
    <w:rsid w:val="55F951B1"/>
    <w:rsid w:val="5613681B"/>
    <w:rsid w:val="56ED5A9C"/>
    <w:rsid w:val="57344A4C"/>
    <w:rsid w:val="581F7EBD"/>
    <w:rsid w:val="584053C1"/>
    <w:rsid w:val="58BC12D1"/>
    <w:rsid w:val="59F735E0"/>
    <w:rsid w:val="5B357625"/>
    <w:rsid w:val="5B977FC2"/>
    <w:rsid w:val="5C39135F"/>
    <w:rsid w:val="5C64095E"/>
    <w:rsid w:val="5CC813CE"/>
    <w:rsid w:val="5DB010D6"/>
    <w:rsid w:val="5E7F147B"/>
    <w:rsid w:val="5E900FBD"/>
    <w:rsid w:val="5E9F1154"/>
    <w:rsid w:val="5ECB2DCC"/>
    <w:rsid w:val="5ED02A4B"/>
    <w:rsid w:val="5F526256"/>
    <w:rsid w:val="5FA5439E"/>
    <w:rsid w:val="5FF224D8"/>
    <w:rsid w:val="608B73BF"/>
    <w:rsid w:val="60B55977"/>
    <w:rsid w:val="631A2BCA"/>
    <w:rsid w:val="632D31F3"/>
    <w:rsid w:val="651341BA"/>
    <w:rsid w:val="65C52E2E"/>
    <w:rsid w:val="67420D4B"/>
    <w:rsid w:val="67EB40CC"/>
    <w:rsid w:val="68DF7FA4"/>
    <w:rsid w:val="68E55969"/>
    <w:rsid w:val="691146F6"/>
    <w:rsid w:val="691511F6"/>
    <w:rsid w:val="69525CD8"/>
    <w:rsid w:val="695A773C"/>
    <w:rsid w:val="69D91C48"/>
    <w:rsid w:val="6A412BF0"/>
    <w:rsid w:val="6AB66822"/>
    <w:rsid w:val="6B2438E1"/>
    <w:rsid w:val="6B2E609A"/>
    <w:rsid w:val="6C71723A"/>
    <w:rsid w:val="6C751860"/>
    <w:rsid w:val="6C844A58"/>
    <w:rsid w:val="6D2B533D"/>
    <w:rsid w:val="6D9936E2"/>
    <w:rsid w:val="6E663E8C"/>
    <w:rsid w:val="6F9E6F2E"/>
    <w:rsid w:val="70DB7F5A"/>
    <w:rsid w:val="70E22BC8"/>
    <w:rsid w:val="714E10CF"/>
    <w:rsid w:val="723026B2"/>
    <w:rsid w:val="72F35A76"/>
    <w:rsid w:val="73A33752"/>
    <w:rsid w:val="74594498"/>
    <w:rsid w:val="75E251E3"/>
    <w:rsid w:val="76BC5F55"/>
    <w:rsid w:val="77545533"/>
    <w:rsid w:val="77D8357D"/>
    <w:rsid w:val="787D587A"/>
    <w:rsid w:val="78895AD2"/>
    <w:rsid w:val="798F591C"/>
    <w:rsid w:val="7A1F7413"/>
    <w:rsid w:val="7AE92F8D"/>
    <w:rsid w:val="7CA47DD9"/>
    <w:rsid w:val="7CEA0EC5"/>
    <w:rsid w:val="7CEF6BED"/>
    <w:rsid w:val="7D4819DF"/>
    <w:rsid w:val="7D9D6C3A"/>
    <w:rsid w:val="7E201BE2"/>
    <w:rsid w:val="7EAB2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1"/>
        <w:numId w:val="1"/>
      </w:numPr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eader"/>
    <w:basedOn w:val="1"/>
    <w:link w:val="11"/>
    <w:qFormat/>
    <w:uiPriority w:val="0"/>
    <w:pPr>
      <w:pBdr>
        <w:top w:val="none" w:color="auto" w:sz="0" w:space="1"/>
        <w:left w:val="none" w:color="auto" w:sz="0" w:space="4"/>
        <w:bottom w:val="single" w:color="auto" w:sz="4" w:space="0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="Times New Roman" w:hAnsi="Times New Roman" w:eastAsia="宋体"/>
      <w:sz w:val="21"/>
      <w:szCs w:val="21"/>
      <w14:ligatures w14:val="standardContextual"/>
    </w:rPr>
  </w:style>
  <w:style w:type="paragraph" w:styleId="4">
    <w:name w:val="Normal (Web)"/>
    <w:basedOn w:val="1"/>
    <w:uiPriority w:val="0"/>
    <w:rPr>
      <w:sz w:val="24"/>
    </w:rPr>
  </w:style>
  <w:style w:type="table" w:styleId="6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表格"/>
    <w:basedOn w:val="1"/>
    <w:qFormat/>
    <w:uiPriority w:val="0"/>
    <w:pPr>
      <w:spacing w:before="60" w:after="60" w:line="240" w:lineRule="auto"/>
      <w:ind w:firstLine="0" w:firstLineChars="0"/>
    </w:pPr>
    <w:rPr>
      <w:rFonts w:ascii="Times New Roman" w:hAnsi="Times New Roman" w:eastAsia="宋体"/>
      <w:sz w:val="22"/>
      <w:szCs w:val="22"/>
      <w14:ligatures w14:val="standardContextual"/>
    </w:rPr>
  </w:style>
  <w:style w:type="paragraph" w:customStyle="1" w:styleId="9">
    <w:name w:val="图名"/>
    <w:basedOn w:val="1"/>
    <w:qFormat/>
    <w:uiPriority w:val="0"/>
    <w:pPr>
      <w:spacing w:before="240" w:after="120" w:line="240" w:lineRule="auto"/>
      <w:ind w:firstLine="0" w:firstLineChars="0"/>
      <w:jc w:val="center"/>
    </w:pPr>
    <w:rPr>
      <w:rFonts w:ascii="Times New Roman" w:hAnsi="Times New Roman" w:eastAsia="宋体"/>
      <w:sz w:val="22"/>
      <w14:ligatures w14:val="standardContextual"/>
    </w:rPr>
  </w:style>
  <w:style w:type="paragraph" w:customStyle="1" w:styleId="10">
    <w:name w:val="EndNote Bibliography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bidi w:val="0"/>
      <w:spacing w:before="60" w:line="320" w:lineRule="exact"/>
      <w:ind w:left="2530" w:leftChars="0" w:hanging="2530" w:hangingChars="3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  <w14:ligatures w14:val="standardContextual"/>
    </w:rPr>
  </w:style>
  <w:style w:type="character" w:customStyle="1" w:styleId="11">
    <w:name w:val="页眉 字符"/>
    <w:link w:val="3"/>
    <w:qFormat/>
    <w:uiPriority w:val="99"/>
    <w:rPr>
      <w:rFonts w:ascii="Times New Roman" w:hAnsi="Times New Roman" w:eastAsia="宋体" w:cstheme="minorBidi"/>
      <w:kern w:val="2"/>
      <w:sz w:val="21"/>
      <w:szCs w:val="21"/>
      <w:lang w:val="en-US" w:eastAsia="zh-CN" w:bidi="ar-SA"/>
      <w14:ligatures w14:val="standardContextual"/>
    </w:rPr>
  </w:style>
  <w:style w:type="paragraph" w:customStyle="1" w:styleId="12">
    <w:name w:val="章节标题"/>
    <w:basedOn w:val="1"/>
    <w:qFormat/>
    <w:uiPriority w:val="0"/>
    <w:pPr>
      <w:numPr>
        <w:ilvl w:val="0"/>
        <w:numId w:val="1"/>
      </w:numPr>
      <w:adjustRightInd/>
      <w:spacing w:before="480" w:after="360" w:line="240" w:lineRule="auto"/>
      <w:ind w:left="0" w:firstLine="0" w:firstLineChars="0"/>
      <w:contextualSpacing/>
      <w:jc w:val="center"/>
      <w:outlineLvl w:val="0"/>
    </w:pPr>
    <w:rPr>
      <w:rFonts w:ascii="黑体" w:hAnsi="黑体" w:eastAsia="黑体" w:cs="黑体"/>
      <w:spacing w:val="-11"/>
      <w:kern w:val="28"/>
      <w:sz w:val="32"/>
      <w:szCs w:val="3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172</Words>
  <Characters>1206</Characters>
  <Lines>0</Lines>
  <Paragraphs>0</Paragraphs>
  <TotalTime>4</TotalTime>
  <ScaleCrop>false</ScaleCrop>
  <LinksUpToDate>false</LinksUpToDate>
  <CharactersWithSpaces>1287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2026-06-02T18:30:00Z</dcterms:created>
  <dc:creator>钟俊峰</dc:creator>
  <cp:lastModifiedBy>钟俊峰</cp:lastModifiedBy>
  <dcterms:modified xsi:type="dcterms:W3CDTF">2026-06-06T16:19:10Z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E0BA476AA9F2415097136E414670AD27_13</vt:lpwstr>
  </property>
  <property fmtid="{D5CDD505-2E9C-101B-9397-08002B2CF9AE}" pid="4" name="KSOTemplateDocerSaveRecord">
    <vt:lpwstr>eyJoZGlkIjoiMDM4ZjQ0ZTM5MmYwMDNjMjg3YzY0NmQzOTlkYjU4YWYiLCJ1c2VySWQiOiIxNzUzMjY4Nzc0In0=</vt:lpwstr>
  </property>
</Properties>
</file>