
<file path=[Content_Types].xml><?xml version="1.0" encoding="utf-8"?>
<Types xmlns="http://schemas.openxmlformats.org/package/2006/content-types"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92862">
      <w:pPr>
        <w:pStyle w:val="8"/>
        <w:outlineLvl w:val="0"/>
        <w:rPr>
          <w:rFonts w:hint="default" w:ascii="Times New Roman" w:hAnsi="Times New Roman" w:cs="Times New Roman"/>
          <w:b/>
          <w:sz w:val="32"/>
        </w:rPr>
      </w:pPr>
      <w:r>
        <w:rPr>
          <w:rFonts w:hint="default" w:ascii="Times New Roman" w:hAnsi="Times New Roman" w:cs="Times New Roman"/>
          <w:b/>
          <w:sz w:val="32"/>
        </w:rPr>
        <w:t>Su</w:t>
      </w:r>
      <w:r>
        <w:rPr>
          <w:rFonts w:hint="default" w:ascii="Times New Roman" w:hAnsi="Times New Roman" w:eastAsia="Times New Roman" w:cs="Times New Roman"/>
          <w:b/>
          <w:sz w:val="32"/>
        </w:rPr>
        <w:t xml:space="preserve">pplementary </w:t>
      </w:r>
      <w:r>
        <w:rPr>
          <w:rFonts w:hint="eastAsia" w:ascii="Times New Roman" w:hAnsi="Times New Roman" w:eastAsia="Times New Roman" w:cs="Times New Roman"/>
          <w:b/>
          <w:sz w:val="32"/>
        </w:rPr>
        <w:t>F</w:t>
      </w:r>
      <w:r>
        <w:rPr>
          <w:rFonts w:hint="default" w:ascii="Times New Roman" w:hAnsi="Times New Roman" w:eastAsia="Times New Roman" w:cs="Times New Roman"/>
          <w:b/>
          <w:sz w:val="32"/>
        </w:rPr>
        <w:t>iles</w:t>
      </w:r>
    </w:p>
    <w:p w14:paraId="669DF71B">
      <w:pPr>
        <w:pStyle w:val="8"/>
        <w:outlineLvl w:val="0"/>
        <w:rPr>
          <w:rFonts w:hint="default" w:ascii="Times New Roman" w:hAnsi="Times New Roman" w:cs="Times New Roman"/>
          <w:b/>
          <w:sz w:val="28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sz w:val="28"/>
          <w:szCs w:val="22"/>
          <w:lang w:val="en-US" w:eastAsia="zh-CN"/>
        </w:rPr>
        <w:t>S</w:t>
      </w:r>
      <w:r>
        <w:rPr>
          <w:rFonts w:hint="eastAsia" w:cs="Times New Roman"/>
          <w:b/>
          <w:sz w:val="28"/>
          <w:szCs w:val="22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sz w:val="28"/>
          <w:szCs w:val="22"/>
          <w:lang w:val="en-US" w:eastAsia="zh-CN"/>
        </w:rPr>
        <w:t xml:space="preserve">  Search strategy for databases</w:t>
      </w:r>
    </w:p>
    <w:p w14:paraId="3C5D076E">
      <w:pPr>
        <w:widowControl/>
        <w:ind w:left="0" w:leftChars="0" w:firstLine="0" w:firstLineChars="0"/>
        <w:jc w:val="left"/>
        <w:rPr>
          <w:rFonts w:hint="default" w:ascii="Times New Roman" w:hAnsi="Times New Roman" w:eastAsia="Times New Roman" w:cs="Times New Roman"/>
          <w:b/>
          <w:kern w:val="2"/>
          <w:sz w:val="28"/>
          <w:szCs w:val="22"/>
          <w:lang w:val="en-US" w:eastAsia="zh-CN" w:bidi="ar-SA"/>
        </w:rPr>
      </w:pPr>
      <w:r>
        <w:rPr>
          <w:rFonts w:hint="default" w:ascii="Times New Roman" w:hAnsi="Times New Roman" w:cs="Times New Roman"/>
          <w:b/>
          <w:sz w:val="28"/>
          <w:szCs w:val="22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sz w:val="28"/>
          <w:szCs w:val="22"/>
          <w:lang w:val="en-US" w:eastAsia="zh-CN"/>
        </w:rPr>
        <w:t>2</w:t>
      </w:r>
      <w:r>
        <w:rPr>
          <w:rFonts w:hint="default" w:ascii="Times New Roman" w:hAnsi="Times New Roman" w:eastAsia="Times New Roman" w:cs="Times New Roman"/>
          <w:b/>
          <w:kern w:val="2"/>
          <w:sz w:val="28"/>
          <w:szCs w:val="22"/>
          <w:lang w:val="en-US" w:eastAsia="zh-CN" w:bidi="ar-SA"/>
        </w:rPr>
        <w:t xml:space="preserve">  Baseline characteristics of the study </w:t>
      </w:r>
      <w:r>
        <w:rPr>
          <w:rFonts w:hint="eastAsia" w:ascii="Times New Roman" w:hAnsi="Times New Roman" w:cs="Times New Roman"/>
          <w:b/>
          <w:kern w:val="2"/>
          <w:sz w:val="28"/>
          <w:szCs w:val="22"/>
          <w:lang w:val="en-US" w:eastAsia="zh-CN" w:bidi="ar-SA"/>
        </w:rPr>
        <w:t>patient</w:t>
      </w:r>
      <w:r>
        <w:rPr>
          <w:rFonts w:hint="default" w:ascii="Times New Roman" w:hAnsi="Times New Roman" w:eastAsia="Times New Roman" w:cs="Times New Roman"/>
          <w:b/>
          <w:kern w:val="2"/>
          <w:sz w:val="28"/>
          <w:szCs w:val="22"/>
          <w:lang w:val="en-US" w:eastAsia="zh-CN" w:bidi="ar-SA"/>
        </w:rPr>
        <w:t xml:space="preserve">s </w:t>
      </w:r>
    </w:p>
    <w:p w14:paraId="5461AFAF">
      <w:pPr>
        <w:widowControl/>
        <w:ind w:left="0" w:leftChars="0" w:firstLine="0" w:firstLineChars="0"/>
        <w:jc w:val="left"/>
        <w:rPr>
          <w:rFonts w:hint="default" w:ascii="Times New Roman" w:hAnsi="Times New Roman" w:eastAsia="Times New Roman" w:cs="Times New Roman"/>
          <w:b/>
          <w:kern w:val="2"/>
          <w:sz w:val="28"/>
          <w:szCs w:val="22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/>
          <w:kern w:val="2"/>
          <w:sz w:val="28"/>
          <w:szCs w:val="22"/>
          <w:lang w:val="en-US" w:eastAsia="zh-CN" w:bidi="ar-SA"/>
        </w:rPr>
        <w:t>S</w:t>
      </w:r>
      <w:r>
        <w:rPr>
          <w:rFonts w:hint="eastAsia" w:ascii="Times New Roman" w:hAnsi="Times New Roman" w:cs="Times New Roman"/>
          <w:b/>
          <w:kern w:val="2"/>
          <w:sz w:val="28"/>
          <w:szCs w:val="22"/>
          <w:lang w:val="en-US" w:eastAsia="zh-CN" w:bidi="ar-SA"/>
        </w:rPr>
        <w:t>3</w:t>
      </w:r>
      <w:r>
        <w:rPr>
          <w:rFonts w:hint="default" w:ascii="Times New Roman" w:hAnsi="Times New Roman" w:cs="Times New Roman"/>
          <w:b/>
          <w:kern w:val="2"/>
          <w:sz w:val="28"/>
          <w:szCs w:val="22"/>
          <w:lang w:val="en-US" w:eastAsia="zh-CN" w:bidi="ar-SA"/>
        </w:rPr>
        <w:t xml:space="preserve"> </w:t>
      </w:r>
      <w:r>
        <w:rPr>
          <w:rFonts w:hint="default" w:ascii="Times New Roman" w:hAnsi="Times New Roman" w:eastAsia="Times New Roman" w:cs="Times New Roman"/>
          <w:b/>
          <w:kern w:val="2"/>
          <w:sz w:val="28"/>
          <w:szCs w:val="22"/>
          <w:lang w:val="en-US" w:eastAsia="zh-CN" w:bidi="ar-SA"/>
        </w:rPr>
        <w:t xml:space="preserve"> </w:t>
      </w:r>
      <w:r>
        <w:rPr>
          <w:rFonts w:hint="eastAsia" w:ascii="Times New Roman" w:hAnsi="Times New Roman" w:eastAsia="Times New Roman" w:cs="Times New Roman"/>
          <w:b/>
          <w:kern w:val="2"/>
          <w:sz w:val="28"/>
          <w:szCs w:val="22"/>
          <w:lang w:val="en-US" w:eastAsia="zh-CN" w:bidi="ar-SA"/>
        </w:rPr>
        <w:t>Supplementary cha</w:t>
      </w:r>
      <w:r>
        <w:rPr>
          <w:rFonts w:hint="eastAsia" w:ascii="Times New Roman" w:hAnsi="Times New Roman" w:eastAsia="Times New Roman" w:cs="Times New Roman"/>
          <w:b/>
          <w:sz w:val="28"/>
          <w:szCs w:val="22"/>
          <w:lang w:val="en-US" w:eastAsia="zh-CN"/>
        </w:rPr>
        <w:t>racteristics of studies included for diagnostic meta-analysis</w:t>
      </w:r>
    </w:p>
    <w:p w14:paraId="2F1D3075">
      <w:pPr>
        <w:widowControl/>
        <w:ind w:left="0" w:leftChars="0" w:firstLine="0" w:firstLineChars="0"/>
        <w:jc w:val="left"/>
        <w:rPr>
          <w:rFonts w:hint="default" w:ascii="Times New Roman" w:hAnsi="Times New Roman" w:eastAsia="Times New Roman" w:cs="Times New Roman"/>
          <w:b/>
          <w:kern w:val="2"/>
          <w:sz w:val="28"/>
          <w:szCs w:val="22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/>
          <w:kern w:val="2"/>
          <w:sz w:val="28"/>
          <w:szCs w:val="22"/>
          <w:lang w:val="en-US" w:eastAsia="zh-CN" w:bidi="ar-SA"/>
        </w:rPr>
        <w:t>S</w:t>
      </w:r>
      <w:r>
        <w:rPr>
          <w:rFonts w:hint="eastAsia" w:ascii="Times New Roman" w:hAnsi="Times New Roman" w:cs="Times New Roman"/>
          <w:b/>
          <w:kern w:val="2"/>
          <w:sz w:val="28"/>
          <w:szCs w:val="22"/>
          <w:lang w:val="en-US" w:eastAsia="zh-CN" w:bidi="ar-SA"/>
        </w:rPr>
        <w:t>4</w:t>
      </w:r>
      <w:r>
        <w:rPr>
          <w:rFonts w:hint="default" w:ascii="Times New Roman" w:hAnsi="Times New Roman" w:eastAsia="Times New Roman" w:cs="Times New Roman"/>
          <w:b/>
          <w:kern w:val="2"/>
          <w:sz w:val="28"/>
          <w:szCs w:val="22"/>
          <w:lang w:val="en-US" w:eastAsia="zh-CN" w:bidi="ar-SA"/>
        </w:rPr>
        <w:t xml:space="preserve">  Quality assessment of the included studies</w:t>
      </w:r>
    </w:p>
    <w:p w14:paraId="7F89562A">
      <w:pPr>
        <w:widowControl/>
        <w:ind w:left="840" w:leftChars="0" w:hanging="840" w:hangingChars="300"/>
        <w:jc w:val="left"/>
        <w:rPr>
          <w:rFonts w:hint="default" w:ascii="Times New Roman" w:hAnsi="Times New Roman" w:cs="Times New Roman"/>
          <w:b/>
          <w:kern w:val="2"/>
          <w:sz w:val="28"/>
          <w:szCs w:val="22"/>
          <w:lang w:val="en-US" w:eastAsia="zh-CN" w:bidi="ar-SA"/>
        </w:rPr>
      </w:pPr>
      <w:r>
        <w:rPr>
          <w:rFonts w:hint="eastAsia" w:ascii="Times New Roman" w:hAnsi="Times New Roman" w:cs="Times New Roman"/>
          <w:b/>
          <w:kern w:val="2"/>
          <w:sz w:val="28"/>
          <w:szCs w:val="22"/>
          <w:lang w:val="en-US" w:eastAsia="zh-CN" w:bidi="ar-SA"/>
        </w:rPr>
        <w:t>S5  Pooled analysis of KIM-1 levels between patients with persistent severe AKI and controls</w:t>
      </w:r>
    </w:p>
    <w:p w14:paraId="26AAFD19">
      <w:pPr>
        <w:widowControl/>
        <w:ind w:left="840" w:leftChars="0" w:hanging="840" w:hangingChars="300"/>
        <w:jc w:val="left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b/>
          <w:kern w:val="2"/>
          <w:sz w:val="28"/>
          <w:szCs w:val="22"/>
          <w:lang w:val="en-US" w:eastAsia="zh-CN" w:bidi="ar-SA"/>
        </w:rPr>
        <w:t>S6  Sensitivity Analyses</w:t>
      </w:r>
    </w:p>
    <w:p w14:paraId="05E01A59">
      <w:pPr>
        <w:pStyle w:val="8"/>
        <w:outlineLvl w:val="0"/>
        <w:rPr>
          <w:rFonts w:hint="default" w:ascii="Times New Roman" w:hAnsi="Times New Roman" w:cs="Times New Roman"/>
          <w:b/>
          <w:sz w:val="28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sz w:val="28"/>
          <w:szCs w:val="22"/>
          <w:lang w:val="en-US" w:eastAsia="zh-CN"/>
        </w:rPr>
        <w:t>S</w:t>
      </w:r>
      <w:r>
        <w:rPr>
          <w:rFonts w:hint="eastAsia" w:cs="Times New Roman"/>
          <w:b/>
          <w:sz w:val="28"/>
          <w:szCs w:val="22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sz w:val="28"/>
          <w:szCs w:val="22"/>
          <w:lang w:val="en-US" w:eastAsia="zh-CN"/>
        </w:rPr>
        <w:t xml:space="preserve">  Search strategy for databases</w:t>
      </w:r>
    </w:p>
    <w:p w14:paraId="368E884D">
      <w:pPr>
        <w:pStyle w:val="8"/>
        <w:outlineLvl w:val="0"/>
        <w:rPr>
          <w:rFonts w:hint="default" w:ascii="Times New Roman" w:hAnsi="Times New Roman" w:cs="Times New Roman"/>
          <w:b/>
          <w:sz w:val="28"/>
          <w:szCs w:val="22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5"/>
        <w:gridCol w:w="5216"/>
        <w:gridCol w:w="1281"/>
      </w:tblGrid>
      <w:tr w14:paraId="5CA9D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673DE2"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 w:eastAsiaTheme="minorEastAsia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lang w:bidi="ar"/>
              </w:rPr>
              <w:t>Database</w:t>
            </w:r>
          </w:p>
        </w:tc>
        <w:tc>
          <w:tcPr>
            <w:tcW w:w="5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ABBE71"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lang w:bidi="ar"/>
              </w:rPr>
              <w:t>Search strategy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7ABEBE"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lang w:bidi="ar"/>
              </w:rPr>
              <w:t>Number of records</w:t>
            </w:r>
          </w:p>
        </w:tc>
      </w:tr>
      <w:tr w14:paraId="488AB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11AF1D"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lang w:bidi="ar"/>
              </w:rPr>
              <w:t>PubMed</w:t>
            </w:r>
          </w:p>
        </w:tc>
        <w:tc>
          <w:tcPr>
            <w:tcW w:w="5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7D21A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cs="Times New Roman" w:eastAsiaTheme="minorEastAsi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shd w:val="clear" w:color="auto" w:fill="FFFFFF"/>
                <w:lang w:bidi="ar"/>
              </w:rPr>
              <w:t>(‘kidney injury molecule-1’[Title/Abstract] OR ‘KIM-1’[Title/Abstract]) AND (‘acute kidney injury’[MeSH Terms] OR ‘acute kidney injury’[Title/Abstract] OR ‘AKI’[Title/Abstract] OR ‘acute renal failure’[Title/Abstract] OR ‘acute renal insufficiency’[MeSH Terms] OR ‘acute tubular necrosis’[Title/Abstract] OR ‘renal dysfunction’[Title/Abstract] OR ‘kidney injury’[Title/Abstract])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2958A"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lang w:bidi="ar"/>
              </w:rPr>
              <w:t>3111</w:t>
            </w:r>
          </w:p>
        </w:tc>
      </w:tr>
      <w:tr w14:paraId="4116A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A0264"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 w:eastAsiaTheme="minorEastAsia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lang w:bidi="ar"/>
              </w:rPr>
              <w:t>Web of Science</w:t>
            </w:r>
          </w:p>
        </w:tc>
        <w:tc>
          <w:tcPr>
            <w:tcW w:w="5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AE129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cs="Times New Roman" w:eastAsiaTheme="minorEastAsi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shd w:val="clear" w:color="auto" w:fill="FFFFFF"/>
                <w:lang w:bidi="ar"/>
              </w:rPr>
              <w:t>((TS=(kidney injury molecule-1)) OR (TS=(KIM-1)))AND ((TS=(acute kidney injury)) OR (TS=AKI) OR (TS=(acute renal failure)) OR (TS=(renal insufficiency, acute)) OR (TS=(acute tubular necrosis)) OR (TS=(renal dysfunction)) OR (TS=kidney injury)))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553BD2"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lang w:bidi="ar"/>
              </w:rPr>
              <w:t>4722</w:t>
            </w:r>
          </w:p>
        </w:tc>
      </w:tr>
      <w:tr w14:paraId="3B27B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EBA57F"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lang w:bidi="ar"/>
              </w:rPr>
              <w:t>Embase</w:t>
            </w:r>
          </w:p>
        </w:tc>
        <w:tc>
          <w:tcPr>
            <w:tcW w:w="5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D474E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cs="Times New Roman" w:eastAsiaTheme="minorEastAsi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shd w:val="clear" w:color="auto" w:fill="FFFFFF"/>
                <w:lang w:bidi="ar"/>
              </w:rPr>
              <w:t>#1  'kidney injury molecule-1'/exp OR 'kim-1':ab,ti</w:t>
            </w:r>
          </w:p>
          <w:p w14:paraId="71CED5D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cs="Times New Roman" w:eastAsiaTheme="minorEastAsi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shd w:val="clear" w:color="auto" w:fill="FFFFFF"/>
                <w:lang w:bidi="ar"/>
              </w:rPr>
              <w:t>#2  'acute kidney injury'/exp OR 'AKI':ab,ti OR eras:ab,ti OR 'acute renal failure':ab,ti OR 'acute renal insufficiency':ab,ti OR 'acute tubular necrosis':ab,ti OR 'renal dysfunction':ab,ti</w:t>
            </w:r>
          </w:p>
          <w:p w14:paraId="295154F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shd w:val="clear" w:color="auto" w:fill="FFFFFF"/>
                <w:lang w:bidi="ar"/>
              </w:rPr>
              <w:t>#3  #1 AND #2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843E28"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lang w:bidi="ar"/>
              </w:rPr>
              <w:t>2041</w:t>
            </w:r>
          </w:p>
        </w:tc>
      </w:tr>
      <w:tr w14:paraId="7F422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AF912A"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lang w:bidi="ar"/>
              </w:rPr>
              <w:t>Cochrane Central Register of Controlled Trials</w:t>
            </w:r>
          </w:p>
        </w:tc>
        <w:tc>
          <w:tcPr>
            <w:tcW w:w="5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8BB5E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cs="Times New Roman" w:eastAsiaTheme="minorEastAsi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shd w:val="clear" w:color="auto" w:fill="FFFFFF"/>
                <w:lang w:bidi="ar"/>
              </w:rPr>
              <w:t>#1  (kidney injury molecule-1):ti,ab,kw OR (KIM-1):ti,ab,kw (Word variations have been searched)</w:t>
            </w:r>
          </w:p>
          <w:p w14:paraId="2D5375C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cs="Times New Roman" w:eastAsiaTheme="minorEastAsi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shd w:val="clear" w:color="auto" w:fill="FFFFFF"/>
                <w:lang w:bidi="ar"/>
              </w:rPr>
              <w:t>#2  (acute kidney injury):ti,ab,kw OR (AKI):ti,ab,kw OR (acute renal failure):ti,ab,kw OR (acute renal insufficiency):ti,ab,kw OR (acute tubular necrosis):ti,ab,kw (Word variations have been searched)</w:t>
            </w:r>
          </w:p>
          <w:p w14:paraId="48D9325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cs="Times New Roman" w:eastAsiaTheme="minorEastAsi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shd w:val="clear" w:color="auto" w:fill="FFFFFF"/>
                <w:lang w:bidi="ar"/>
              </w:rPr>
              <w:t>#3  (renal dysfunction):ti,ab,kw OR kidney injury):ti,ab,kw (Word variations have been searched)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shd w:val="clear" w:color="auto" w:fill="FFFFFF"/>
                <w:lang w:bidi="ar"/>
              </w:rPr>
              <w:tab/>
            </w:r>
          </w:p>
          <w:p w14:paraId="5474282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shd w:val="clear" w:color="auto" w:fill="FFFFFF"/>
                <w:lang w:bidi="ar"/>
              </w:rPr>
              <w:t>#4  #1 AND (#2 OR #3)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F0FD7D"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lang w:bidi="ar"/>
              </w:rPr>
              <w:t>377</w:t>
            </w:r>
          </w:p>
        </w:tc>
      </w:tr>
      <w:tr w14:paraId="1BF60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0DA6E6"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lang w:bidi="ar"/>
              </w:rPr>
              <w:t>ClinicalTrails</w:t>
            </w:r>
          </w:p>
        </w:tc>
        <w:tc>
          <w:tcPr>
            <w:tcW w:w="5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89F9D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shd w:val="clear" w:color="auto" w:fill="FFFFFF"/>
                <w:lang w:bidi="ar"/>
              </w:rPr>
              <w:t>((kidney injury molecule-1) OR (kim-1)) AND ((acute kidney injury) OR (acute renal failure))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A48D6"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 w:eastAsiaTheme="minorEastAsia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lang w:bidi="ar"/>
              </w:rPr>
              <w:t>5</w:t>
            </w:r>
          </w:p>
        </w:tc>
      </w:tr>
    </w:tbl>
    <w:p w14:paraId="1E85C20C">
      <w:pPr>
        <w:widowControl/>
        <w:spacing w:before="0" w:after="0" w:line="240" w:lineRule="auto"/>
        <w:ind w:left="0" w:leftChars="0" w:right="0" w:rightChars="0" w:firstLine="0" w:firstLineChars="0"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lang w:bidi="ar"/>
        </w:rPr>
      </w:pPr>
    </w:p>
    <w:p w14:paraId="0AD22788">
      <w:pPr>
        <w:widowControl/>
        <w:spacing w:before="0" w:after="0" w:line="240" w:lineRule="auto"/>
        <w:ind w:left="0" w:leftChars="0" w:right="0" w:rightChars="0" w:firstLine="0" w:firstLineChars="0"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lang w:bidi="ar"/>
        </w:rPr>
      </w:pPr>
    </w:p>
    <w:p w14:paraId="1375C9BA">
      <w:pPr>
        <w:widowControl/>
        <w:spacing w:before="0" w:after="0" w:line="240" w:lineRule="auto"/>
        <w:ind w:left="0" w:leftChars="0" w:right="0" w:rightChars="0" w:firstLine="0" w:firstLineChars="0"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lang w:bidi="ar"/>
        </w:rPr>
      </w:pPr>
    </w:p>
    <w:p w14:paraId="0480B241">
      <w:pPr>
        <w:widowControl/>
        <w:spacing w:before="0" w:after="0" w:line="240" w:lineRule="auto"/>
        <w:ind w:left="0" w:leftChars="0" w:right="0" w:rightChars="0" w:firstLine="0" w:firstLineChars="0"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lang w:bidi="ar"/>
        </w:rPr>
      </w:pPr>
    </w:p>
    <w:p w14:paraId="29615C89">
      <w:pPr>
        <w:widowControl/>
        <w:spacing w:before="0" w:after="0" w:line="240" w:lineRule="auto"/>
        <w:ind w:left="0" w:leftChars="0" w:right="0" w:rightChars="0" w:firstLine="0" w:firstLineChars="0"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lang w:bidi="ar"/>
        </w:rPr>
      </w:pPr>
    </w:p>
    <w:p w14:paraId="47E7BC8F">
      <w:pPr>
        <w:widowControl/>
        <w:spacing w:before="0" w:after="0" w:line="240" w:lineRule="auto"/>
        <w:ind w:left="0" w:leftChars="0" w:right="0" w:rightChars="0" w:firstLine="0" w:firstLineChars="0"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lang w:bidi="ar"/>
        </w:rPr>
      </w:pPr>
    </w:p>
    <w:p w14:paraId="7E344672">
      <w:pPr>
        <w:widowControl/>
        <w:spacing w:before="0" w:after="0" w:line="240" w:lineRule="auto"/>
        <w:ind w:left="0" w:leftChars="0" w:right="0" w:rightChars="0" w:firstLine="0" w:firstLineChars="0"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lang w:bidi="ar"/>
        </w:rPr>
      </w:pPr>
    </w:p>
    <w:p w14:paraId="6FAC3FA7">
      <w:pPr>
        <w:widowControl/>
        <w:spacing w:before="0" w:after="0" w:line="240" w:lineRule="auto"/>
        <w:ind w:left="0" w:leftChars="0" w:right="0" w:rightChars="0" w:firstLine="0" w:firstLineChars="0"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lang w:bidi="ar"/>
        </w:rPr>
      </w:pPr>
    </w:p>
    <w:p w14:paraId="209DDF1B">
      <w:pPr>
        <w:widowControl/>
        <w:spacing w:before="0" w:after="0" w:line="240" w:lineRule="auto"/>
        <w:ind w:left="0" w:leftChars="0" w:right="0" w:rightChars="0" w:firstLine="0" w:firstLineChars="0"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lang w:bidi="ar"/>
        </w:rPr>
      </w:pPr>
    </w:p>
    <w:p w14:paraId="5986A523">
      <w:pPr>
        <w:widowControl/>
        <w:spacing w:before="0" w:after="0" w:line="240" w:lineRule="auto"/>
        <w:ind w:left="0" w:leftChars="0" w:right="0" w:rightChars="0" w:firstLine="0" w:firstLineChars="0"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lang w:bidi="ar"/>
        </w:rPr>
      </w:pPr>
    </w:p>
    <w:p w14:paraId="159F8146">
      <w:pPr>
        <w:widowControl/>
        <w:spacing w:before="0" w:after="0" w:line="240" w:lineRule="auto"/>
        <w:ind w:left="0" w:leftChars="0" w:right="0" w:rightChars="0" w:firstLine="0" w:firstLineChars="0"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lang w:bidi="ar"/>
        </w:rPr>
      </w:pPr>
    </w:p>
    <w:p w14:paraId="4B80B8C7">
      <w:pPr>
        <w:widowControl/>
        <w:spacing w:before="0" w:after="0" w:line="240" w:lineRule="auto"/>
        <w:ind w:left="0" w:leftChars="0" w:right="0" w:rightChars="0" w:firstLine="0" w:firstLineChars="0"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lang w:bidi="ar"/>
        </w:rPr>
      </w:pPr>
    </w:p>
    <w:p w14:paraId="4E678C62">
      <w:pPr>
        <w:widowControl/>
        <w:spacing w:before="0" w:after="0" w:line="240" w:lineRule="auto"/>
        <w:ind w:left="0" w:leftChars="0" w:right="0" w:rightChars="0" w:firstLine="0" w:firstLineChars="0"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lang w:bidi="ar"/>
        </w:rPr>
      </w:pPr>
    </w:p>
    <w:p w14:paraId="491269F0">
      <w:pPr>
        <w:widowControl/>
        <w:spacing w:before="0" w:after="0" w:line="240" w:lineRule="auto"/>
        <w:ind w:left="0" w:leftChars="0" w:right="0" w:rightChars="0" w:firstLine="0" w:firstLineChars="0"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lang w:bidi="ar"/>
        </w:rPr>
      </w:pPr>
    </w:p>
    <w:p w14:paraId="0AA7E885">
      <w:pPr>
        <w:rPr>
          <w:rFonts w:hint="eastAsia" w:ascii="Times New Roman" w:hAnsi="Times New Roman" w:eastAsia="Times New Roman" w:cs="Times New Roman"/>
          <w:b/>
          <w:sz w:val="28"/>
          <w:szCs w:val="22"/>
          <w:lang w:val="en-US" w:eastAsia="zh-CN"/>
        </w:rPr>
      </w:pPr>
      <w:r>
        <w:rPr>
          <w:rFonts w:hint="eastAsia" w:ascii="Times New Roman" w:hAnsi="Times New Roman" w:eastAsia="Times New Roman" w:cs="Times New Roman"/>
          <w:b/>
          <w:sz w:val="28"/>
          <w:szCs w:val="22"/>
          <w:lang w:val="en-US" w:eastAsia="zh-CN"/>
        </w:rPr>
        <w:br w:type="page"/>
      </w:r>
    </w:p>
    <w:p w14:paraId="315DDA6E">
      <w:pPr>
        <w:pStyle w:val="8"/>
        <w:outlineLvl w:val="0"/>
        <w:rPr>
          <w:rFonts w:hint="default" w:ascii="Times New Roman" w:hAnsi="Times New Roman" w:eastAsia="Times New Roman" w:cs="Times New Roman"/>
          <w:b/>
          <w:sz w:val="28"/>
          <w:szCs w:val="22"/>
          <w:lang w:val="en-US" w:eastAsia="zh-CN"/>
        </w:rPr>
      </w:pPr>
      <w:r>
        <w:rPr>
          <w:rFonts w:hint="eastAsia" w:ascii="Times New Roman" w:hAnsi="Times New Roman" w:eastAsia="Times New Roman" w:cs="Times New Roman"/>
          <w:b/>
          <w:sz w:val="28"/>
          <w:szCs w:val="22"/>
          <w:lang w:val="en-US" w:eastAsia="zh-CN"/>
        </w:rPr>
        <w:t>S</w:t>
      </w:r>
      <w:r>
        <w:rPr>
          <w:rFonts w:hint="eastAsia" w:cs="Times New Roman"/>
          <w:b/>
          <w:sz w:val="28"/>
          <w:szCs w:val="22"/>
          <w:lang w:val="en-US" w:eastAsia="zh-CN"/>
        </w:rPr>
        <w:t>2</w:t>
      </w:r>
      <w:r>
        <w:rPr>
          <w:rFonts w:hint="eastAsia" w:ascii="Times New Roman" w:hAnsi="Times New Roman" w:eastAsia="Times New Roman" w:cs="Times New Roman"/>
          <w:b/>
          <w:sz w:val="28"/>
          <w:szCs w:val="22"/>
          <w:lang w:val="en-US" w:eastAsia="zh-CN"/>
        </w:rPr>
        <w:t xml:space="preserve">  Baseline c</w:t>
      </w:r>
      <w:r>
        <w:rPr>
          <w:rFonts w:hint="default" w:ascii="Times New Roman" w:hAnsi="Times New Roman" w:eastAsia="Times New Roman" w:cs="Times New Roman"/>
          <w:b/>
          <w:sz w:val="28"/>
          <w:szCs w:val="22"/>
          <w:lang w:val="en-US" w:eastAsia="zh-CN"/>
        </w:rPr>
        <w:t xml:space="preserve">haracteristics of the study </w:t>
      </w:r>
      <w:r>
        <w:rPr>
          <w:rFonts w:hint="eastAsia" w:cs="Times New Roman"/>
          <w:b/>
          <w:sz w:val="28"/>
          <w:szCs w:val="22"/>
          <w:lang w:val="en-US" w:eastAsia="zh-CN"/>
        </w:rPr>
        <w:t>patien</w:t>
      </w:r>
      <w:r>
        <w:rPr>
          <w:rFonts w:hint="default" w:ascii="Times New Roman" w:hAnsi="Times New Roman" w:eastAsia="Times New Roman" w:cs="Times New Roman"/>
          <w:b/>
          <w:sz w:val="28"/>
          <w:szCs w:val="22"/>
          <w:lang w:val="en-US" w:eastAsia="zh-CN"/>
        </w:rPr>
        <w:t xml:space="preserve">ts </w:t>
      </w:r>
    </w:p>
    <w:p w14:paraId="2203E4CB">
      <w:pPr>
        <w:widowControl/>
        <w:spacing w:before="0" w:after="0" w:line="240" w:lineRule="auto"/>
        <w:ind w:left="0" w:leftChars="0" w:right="0" w:rightChars="0" w:firstLine="0" w:firstLineChars="0"/>
        <w:jc w:val="left"/>
        <w:rPr>
          <w:rFonts w:hint="eastAsia" w:ascii="Times New Roman" w:hAnsi="Times New Roman" w:cs="Times New Roman" w:eastAsiaTheme="minorEastAsia"/>
          <w:b/>
          <w:bCs/>
          <w:sz w:val="24"/>
          <w:szCs w:val="32"/>
        </w:rPr>
      </w:pPr>
    </w:p>
    <w:tbl>
      <w:tblPr>
        <w:tblStyle w:val="12"/>
        <w:tblW w:w="11262" w:type="dxa"/>
        <w:jc w:val="center"/>
        <w:tblBorders>
          <w:top w:val="single" w:color="7E7E7E" w:themeColor="text1" w:themeTint="80" w:sz="4" w:space="0"/>
          <w:left w:val="none" w:color="auto" w:sz="0" w:space="0"/>
          <w:bottom w:val="single" w:color="7E7E7E" w:themeColor="text1" w:themeTint="8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1134"/>
        <w:gridCol w:w="1125"/>
        <w:gridCol w:w="1313"/>
        <w:gridCol w:w="1134"/>
        <w:gridCol w:w="907"/>
        <w:gridCol w:w="1134"/>
        <w:gridCol w:w="1701"/>
        <w:gridCol w:w="1134"/>
      </w:tblGrid>
      <w:tr w14:paraId="01178885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629" w:type="dxa"/>
            <w:tcBorders>
              <w:top w:val="single" w:color="auto" w:sz="8" w:space="0"/>
              <w:bottom w:val="single" w:color="auto" w:sz="8" w:space="0"/>
            </w:tcBorders>
            <w:tcMar>
              <w:left w:w="57" w:type="dxa"/>
              <w:right w:w="57" w:type="dxa"/>
            </w:tcMar>
          </w:tcPr>
          <w:p w14:paraId="007E5E01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Study year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8" w:space="0"/>
            </w:tcBorders>
            <w:tcMar>
              <w:left w:w="57" w:type="dxa"/>
              <w:right w:w="57" w:type="dxa"/>
            </w:tcMar>
          </w:tcPr>
          <w:p w14:paraId="37B25D21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Mean age (y)</w:t>
            </w:r>
          </w:p>
        </w:tc>
        <w:tc>
          <w:tcPr>
            <w:tcW w:w="1125" w:type="dxa"/>
            <w:tcBorders>
              <w:top w:val="single" w:color="auto" w:sz="8" w:space="0"/>
              <w:bottom w:val="single" w:color="auto" w:sz="8" w:space="0"/>
            </w:tcBorders>
            <w:tcMar>
              <w:left w:w="57" w:type="dxa"/>
              <w:right w:w="57" w:type="dxa"/>
            </w:tcMar>
          </w:tcPr>
          <w:p w14:paraId="4C5046F4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Male</w:t>
            </w:r>
          </w:p>
          <w:p w14:paraId="6265E493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(%)</w:t>
            </w:r>
          </w:p>
        </w:tc>
        <w:tc>
          <w:tcPr>
            <w:tcW w:w="1313" w:type="dxa"/>
            <w:tcBorders>
              <w:top w:val="single" w:color="auto" w:sz="8" w:space="0"/>
              <w:bottom w:val="single" w:color="auto" w:sz="8" w:space="0"/>
            </w:tcBorders>
            <w:tcMar>
              <w:left w:w="57" w:type="dxa"/>
              <w:right w:w="57" w:type="dxa"/>
            </w:tcMar>
          </w:tcPr>
          <w:p w14:paraId="388C7660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Hypertension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(%)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8" w:space="0"/>
            </w:tcBorders>
            <w:tcMar>
              <w:left w:w="57" w:type="dxa"/>
              <w:right w:w="57" w:type="dxa"/>
            </w:tcMar>
          </w:tcPr>
          <w:p w14:paraId="23523B96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Diabetes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(%)</w:t>
            </w:r>
          </w:p>
        </w:tc>
        <w:tc>
          <w:tcPr>
            <w:tcW w:w="907" w:type="dxa"/>
            <w:tcBorders>
              <w:top w:val="single" w:color="auto" w:sz="8" w:space="0"/>
              <w:bottom w:val="single" w:color="auto" w:sz="8" w:space="0"/>
            </w:tcBorders>
            <w:tcMar>
              <w:left w:w="57" w:type="dxa"/>
              <w:right w:w="57" w:type="dxa"/>
            </w:tcMar>
          </w:tcPr>
          <w:p w14:paraId="1EC6493A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CKD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(%)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8" w:space="0"/>
            </w:tcBorders>
            <w:tcMar>
              <w:left w:w="57" w:type="dxa"/>
              <w:right w:w="57" w:type="dxa"/>
            </w:tcMar>
          </w:tcPr>
          <w:p w14:paraId="5A9FF091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Disease severity</w:t>
            </w:r>
          </w:p>
        </w:tc>
        <w:tc>
          <w:tcPr>
            <w:tcW w:w="1701" w:type="dxa"/>
            <w:tcBorders>
              <w:top w:val="single" w:color="auto" w:sz="8" w:space="0"/>
              <w:bottom w:val="single" w:color="auto" w:sz="8" w:space="0"/>
            </w:tcBorders>
            <w:tcMar>
              <w:left w:w="57" w:type="dxa"/>
              <w:right w:w="57" w:type="dxa"/>
            </w:tcMar>
          </w:tcPr>
          <w:p w14:paraId="78A25EF9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da-DK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da-DK"/>
              </w:rPr>
              <w:t>Baseline eG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FR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da-DK"/>
              </w:rPr>
              <w:t xml:space="preserve"> (ml/min/1.73 m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val="da-DK"/>
              </w:rPr>
              <w:t>2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da-DK"/>
              </w:rPr>
              <w:t>)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8" w:space="0"/>
            </w:tcBorders>
            <w:tcMar>
              <w:left w:w="57" w:type="dxa"/>
              <w:right w:w="57" w:type="dxa"/>
            </w:tcMar>
          </w:tcPr>
          <w:p w14:paraId="0719B5B7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Baseline 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C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r (mg/dl)</w:t>
            </w:r>
          </w:p>
        </w:tc>
      </w:tr>
      <w:tr w14:paraId="3DA774A3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29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  <w:vAlign w:val="center"/>
          </w:tcPr>
          <w:p w14:paraId="7EDA0DB4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Elsayed, M. M., 2025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5CB4F0D4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112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068AC5D3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26 (27.1)</w:t>
            </w:r>
          </w:p>
        </w:tc>
        <w:tc>
          <w:tcPr>
            <w:tcW w:w="1313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610038D9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59 (61.5)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7AB847F8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56 (58.3)</w:t>
            </w:r>
          </w:p>
        </w:tc>
        <w:tc>
          <w:tcPr>
            <w:tcW w:w="90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5E1B8FA6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NR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37B97674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APACHE II 25,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SOFA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4</w:t>
            </w:r>
          </w:p>
        </w:tc>
        <w:tc>
          <w:tcPr>
            <w:tcW w:w="170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78792104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5D45E624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0.9</w:t>
            </w:r>
          </w:p>
        </w:tc>
      </w:tr>
      <w:tr w14:paraId="0E9606CF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" w:hRule="atLeast"/>
          <w:jc w:val="center"/>
        </w:trPr>
        <w:tc>
          <w:tcPr>
            <w:tcW w:w="1629" w:type="dxa"/>
            <w:tcMar>
              <w:left w:w="57" w:type="dxa"/>
              <w:right w:w="57" w:type="dxa"/>
            </w:tcMar>
            <w:vAlign w:val="center"/>
          </w:tcPr>
          <w:p w14:paraId="288D4F4A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Del Toro-Cisneros, N., 2025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8640198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1125" w:type="dxa"/>
            <w:tcMar>
              <w:left w:w="57" w:type="dxa"/>
              <w:right w:w="57" w:type="dxa"/>
            </w:tcMar>
          </w:tcPr>
          <w:p w14:paraId="3E726B80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46 (77)</w:t>
            </w:r>
          </w:p>
        </w:tc>
        <w:tc>
          <w:tcPr>
            <w:tcW w:w="1313" w:type="dxa"/>
            <w:tcMar>
              <w:left w:w="57" w:type="dxa"/>
              <w:right w:w="57" w:type="dxa"/>
            </w:tcMar>
          </w:tcPr>
          <w:p w14:paraId="07FED029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NR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6847459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NR</w:t>
            </w:r>
          </w:p>
        </w:tc>
        <w:tc>
          <w:tcPr>
            <w:tcW w:w="907" w:type="dxa"/>
            <w:tcMar>
              <w:left w:w="57" w:type="dxa"/>
              <w:right w:w="57" w:type="dxa"/>
            </w:tcMar>
          </w:tcPr>
          <w:p w14:paraId="6B88AD6F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NR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87B6D32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SOFA 10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3A05EBB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NR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05F1E61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87EF19A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  <w:jc w:val="center"/>
        </w:trPr>
        <w:tc>
          <w:tcPr>
            <w:tcW w:w="1629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  <w:vAlign w:val="center"/>
          </w:tcPr>
          <w:p w14:paraId="6F827A86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Lima, C., 2024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3056C7FC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12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7AA4A1AD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64 (64)</w:t>
            </w:r>
          </w:p>
        </w:tc>
        <w:tc>
          <w:tcPr>
            <w:tcW w:w="1313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2D741CF6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(33)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03217CA9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(28)</w:t>
            </w:r>
          </w:p>
        </w:tc>
        <w:tc>
          <w:tcPr>
            <w:tcW w:w="90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26E8D607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NR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6CF9EA05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SOFA 13</w:t>
            </w:r>
          </w:p>
        </w:tc>
        <w:tc>
          <w:tcPr>
            <w:tcW w:w="170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4CDBF547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78.65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7698BE33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0.77</w:t>
            </w:r>
          </w:p>
        </w:tc>
      </w:tr>
      <w:tr w14:paraId="0E7C5C7B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  <w:jc w:val="center"/>
        </w:trPr>
        <w:tc>
          <w:tcPr>
            <w:tcW w:w="1629" w:type="dxa"/>
            <w:tcMar>
              <w:left w:w="57" w:type="dxa"/>
              <w:right w:w="57" w:type="dxa"/>
            </w:tcMar>
            <w:vAlign w:val="center"/>
          </w:tcPr>
          <w:p w14:paraId="165C41ED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Duff, S., 2022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557AC40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1125" w:type="dxa"/>
            <w:tcMar>
              <w:left w:w="57" w:type="dxa"/>
              <w:right w:w="57" w:type="dxa"/>
            </w:tcMar>
          </w:tcPr>
          <w:p w14:paraId="744FF875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106(57)</w:t>
            </w:r>
          </w:p>
        </w:tc>
        <w:tc>
          <w:tcPr>
            <w:tcW w:w="1313" w:type="dxa"/>
            <w:tcMar>
              <w:left w:w="57" w:type="dxa"/>
              <w:right w:w="57" w:type="dxa"/>
            </w:tcMar>
          </w:tcPr>
          <w:p w14:paraId="50B31E05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(36)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A9F7172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(40)</w:t>
            </w:r>
          </w:p>
        </w:tc>
        <w:tc>
          <w:tcPr>
            <w:tcW w:w="907" w:type="dxa"/>
            <w:tcMar>
              <w:left w:w="57" w:type="dxa"/>
              <w:right w:w="57" w:type="dxa"/>
            </w:tcMar>
          </w:tcPr>
          <w:p w14:paraId="2E1E6C28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111E356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APACHE II 26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FB70636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58.2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B658938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1.24</w:t>
            </w:r>
          </w:p>
        </w:tc>
      </w:tr>
      <w:tr w14:paraId="7A8C9B04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  <w:jc w:val="center"/>
        </w:trPr>
        <w:tc>
          <w:tcPr>
            <w:tcW w:w="1629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  <w:vAlign w:val="center"/>
          </w:tcPr>
          <w:p w14:paraId="073F9AFE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Vogel, M. J., 2021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6B5B2500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56.8 </w:t>
            </w:r>
          </w:p>
        </w:tc>
        <w:tc>
          <w:tcPr>
            <w:tcW w:w="112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3F77E44C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66.3 (53)</w:t>
            </w:r>
          </w:p>
        </w:tc>
        <w:tc>
          <w:tcPr>
            <w:tcW w:w="1313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364FBBA5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NR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566E71EC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16.3 (13)</w:t>
            </w:r>
          </w:p>
        </w:tc>
        <w:tc>
          <w:tcPr>
            <w:tcW w:w="90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424254EB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13.8 (11)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3175B308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NR</w:t>
            </w:r>
          </w:p>
        </w:tc>
        <w:tc>
          <w:tcPr>
            <w:tcW w:w="170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4F16F1C7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009868A7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0.95</w:t>
            </w:r>
          </w:p>
        </w:tc>
      </w:tr>
      <w:tr w14:paraId="59BED50A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  <w:jc w:val="center"/>
        </w:trPr>
        <w:tc>
          <w:tcPr>
            <w:tcW w:w="1629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  <w:vAlign w:val="center"/>
          </w:tcPr>
          <w:p w14:paraId="7F905880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Xie, Y., 2017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02BB8AF0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112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7F88C99A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(60.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13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3C52EC54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NR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717952EC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NR</w:t>
            </w:r>
          </w:p>
        </w:tc>
        <w:tc>
          <w:tcPr>
            <w:tcW w:w="90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4EC7440C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NR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68A6BEFB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NR</w:t>
            </w:r>
          </w:p>
        </w:tc>
        <w:tc>
          <w:tcPr>
            <w:tcW w:w="170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4A9381F2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44.32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5422A97C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1.47</w:t>
            </w:r>
          </w:p>
        </w:tc>
      </w:tr>
      <w:tr w14:paraId="059C56C4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  <w:jc w:val="center"/>
        </w:trPr>
        <w:tc>
          <w:tcPr>
            <w:tcW w:w="1629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  <w:vAlign w:val="center"/>
          </w:tcPr>
          <w:p w14:paraId="6DAA543B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Nickolas, T. L., 2012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7FF48182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64.4</w:t>
            </w:r>
          </w:p>
        </w:tc>
        <w:tc>
          <w:tcPr>
            <w:tcW w:w="112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664F3CF6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855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52.3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13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72C9AC70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996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60.9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3A10BAE6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481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29.4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0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257E10BF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NR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3EF1F0C0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NR</w:t>
            </w:r>
          </w:p>
        </w:tc>
        <w:tc>
          <w:tcPr>
            <w:tcW w:w="170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5EA0A1EA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70.5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  <w:tcMar>
              <w:left w:w="57" w:type="dxa"/>
              <w:right w:w="57" w:type="dxa"/>
            </w:tcMar>
          </w:tcPr>
          <w:p w14:paraId="0F751588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1.1</w:t>
            </w:r>
          </w:p>
        </w:tc>
      </w:tr>
      <w:tr w14:paraId="2B5B10BD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  <w:jc w:val="center"/>
        </w:trPr>
        <w:tc>
          <w:tcPr>
            <w:tcW w:w="1629" w:type="dxa"/>
            <w:tcBorders>
              <w:top w:val="single" w:color="7E7E7E" w:themeColor="text1" w:themeTint="80" w:sz="4" w:space="0"/>
              <w:bottom w:val="single" w:color="auto" w:sz="12" w:space="0"/>
            </w:tcBorders>
            <w:tcMar>
              <w:left w:w="57" w:type="dxa"/>
              <w:right w:w="57" w:type="dxa"/>
            </w:tcMar>
            <w:vAlign w:val="center"/>
          </w:tcPr>
          <w:p w14:paraId="3625BBB9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Liang, X. L., 2011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auto" w:sz="12" w:space="0"/>
            </w:tcBorders>
            <w:tcMar>
              <w:left w:w="57" w:type="dxa"/>
              <w:right w:w="57" w:type="dxa"/>
            </w:tcMar>
          </w:tcPr>
          <w:p w14:paraId="73FBCFFD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125" w:type="dxa"/>
            <w:tcBorders>
              <w:top w:val="single" w:color="7E7E7E" w:themeColor="text1" w:themeTint="80" w:sz="4" w:space="0"/>
              <w:bottom w:val="single" w:color="auto" w:sz="12" w:space="0"/>
            </w:tcBorders>
            <w:noWrap/>
            <w:tcMar>
              <w:left w:w="57" w:type="dxa"/>
              <w:right w:w="57" w:type="dxa"/>
            </w:tcMar>
          </w:tcPr>
          <w:p w14:paraId="745E81AD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NR</w:t>
            </w:r>
          </w:p>
        </w:tc>
        <w:tc>
          <w:tcPr>
            <w:tcW w:w="1313" w:type="dxa"/>
            <w:tcBorders>
              <w:top w:val="single" w:color="7E7E7E" w:themeColor="text1" w:themeTint="80" w:sz="4" w:space="0"/>
              <w:bottom w:val="single" w:color="auto" w:sz="12" w:space="0"/>
            </w:tcBorders>
            <w:tcMar>
              <w:left w:w="57" w:type="dxa"/>
              <w:right w:w="57" w:type="dxa"/>
            </w:tcMar>
          </w:tcPr>
          <w:p w14:paraId="70239A75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NR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auto" w:sz="12" w:space="0"/>
            </w:tcBorders>
            <w:tcMar>
              <w:left w:w="57" w:type="dxa"/>
              <w:right w:w="57" w:type="dxa"/>
            </w:tcMar>
          </w:tcPr>
          <w:p w14:paraId="16393C9D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NR</w:t>
            </w:r>
          </w:p>
        </w:tc>
        <w:tc>
          <w:tcPr>
            <w:tcW w:w="907" w:type="dxa"/>
            <w:tcBorders>
              <w:top w:val="single" w:color="7E7E7E" w:themeColor="text1" w:themeTint="80" w:sz="4" w:space="0"/>
              <w:bottom w:val="single" w:color="auto" w:sz="12" w:space="0"/>
            </w:tcBorders>
            <w:tcMar>
              <w:left w:w="57" w:type="dxa"/>
              <w:right w:w="57" w:type="dxa"/>
            </w:tcMar>
          </w:tcPr>
          <w:p w14:paraId="5B8E15AB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NR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auto" w:sz="12" w:space="0"/>
            </w:tcBorders>
            <w:tcMar>
              <w:left w:w="57" w:type="dxa"/>
              <w:right w:w="57" w:type="dxa"/>
            </w:tcMar>
          </w:tcPr>
          <w:p w14:paraId="3B31C7F8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NR</w:t>
            </w:r>
          </w:p>
        </w:tc>
        <w:tc>
          <w:tcPr>
            <w:tcW w:w="1701" w:type="dxa"/>
            <w:tcBorders>
              <w:top w:val="single" w:color="7E7E7E" w:themeColor="text1" w:themeTint="80" w:sz="4" w:space="0"/>
              <w:bottom w:val="single" w:color="auto" w:sz="12" w:space="0"/>
            </w:tcBorders>
            <w:tcMar>
              <w:left w:w="57" w:type="dxa"/>
              <w:right w:w="57" w:type="dxa"/>
            </w:tcMar>
          </w:tcPr>
          <w:p w14:paraId="434B8FDE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NR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auto" w:sz="12" w:space="0"/>
            </w:tcBorders>
            <w:tcMar>
              <w:left w:w="57" w:type="dxa"/>
              <w:right w:w="57" w:type="dxa"/>
            </w:tcMar>
          </w:tcPr>
          <w:p w14:paraId="6CFB0483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1.02</w:t>
            </w:r>
          </w:p>
        </w:tc>
      </w:tr>
    </w:tbl>
    <w:tbl>
      <w:tblPr>
        <w:tblStyle w:val="4"/>
        <w:tblpPr w:leftFromText="180" w:rightFromText="180" w:vertAnchor="text" w:tblpX="10548" w:tblpY="-167"/>
        <w:tblOverlap w:val="never"/>
        <w:tblW w:w="162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7"/>
      </w:tblGrid>
      <w:tr w14:paraId="387D83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627" w:type="dxa"/>
          </w:tcPr>
          <w:p w14:paraId="279694C1">
            <w:pPr>
              <w:spacing w:before="0" w:after="0" w:line="240" w:lineRule="auto"/>
              <w:ind w:left="0" w:leftChars="0" w:right="0" w:rightChars="0" w:firstLine="0" w:firstLineChars="0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baseline"/>
              </w:rPr>
            </w:pPr>
          </w:p>
        </w:tc>
      </w:tr>
    </w:tbl>
    <w:p w14:paraId="2F8203AE">
      <w:pPr>
        <w:spacing w:before="0" w:after="0" w:line="240" w:lineRule="auto"/>
        <w:ind w:left="0" w:leftChars="0" w:right="0" w:rightChars="0" w:firstLine="0" w:firstLineChars="0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 xml:space="preserve">Abbreviations: CKD chronic kidney disease,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SCr serum creatinine, eG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FR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 xml:space="preserve"> estimated glomerular filtration rate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>, SOFA s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equential 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>o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rgan 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>f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ailure 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>a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ssessment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 xml:space="preserve">, </w:t>
      </w:r>
      <w:r>
        <w:rPr>
          <w:rFonts w:ascii="Times New Roman" w:hAnsi="Times New Roman" w:cs="Times New Roman" w:eastAsiaTheme="minorEastAsia"/>
          <w:color w:val="000000"/>
          <w:sz w:val="18"/>
          <w:szCs w:val="18"/>
        </w:rPr>
        <w:t>APACHE II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>a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 xml:space="preserve">cute 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>p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 xml:space="preserve">hysiology and 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>c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 xml:space="preserve">hronic 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>h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 xml:space="preserve">ealth 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>e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valuation II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>, NR not reported</w:t>
      </w:r>
    </w:p>
    <w:p w14:paraId="1261F996">
      <w:pPr>
        <w:rPr>
          <w:rFonts w:hint="eastAsia" w:ascii="Times New Roman" w:hAnsi="Times New Roman" w:eastAsia="Times New Roman" w:cs="Times New Roman"/>
          <w:b/>
          <w:sz w:val="28"/>
          <w:szCs w:val="22"/>
          <w:lang w:val="en-US" w:eastAsia="zh-CN"/>
        </w:rPr>
      </w:pPr>
      <w:r>
        <w:rPr>
          <w:rFonts w:hint="eastAsia" w:ascii="Times New Roman" w:hAnsi="Times New Roman" w:eastAsia="Times New Roman" w:cs="Times New Roman"/>
          <w:b/>
          <w:sz w:val="28"/>
          <w:szCs w:val="22"/>
          <w:lang w:val="en-US" w:eastAsia="zh-CN"/>
        </w:rPr>
        <w:br w:type="page"/>
      </w:r>
    </w:p>
    <w:p w14:paraId="742BA4AB">
      <w:pPr>
        <w:pStyle w:val="8"/>
        <w:outlineLvl w:val="0"/>
        <w:rPr>
          <w:rFonts w:hint="eastAsia" w:ascii="Times New Roman" w:hAnsi="Times New Roman" w:eastAsia="Times New Roman" w:cs="Times New Roman"/>
          <w:b/>
          <w:sz w:val="28"/>
          <w:szCs w:val="22"/>
          <w:lang w:val="en-US" w:eastAsia="zh-CN"/>
        </w:rPr>
      </w:pPr>
      <w:r>
        <w:rPr>
          <w:rFonts w:hint="eastAsia" w:ascii="Times New Roman" w:hAnsi="Times New Roman" w:eastAsia="Times New Roman" w:cs="Times New Roman"/>
          <w:b/>
          <w:sz w:val="28"/>
          <w:szCs w:val="22"/>
          <w:lang w:val="en-US" w:eastAsia="zh-CN"/>
        </w:rPr>
        <w:t>S</w:t>
      </w:r>
      <w:r>
        <w:rPr>
          <w:rFonts w:hint="eastAsia" w:cs="Times New Roman"/>
          <w:b/>
          <w:sz w:val="28"/>
          <w:szCs w:val="22"/>
          <w:lang w:val="en-US" w:eastAsia="zh-CN"/>
        </w:rPr>
        <w:t>3</w:t>
      </w:r>
      <w:r>
        <w:rPr>
          <w:rFonts w:hint="eastAsia" w:ascii="Times New Roman" w:hAnsi="Times New Roman" w:eastAsia="Times New Roman" w:cs="Times New Roman"/>
          <w:b/>
          <w:sz w:val="28"/>
          <w:szCs w:val="22"/>
          <w:lang w:val="en-US" w:eastAsia="zh-CN"/>
        </w:rPr>
        <w:t xml:space="preserve">  </w:t>
      </w:r>
      <w:r>
        <w:rPr>
          <w:rFonts w:hint="eastAsia" w:cs="Times New Roman"/>
          <w:b/>
          <w:sz w:val="28"/>
          <w:szCs w:val="22"/>
          <w:lang w:val="en-US" w:eastAsia="zh-CN"/>
        </w:rPr>
        <w:t>Supplementary c</w:t>
      </w:r>
      <w:r>
        <w:rPr>
          <w:rFonts w:hint="eastAsia" w:ascii="Times New Roman" w:hAnsi="Times New Roman" w:eastAsia="Times New Roman" w:cs="Times New Roman"/>
          <w:b/>
          <w:sz w:val="28"/>
          <w:szCs w:val="22"/>
          <w:lang w:val="en-US" w:eastAsia="zh-CN"/>
        </w:rPr>
        <w:t>haracteristics of studies included for diagnostic meta-analysis</w:t>
      </w:r>
    </w:p>
    <w:tbl>
      <w:tblPr>
        <w:tblStyle w:val="12"/>
        <w:tblpPr w:leftFromText="180" w:rightFromText="180" w:vertAnchor="text" w:horzAnchor="page" w:tblpX="410" w:tblpY="44"/>
        <w:tblOverlap w:val="never"/>
        <w:tblW w:w="10987" w:type="dxa"/>
        <w:jc w:val="center"/>
        <w:tblBorders>
          <w:top w:val="single" w:color="7E7E7E" w:themeColor="text1" w:themeTint="80" w:sz="4" w:space="0"/>
          <w:left w:val="none" w:color="auto" w:sz="0" w:space="0"/>
          <w:bottom w:val="single" w:color="7E7E7E" w:themeColor="text1" w:themeTint="8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2"/>
        <w:gridCol w:w="1579"/>
        <w:gridCol w:w="3061"/>
        <w:gridCol w:w="2455"/>
        <w:gridCol w:w="2260"/>
      </w:tblGrid>
      <w:tr w14:paraId="3647E65E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1632" w:type="dxa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81EC33A">
            <w:pPr>
              <w:widowControl/>
              <w:spacing w:line="240" w:lineRule="exact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  <w:t>Study year</w:t>
            </w:r>
          </w:p>
        </w:tc>
        <w:tc>
          <w:tcPr>
            <w:tcW w:w="1579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E90BBB2">
            <w:pPr>
              <w:widowControl/>
              <w:spacing w:line="240" w:lineRule="exact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  <w:t>Definition of AKI</w:t>
            </w:r>
          </w:p>
        </w:tc>
        <w:tc>
          <w:tcPr>
            <w:tcW w:w="3061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CA6320E">
            <w:pPr>
              <w:widowControl/>
              <w:spacing w:line="240" w:lineRule="exact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D</w:t>
            </w:r>
            <w:r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  <w:t>efinition of persistent severe AKI</w:t>
            </w:r>
          </w:p>
        </w:tc>
        <w:tc>
          <w:tcPr>
            <w:tcW w:w="2455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9C6D9B1">
            <w:pPr>
              <w:widowControl/>
              <w:spacing w:line="240" w:lineRule="exact"/>
              <w:ind w:left="201" w:leftChars="0" w:hanging="201" w:hangingChars="100"/>
              <w:jc w:val="center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  <w:t xml:space="preserve">Timing of 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uKIM-1 </w:t>
            </w:r>
            <w:r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  <w:t>measurement</w:t>
            </w:r>
          </w:p>
        </w:tc>
        <w:tc>
          <w:tcPr>
            <w:tcW w:w="2260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AB5AEDC">
            <w:pPr>
              <w:widowControl/>
              <w:spacing w:line="240" w:lineRule="exact"/>
              <w:ind w:left="201" w:leftChars="0" w:hanging="201" w:hangingChars="100"/>
              <w:jc w:val="center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Timing of outcome assessment</w:t>
            </w:r>
          </w:p>
        </w:tc>
      </w:tr>
      <w:tr w14:paraId="5D6D8C31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632" w:type="dxa"/>
            <w:tcBorders>
              <w:top w:val="single" w:color="000000" w:sz="4" w:space="0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741582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  <w:t>Elsayed, M. M., 2025</w:t>
            </w:r>
          </w:p>
        </w:tc>
        <w:tc>
          <w:tcPr>
            <w:tcW w:w="1579" w:type="dxa"/>
            <w:tcBorders>
              <w:top w:val="single" w:color="000000" w:sz="4" w:space="0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3FF97E8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KDIGO</w:t>
            </w:r>
          </w:p>
        </w:tc>
        <w:tc>
          <w:tcPr>
            <w:tcW w:w="3061" w:type="dxa"/>
            <w:tcBorders>
              <w:top w:val="single" w:color="000000" w:sz="4" w:space="0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252C564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Progression to stage 3 AKI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≥72h</w:t>
            </w:r>
          </w:p>
        </w:tc>
        <w:tc>
          <w:tcPr>
            <w:tcW w:w="2455" w:type="dxa"/>
            <w:tcBorders>
              <w:top w:val="single" w:color="000000" w:sz="4" w:space="0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7DAFA4D0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At time of AKI diagnosis</w:t>
            </w:r>
          </w:p>
        </w:tc>
        <w:tc>
          <w:tcPr>
            <w:tcW w:w="2260" w:type="dxa"/>
            <w:tcBorders>
              <w:top w:val="single" w:color="000000" w:sz="4" w:space="0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0FC33B2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B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efore discharge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, within 7 days after enrollment</w:t>
            </w:r>
          </w:p>
        </w:tc>
      </w:tr>
      <w:tr w14:paraId="5DEF88BE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2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755D84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  <w:t>Del Toro-Cisneros, N., 2025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6213E9AB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KDIGO</w:t>
            </w:r>
          </w:p>
        </w:tc>
        <w:tc>
          <w:tcPr>
            <w:tcW w:w="3061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1030D74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Stage 3 AKI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≥72h.</w:t>
            </w: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Death before reaching</w:t>
            </w: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 xml:space="preserve"> 72 consecutive hours</w:t>
            </w:r>
          </w:p>
        </w:tc>
        <w:tc>
          <w:tcPr>
            <w:tcW w:w="2455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EF566BF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At</w:t>
            </w: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 xml:space="preserve"> RRT initiation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. After </w:t>
            </w: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AKI diagnosis</w:t>
            </w:r>
          </w:p>
        </w:tc>
        <w:tc>
          <w:tcPr>
            <w:tcW w:w="2260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7CACFF6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Within 72 hours after enrollment</w:t>
            </w:r>
          </w:p>
        </w:tc>
      </w:tr>
      <w:tr w14:paraId="2EB9CB9C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1632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27423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  <w:t>Lima, C., 2024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F773667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KDIGO</w:t>
            </w:r>
          </w:p>
        </w:tc>
        <w:tc>
          <w:tcPr>
            <w:tcW w:w="3061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1F7E794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Stage 3 AKI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≥72h.</w:t>
            </w: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Initiation of </w:t>
            </w: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RRT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 before reaching</w:t>
            </w: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 xml:space="preserve"> 72 consecutive hours</w:t>
            </w:r>
          </w:p>
        </w:tc>
        <w:tc>
          <w:tcPr>
            <w:tcW w:w="2455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E12932D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A</w:t>
            </w: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fter operation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.</w:t>
            </w:r>
          </w:p>
        </w:tc>
        <w:tc>
          <w:tcPr>
            <w:tcW w:w="2260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2B55F1E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Within 7 days after enrollment</w:t>
            </w:r>
          </w:p>
        </w:tc>
      </w:tr>
      <w:tr w14:paraId="64AA72E1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1632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F4E0C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  <w:t>Duff, S., 2022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5EEEE53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KDIGO</w:t>
            </w:r>
          </w:p>
        </w:tc>
        <w:tc>
          <w:tcPr>
            <w:tcW w:w="3061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8289B4C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Progression to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 persistent</w:t>
            </w: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 xml:space="preserve"> stage 3 AKI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. Death or initiation of </w:t>
            </w: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RRT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 before reaching</w:t>
            </w: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 xml:space="preserve"> 72 consecutive hours</w:t>
            </w:r>
          </w:p>
        </w:tc>
        <w:tc>
          <w:tcPr>
            <w:tcW w:w="2455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14AAF7C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Upon admission to the ICU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. Before </w:t>
            </w: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AKI diagnosis</w:t>
            </w:r>
          </w:p>
        </w:tc>
        <w:tc>
          <w:tcPr>
            <w:tcW w:w="2260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6D372485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Within 7 days after enrollment</w:t>
            </w:r>
          </w:p>
        </w:tc>
      </w:tr>
      <w:tr w14:paraId="7C8F742C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632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6582C8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  <w:t>Vogel, M. J., 2021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69345CD2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NR</w:t>
            </w:r>
          </w:p>
        </w:tc>
        <w:tc>
          <w:tcPr>
            <w:tcW w:w="3061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74906FCA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Stage 3 AKI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≥72h.</w:t>
            </w: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Death before reaching</w:t>
            </w: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 xml:space="preserve"> 72 consecutive hours</w:t>
            </w:r>
          </w:p>
        </w:tc>
        <w:tc>
          <w:tcPr>
            <w:tcW w:w="2455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F051F02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Upon admission to the emergency department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. Before </w:t>
            </w: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 xml:space="preserve">AKI diagnosis </w:t>
            </w:r>
          </w:p>
        </w:tc>
        <w:tc>
          <w:tcPr>
            <w:tcW w:w="2260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0B60BA8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Within 72 hours after enrollment</w:t>
            </w:r>
          </w:p>
        </w:tc>
      </w:tr>
      <w:tr w14:paraId="08606EB8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632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84F24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  <w:t>Xie, Y., 2017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8B12BE2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KDIGO</w:t>
            </w:r>
          </w:p>
        </w:tc>
        <w:tc>
          <w:tcPr>
            <w:tcW w:w="3061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C36CD40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 xml:space="preserve">Non transient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severe </w:t>
            </w: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AKI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 ≥ 48h</w:t>
            </w: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455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0975C87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At time of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AKI diagnosis</w:t>
            </w:r>
          </w:p>
        </w:tc>
        <w:tc>
          <w:tcPr>
            <w:tcW w:w="2260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4B0F92C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Within 48 hours after enrollment</w:t>
            </w:r>
          </w:p>
        </w:tc>
      </w:tr>
      <w:tr w14:paraId="32E206F3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2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EE92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  <w:t>Nickolas, T. L., 2012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DFAAEDB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RIFLE</w:t>
            </w:r>
          </w:p>
        </w:tc>
        <w:tc>
          <w:tcPr>
            <w:tcW w:w="3061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4DD8255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Progression to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 xml:space="preserve">RIFLE I or F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≥48h</w:t>
            </w:r>
          </w:p>
        </w:tc>
        <w:tc>
          <w:tcPr>
            <w:tcW w:w="2455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4C93065B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12 hours after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 xml:space="preserve">admission to the emergency department </w:t>
            </w:r>
          </w:p>
        </w:tc>
        <w:tc>
          <w:tcPr>
            <w:tcW w:w="2260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D3E0A52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Within 7 days after enrollment</w:t>
            </w:r>
          </w:p>
        </w:tc>
      </w:tr>
      <w:tr w14:paraId="0626E40E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2" w:type="dxa"/>
            <w:tcBorders>
              <w:top w:val="nil"/>
              <w:bottom w:val="single" w:color="000000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2E84C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  <w:t>Liang, X. L., 2011</w:t>
            </w:r>
          </w:p>
        </w:tc>
        <w:tc>
          <w:tcPr>
            <w:tcW w:w="1579" w:type="dxa"/>
            <w:tcBorders>
              <w:top w:val="nil"/>
              <w:bottom w:val="single" w:color="000000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4BFC76F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RIFLE</w:t>
            </w:r>
          </w:p>
        </w:tc>
        <w:tc>
          <w:tcPr>
            <w:tcW w:w="3061" w:type="dxa"/>
            <w:tcBorders>
              <w:top w:val="nil"/>
              <w:bottom w:val="single" w:color="000000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D34DEC6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Progression to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 xml:space="preserve">RIFLE I or F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≥48h</w:t>
            </w:r>
          </w:p>
        </w:tc>
        <w:tc>
          <w:tcPr>
            <w:tcW w:w="2455" w:type="dxa"/>
            <w:tcBorders>
              <w:top w:val="nil"/>
              <w:bottom w:val="single" w:color="000000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7BF8CFDC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12</w:t>
            </w: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 xml:space="preserve"> h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ours after </w:t>
            </w: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  <w:t>surgery</w:t>
            </w:r>
          </w:p>
        </w:tc>
        <w:tc>
          <w:tcPr>
            <w:tcW w:w="2260" w:type="dxa"/>
            <w:tcBorders>
              <w:top w:val="nil"/>
              <w:bottom w:val="single" w:color="000000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6B3AD7EE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NR</w:t>
            </w:r>
          </w:p>
        </w:tc>
      </w:tr>
    </w:tbl>
    <w:p w14:paraId="17CA9713">
      <w:pPr>
        <w:spacing w:before="0" w:after="0" w:line="240" w:lineRule="auto"/>
        <w:ind w:left="0" w:leftChars="0" w:right="0" w:rightChars="0" w:firstLine="0" w:firstLineChars="0"/>
        <w:rPr>
          <w:rFonts w:hint="default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Abbreviations: AKI acute kidney injury, ELISA enzyme-linked immunosorbent assay, CPB cardiopulmonary bypass, RRT renal replacement treatment, ICU intensive care unit, KD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I</w:t>
      </w:r>
      <w:r>
        <w:rPr>
          <w:rFonts w:hint="default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GO Kidney Disease Improving Global Guidelines, RIFLE risk, injury, failure, loss, end-stage renal disease, NR not reported</w:t>
      </w:r>
    </w:p>
    <w:p w14:paraId="7AB9F051">
      <w:pPr>
        <w:spacing w:before="0" w:after="0" w:line="240" w:lineRule="auto"/>
        <w:ind w:left="0" w:leftChars="0" w:right="0" w:rightChars="0" w:firstLine="0" w:firstLineChars="0"/>
        <w:jc w:val="left"/>
        <w:rPr>
          <w:rFonts w:hint="default" w:ascii="Times New Roman" w:hAnsi="Times New Roman" w:cs="Times New Roman" w:eastAsiaTheme="minorEastAsia"/>
          <w:b/>
          <w:bCs/>
          <w:sz w:val="24"/>
          <w:szCs w:val="32"/>
          <w:lang w:val="en-US" w:eastAsia="zh-CN"/>
        </w:rPr>
      </w:pPr>
    </w:p>
    <w:p w14:paraId="732EE621">
      <w:pPr>
        <w:spacing w:before="0" w:after="0" w:line="240" w:lineRule="auto"/>
        <w:ind w:left="0" w:leftChars="0" w:right="0" w:rightChars="0" w:firstLine="0" w:firstLineChars="0"/>
        <w:jc w:val="left"/>
        <w:rPr>
          <w:rFonts w:hint="default" w:ascii="Times New Roman" w:hAnsi="Times New Roman" w:cs="Times New Roman" w:eastAsiaTheme="minorEastAsia"/>
          <w:b/>
          <w:bCs/>
          <w:sz w:val="24"/>
          <w:szCs w:val="32"/>
          <w:lang w:val="en-US" w:eastAsia="zh-CN"/>
        </w:rPr>
      </w:pPr>
    </w:p>
    <w:p w14:paraId="17188C0F">
      <w:pPr>
        <w:spacing w:before="0" w:after="0" w:line="240" w:lineRule="auto"/>
        <w:ind w:left="0" w:leftChars="0" w:right="0" w:rightChars="0" w:firstLine="0" w:firstLineChars="0"/>
        <w:jc w:val="left"/>
        <w:rPr>
          <w:rFonts w:hint="default" w:ascii="Times New Roman" w:hAnsi="Times New Roman" w:cs="Times New Roman" w:eastAsiaTheme="minorEastAsia"/>
          <w:b/>
          <w:bCs/>
          <w:sz w:val="24"/>
          <w:szCs w:val="32"/>
          <w:lang w:val="en-US" w:eastAsia="zh-CN"/>
        </w:rPr>
      </w:pPr>
    </w:p>
    <w:p w14:paraId="5A90778C">
      <w:pPr>
        <w:spacing w:before="0" w:after="0" w:line="240" w:lineRule="auto"/>
        <w:ind w:left="0" w:leftChars="0" w:right="0" w:rightChars="0" w:firstLine="0" w:firstLineChars="0"/>
        <w:jc w:val="left"/>
        <w:rPr>
          <w:rFonts w:hint="default" w:ascii="Times New Roman" w:hAnsi="Times New Roman" w:cs="Times New Roman" w:eastAsiaTheme="minorEastAsia"/>
          <w:b/>
          <w:bCs/>
          <w:sz w:val="24"/>
          <w:szCs w:val="32"/>
          <w:lang w:val="en-US" w:eastAsia="zh-CN"/>
        </w:rPr>
      </w:pPr>
    </w:p>
    <w:p w14:paraId="1D6CB95E">
      <w:pPr>
        <w:spacing w:before="0" w:after="0" w:line="240" w:lineRule="auto"/>
        <w:ind w:left="0" w:leftChars="0" w:right="0" w:rightChars="0" w:firstLine="0" w:firstLineChars="0"/>
        <w:jc w:val="left"/>
        <w:rPr>
          <w:rFonts w:hint="default" w:ascii="Times New Roman" w:hAnsi="Times New Roman" w:cs="Times New Roman" w:eastAsiaTheme="minorEastAsia"/>
          <w:b/>
          <w:bCs/>
          <w:sz w:val="24"/>
          <w:szCs w:val="32"/>
          <w:lang w:val="en-US" w:eastAsia="zh-CN"/>
        </w:rPr>
      </w:pPr>
    </w:p>
    <w:p w14:paraId="7C441751">
      <w:pPr>
        <w:spacing w:before="0" w:after="0" w:line="240" w:lineRule="auto"/>
        <w:ind w:left="0" w:leftChars="0" w:right="0" w:rightChars="0" w:firstLine="0" w:firstLineChars="0"/>
        <w:jc w:val="left"/>
        <w:rPr>
          <w:rFonts w:hint="default" w:ascii="Times New Roman" w:hAnsi="Times New Roman" w:cs="Times New Roman" w:eastAsiaTheme="minorEastAsia"/>
          <w:b/>
          <w:bCs/>
          <w:sz w:val="24"/>
          <w:szCs w:val="32"/>
          <w:lang w:val="en-US" w:eastAsia="zh-CN"/>
        </w:rPr>
      </w:pPr>
    </w:p>
    <w:p w14:paraId="11C8A80D">
      <w:pPr>
        <w:spacing w:before="0" w:after="0" w:line="240" w:lineRule="auto"/>
        <w:ind w:left="0" w:leftChars="0" w:right="0" w:rightChars="0" w:firstLine="0" w:firstLineChars="0"/>
        <w:jc w:val="left"/>
        <w:rPr>
          <w:rFonts w:hint="default" w:ascii="Times New Roman" w:hAnsi="Times New Roman" w:cs="Times New Roman" w:eastAsiaTheme="minorEastAsia"/>
          <w:b/>
          <w:bCs/>
          <w:sz w:val="24"/>
          <w:szCs w:val="32"/>
          <w:lang w:val="en-US" w:eastAsia="zh-CN"/>
        </w:rPr>
      </w:pPr>
    </w:p>
    <w:p w14:paraId="379527BF">
      <w:pPr>
        <w:spacing w:before="0" w:after="0" w:line="240" w:lineRule="auto"/>
        <w:ind w:left="0" w:leftChars="0" w:right="0" w:rightChars="0" w:firstLine="0" w:firstLineChars="0"/>
        <w:jc w:val="left"/>
        <w:rPr>
          <w:rFonts w:hint="default" w:ascii="Times New Roman" w:hAnsi="Times New Roman" w:cs="Times New Roman" w:eastAsiaTheme="minorEastAsia"/>
          <w:b/>
          <w:bCs/>
          <w:sz w:val="24"/>
          <w:szCs w:val="32"/>
          <w:lang w:val="en-US" w:eastAsia="zh-CN"/>
        </w:rPr>
      </w:pPr>
    </w:p>
    <w:p w14:paraId="1AB665D9">
      <w:pPr>
        <w:spacing w:before="0" w:after="0" w:line="240" w:lineRule="auto"/>
        <w:ind w:left="0" w:leftChars="0" w:right="0" w:rightChars="0" w:firstLine="0" w:firstLineChars="0"/>
        <w:jc w:val="left"/>
        <w:rPr>
          <w:rFonts w:hint="default" w:ascii="Times New Roman" w:hAnsi="Times New Roman" w:cs="Times New Roman" w:eastAsiaTheme="minorEastAsia"/>
          <w:b/>
          <w:bCs/>
          <w:sz w:val="24"/>
          <w:szCs w:val="32"/>
          <w:lang w:val="en-US" w:eastAsia="zh-CN"/>
        </w:rPr>
      </w:pPr>
    </w:p>
    <w:p w14:paraId="2DB0F11B">
      <w:pPr>
        <w:spacing w:before="0" w:after="0" w:line="240" w:lineRule="auto"/>
        <w:ind w:left="0" w:leftChars="0" w:right="0" w:rightChars="0" w:firstLine="0" w:firstLineChars="0"/>
        <w:jc w:val="left"/>
        <w:rPr>
          <w:rFonts w:hint="default" w:ascii="Times New Roman" w:hAnsi="Times New Roman" w:cs="Times New Roman" w:eastAsiaTheme="minorEastAsia"/>
          <w:b/>
          <w:bCs/>
          <w:sz w:val="24"/>
          <w:szCs w:val="32"/>
          <w:lang w:val="en-US" w:eastAsia="zh-CN"/>
        </w:rPr>
      </w:pPr>
    </w:p>
    <w:p w14:paraId="1DCC653E">
      <w:pPr>
        <w:spacing w:before="0" w:after="0" w:line="240" w:lineRule="auto"/>
        <w:ind w:left="0" w:leftChars="0" w:right="0" w:rightChars="0" w:firstLine="0" w:firstLineChars="0"/>
        <w:jc w:val="left"/>
        <w:rPr>
          <w:rFonts w:hint="default" w:ascii="Times New Roman" w:hAnsi="Times New Roman" w:cs="Times New Roman" w:eastAsiaTheme="minorEastAsia"/>
          <w:b/>
          <w:bCs/>
          <w:sz w:val="24"/>
          <w:szCs w:val="32"/>
          <w:lang w:val="en-US" w:eastAsia="zh-CN"/>
        </w:rPr>
      </w:pPr>
    </w:p>
    <w:p w14:paraId="141E1BFE">
      <w:pPr>
        <w:spacing w:before="0" w:after="0" w:line="240" w:lineRule="auto"/>
        <w:ind w:left="0" w:leftChars="0" w:right="0" w:rightChars="0" w:firstLine="0" w:firstLineChars="0"/>
        <w:jc w:val="left"/>
        <w:rPr>
          <w:rFonts w:hint="default" w:ascii="Times New Roman" w:hAnsi="Times New Roman" w:cs="Times New Roman" w:eastAsiaTheme="minorEastAsia"/>
          <w:b/>
          <w:bCs/>
          <w:sz w:val="24"/>
          <w:szCs w:val="32"/>
          <w:lang w:val="en-US" w:eastAsia="zh-CN"/>
        </w:rPr>
      </w:pPr>
    </w:p>
    <w:p w14:paraId="06CD524A">
      <w:pPr>
        <w:spacing w:before="0" w:after="0" w:line="240" w:lineRule="auto"/>
        <w:ind w:left="0" w:leftChars="0" w:right="0" w:rightChars="0" w:firstLine="0" w:firstLineChars="0"/>
        <w:jc w:val="left"/>
        <w:rPr>
          <w:rFonts w:hint="default" w:ascii="Times New Roman" w:hAnsi="Times New Roman" w:cs="Times New Roman" w:eastAsiaTheme="minorEastAsia"/>
          <w:b/>
          <w:bCs/>
          <w:sz w:val="24"/>
          <w:szCs w:val="32"/>
          <w:lang w:val="en-US" w:eastAsia="zh-CN"/>
        </w:rPr>
      </w:pPr>
    </w:p>
    <w:tbl>
      <w:tblPr>
        <w:tblStyle w:val="4"/>
        <w:tblW w:w="5861" w:type="pct"/>
        <w:tblInd w:w="-5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5"/>
        <w:gridCol w:w="1454"/>
        <w:gridCol w:w="5232"/>
        <w:gridCol w:w="2912"/>
      </w:tblGrid>
      <w:tr w14:paraId="6A0E9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1EB9EAE2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  <w:t xml:space="preserve">AKI 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  <w:t>Criteria</w:t>
            </w:r>
          </w:p>
        </w:tc>
        <w:tc>
          <w:tcPr>
            <w:tcW w:w="67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801946E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  <w:t xml:space="preserve">Stage </w:t>
            </w:r>
          </w:p>
        </w:tc>
        <w:tc>
          <w:tcPr>
            <w:tcW w:w="241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6EE6893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  <w:t xml:space="preserve">Serum Creatinine </w:t>
            </w:r>
          </w:p>
        </w:tc>
        <w:tc>
          <w:tcPr>
            <w:tcW w:w="134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1F71AE8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  <w:t>Urine Output</w:t>
            </w:r>
          </w:p>
        </w:tc>
      </w:tr>
      <w:tr w14:paraId="022DE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A5BEF3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  <w:t>KDIGO</w:t>
            </w:r>
          </w:p>
        </w:tc>
        <w:tc>
          <w:tcPr>
            <w:tcW w:w="67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D515C6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  <w:t>Stage 1</w:t>
            </w:r>
          </w:p>
        </w:tc>
        <w:tc>
          <w:tcPr>
            <w:tcW w:w="241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D3F8F1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1.5–1.9 × baseline OR ≥0.3 mg/dL (≥26.5 μmol/L) increase</w:t>
            </w:r>
          </w:p>
        </w:tc>
        <w:tc>
          <w:tcPr>
            <w:tcW w:w="134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348D06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&lt;0.5 mL/kg/h for 6–12 h</w:t>
            </w:r>
          </w:p>
        </w:tc>
      </w:tr>
      <w:tr w14:paraId="1C4EC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C04D0F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48C1BC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  <w:t>Stage 2</w:t>
            </w:r>
          </w:p>
        </w:tc>
        <w:tc>
          <w:tcPr>
            <w:tcW w:w="24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2ACCBA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2.0–2.9 × baseline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5EF5A4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&lt;0.5 mL/kg/h for ≥12 h</w:t>
            </w:r>
          </w:p>
        </w:tc>
      </w:tr>
      <w:tr w14:paraId="7A8FE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3EFE77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91A56F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  <w:t>Stage 3</w:t>
            </w:r>
          </w:p>
        </w:tc>
        <w:tc>
          <w:tcPr>
            <w:tcW w:w="24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8481C2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≥3.0 × baseline OR ≥4.0 mg/dL (≥353.6 μmol/L) OR RRT initiation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99E7D8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&lt;0.3 mL/kg/h for ≥24 h OR anuria ≥12 h</w:t>
            </w:r>
          </w:p>
        </w:tc>
      </w:tr>
      <w:tr w14:paraId="4D107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CDDAC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  <w:t>RIFLE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E19E2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  <w:t>Risk</w:t>
            </w:r>
          </w:p>
        </w:tc>
        <w:tc>
          <w:tcPr>
            <w:tcW w:w="2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5E424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1.5 × SCr OR GFR decrease &gt;25%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3B70F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&lt;0.5 mL/kg/h for 6 h</w:t>
            </w:r>
          </w:p>
        </w:tc>
      </w:tr>
      <w:tr w14:paraId="5958B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3538E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568A6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  <w:t>Injury</w:t>
            </w:r>
          </w:p>
        </w:tc>
        <w:tc>
          <w:tcPr>
            <w:tcW w:w="2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407C8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2 × SCr OR GFR decrease &gt;50%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9200C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&lt;0.5 mL/kg/h for 12 h</w:t>
            </w:r>
          </w:p>
        </w:tc>
      </w:tr>
      <w:tr w14:paraId="6FE05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031E5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66AB2A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  <w:t>Failure</w:t>
            </w:r>
          </w:p>
        </w:tc>
        <w:tc>
          <w:tcPr>
            <w:tcW w:w="2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D2730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3 × SCr OR ≥4.0 mg/dL with acute increase ≥0.5 mg/dL OR GFR decrease &gt;75%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94F99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&lt;0.3 mL/kg/h for 24 h OR anuria ≥12 h</w:t>
            </w:r>
          </w:p>
        </w:tc>
      </w:tr>
      <w:tr w14:paraId="296F7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E87E2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09DB4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  <w:t>Loss</w:t>
            </w:r>
          </w:p>
        </w:tc>
        <w:tc>
          <w:tcPr>
            <w:tcW w:w="2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A389F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Persistent renal failure &gt;4 weeks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7F192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—</w:t>
            </w:r>
          </w:p>
        </w:tc>
      </w:tr>
      <w:tr w14:paraId="0A43E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047D2A2D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678FC37B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20"/>
                <w:szCs w:val="20"/>
                <w:lang w:val="en-US" w:eastAsia="zh-CN"/>
              </w:rPr>
              <w:t>End-stage</w:t>
            </w:r>
          </w:p>
        </w:tc>
        <w:tc>
          <w:tcPr>
            <w:tcW w:w="241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200868C8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Renal failure &gt;3 months</w:t>
            </w:r>
          </w:p>
        </w:tc>
        <w:tc>
          <w:tcPr>
            <w:tcW w:w="134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F560650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—</w:t>
            </w:r>
          </w:p>
        </w:tc>
      </w:tr>
    </w:tbl>
    <w:p w14:paraId="54CFDF99">
      <w:pPr>
        <w:spacing w:before="0" w:after="0" w:line="240" w:lineRule="auto"/>
        <w:ind w:left="0" w:leftChars="0" w:right="0" w:rightChars="0" w:firstLine="0" w:firstLineChars="0"/>
        <w:rPr>
          <w:rFonts w:hint="default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 xml:space="preserve">Abbreviations: </w:t>
      </w:r>
      <w:r>
        <w:rPr>
          <w:rFonts w:hint="default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SCr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s</w:t>
      </w:r>
      <w:r>
        <w:rPr>
          <w:rFonts w:hint="default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erum 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reatinine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,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 xml:space="preserve">RRT 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>renal replacement treatment,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KD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I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GO Kidney Disease Improving Global Guidelines, RIFLE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risk, injury, failure, loss, end-stage renal disease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 xml:space="preserve">, </w:t>
      </w:r>
      <w:r>
        <w:rPr>
          <w:rFonts w:hint="default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GFR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glomerular filtration rate</w:t>
      </w:r>
      <w:r>
        <w:rPr>
          <w:rFonts w:hint="default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</w:p>
    <w:p w14:paraId="61E1E8F4">
      <w:pPr>
        <w:spacing w:before="0" w:after="0" w:line="240" w:lineRule="auto"/>
        <w:ind w:left="0" w:leftChars="0" w:right="0" w:rightChars="0" w:firstLine="0" w:firstLineChars="0"/>
        <w:rPr>
          <w:rFonts w:hint="default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</w:pPr>
    </w:p>
    <w:p w14:paraId="796B227C">
      <w:pPr>
        <w:spacing w:before="0" w:after="0" w:line="240" w:lineRule="auto"/>
        <w:ind w:left="0" w:leftChars="0" w:right="0" w:rightChars="0" w:firstLine="0" w:firstLineChars="0"/>
        <w:jc w:val="left"/>
        <w:rPr>
          <w:rFonts w:hint="default" w:ascii="Times New Roman" w:hAnsi="Times New Roman" w:cs="Times New Roman" w:eastAsiaTheme="minorEastAsia"/>
          <w:b/>
          <w:bCs/>
          <w:sz w:val="24"/>
          <w:szCs w:val="32"/>
          <w:lang w:val="en-US" w:eastAsia="zh-CN"/>
        </w:rPr>
      </w:pPr>
    </w:p>
    <w:p w14:paraId="446867E5">
      <w:pPr>
        <w:widowControl/>
        <w:spacing w:before="0" w:after="0" w:line="240" w:lineRule="auto"/>
        <w:ind w:left="0" w:leftChars="0" w:right="0" w:rightChars="0" w:firstLine="0" w:firstLineChars="0"/>
        <w:jc w:val="left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lang w:bidi="ar"/>
        </w:rPr>
      </w:pPr>
    </w:p>
    <w:p w14:paraId="01AB2438">
      <w:pP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lang w:bidi="ar"/>
        </w:rPr>
        <w:br w:type="page"/>
      </w:r>
    </w:p>
    <w:p w14:paraId="3BC97DD4">
      <w:pPr>
        <w:pStyle w:val="8"/>
        <w:outlineLvl w:val="0"/>
        <w:rPr>
          <w:rFonts w:hint="eastAsia" w:ascii="Times New Roman" w:hAnsi="Times New Roman" w:eastAsia="Times New Roman" w:cs="Times New Roman"/>
          <w:b/>
          <w:sz w:val="28"/>
          <w:szCs w:val="22"/>
          <w:lang w:val="en-US" w:eastAsia="zh-CN"/>
        </w:rPr>
      </w:pPr>
      <w:r>
        <w:rPr>
          <w:rFonts w:hint="eastAsia" w:ascii="Times New Roman" w:hAnsi="Times New Roman" w:eastAsia="Times New Roman" w:cs="Times New Roman"/>
          <w:b/>
          <w:sz w:val="28"/>
          <w:szCs w:val="22"/>
          <w:lang w:val="en-US" w:eastAsia="zh-CN"/>
        </w:rPr>
        <w:t>S</w:t>
      </w:r>
      <w:r>
        <w:rPr>
          <w:rFonts w:hint="eastAsia" w:cs="Times New Roman"/>
          <w:b/>
          <w:sz w:val="28"/>
          <w:szCs w:val="22"/>
          <w:lang w:val="en-US" w:eastAsia="zh-CN"/>
        </w:rPr>
        <w:t>4</w:t>
      </w:r>
      <w:r>
        <w:rPr>
          <w:rFonts w:hint="eastAsia" w:ascii="Times New Roman" w:hAnsi="Times New Roman" w:eastAsia="Times New Roman" w:cs="Times New Roman"/>
          <w:b/>
          <w:sz w:val="28"/>
          <w:szCs w:val="22"/>
          <w:lang w:val="en-US" w:eastAsia="zh-CN"/>
        </w:rPr>
        <w:t xml:space="preserve">  Quality assessment of the included studies</w:t>
      </w:r>
    </w:p>
    <w:p w14:paraId="32F39C7E">
      <w:pPr>
        <w:widowControl/>
        <w:spacing w:before="0" w:after="0" w:line="240" w:lineRule="auto"/>
        <w:ind w:left="0" w:leftChars="0" w:right="0" w:rightChars="0" w:firstLine="0" w:firstLineChars="0"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lang w:bidi="ar"/>
        </w:rPr>
      </w:pPr>
    </w:p>
    <w:tbl>
      <w:tblPr>
        <w:tblStyle w:val="12"/>
        <w:tblW w:w="5954" w:type="pct"/>
        <w:jc w:val="center"/>
        <w:tblBorders>
          <w:top w:val="single" w:color="7E7E7E" w:themeColor="text1" w:themeTint="80" w:sz="4" w:space="0"/>
          <w:left w:val="none" w:color="auto" w:sz="0" w:space="0"/>
          <w:bottom w:val="single" w:color="7E7E7E" w:themeColor="text1" w:themeTint="8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9"/>
        <w:gridCol w:w="1225"/>
        <w:gridCol w:w="1225"/>
        <w:gridCol w:w="1224"/>
        <w:gridCol w:w="1225"/>
        <w:gridCol w:w="1227"/>
        <w:gridCol w:w="1225"/>
        <w:gridCol w:w="1223"/>
      </w:tblGrid>
      <w:tr w14:paraId="6273319F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2257" w:type="dxa"/>
            <w:vMerge w:val="restart"/>
            <w:tcBorders>
              <w:top w:val="single" w:color="000000" w:sz="12" w:space="0"/>
              <w:bottom w:val="single" w:color="7E7E7E" w:themeColor="text1" w:themeTint="80" w:sz="4" w:space="0"/>
              <w:insideH w:val="single" w:sz="4" w:space="0"/>
              <w:tl2br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43A1560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Study year</w:t>
            </w:r>
          </w:p>
        </w:tc>
        <w:tc>
          <w:tcPr>
            <w:tcW w:w="3500" w:type="dxa"/>
            <w:gridSpan w:val="3"/>
            <w:tcBorders>
              <w:top w:val="single" w:color="000000" w:sz="12" w:space="0"/>
              <w:bottom w:val="single" w:color="auto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0B669B7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  <w:t>Risk of bias</w:t>
            </w:r>
          </w:p>
        </w:tc>
        <w:tc>
          <w:tcPr>
            <w:tcW w:w="4668" w:type="dxa"/>
            <w:gridSpan w:val="4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31A1ED87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19"/>
                <w:szCs w:val="19"/>
                <w:lang w:bidi="ar"/>
              </w:rPr>
              <w:t>Applicability concerns</w:t>
            </w:r>
          </w:p>
        </w:tc>
      </w:tr>
      <w:tr w14:paraId="1CA64BF4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2257" w:type="dxa"/>
            <w:vMerge w:val="continue"/>
            <w:tcBorders>
              <w:bottom w:val="single" w:color="auto" w:sz="12" w:space="0"/>
              <w:tl2br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30C58F5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color="auto" w:sz="12" w:space="0"/>
              <w:bottom w:val="single" w:color="auto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150DCC5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  <w:t>Patient selection</w:t>
            </w:r>
          </w:p>
        </w:tc>
        <w:tc>
          <w:tcPr>
            <w:tcW w:w="1167" w:type="dxa"/>
            <w:tcBorders>
              <w:top w:val="single" w:color="auto" w:sz="12" w:space="0"/>
              <w:bottom w:val="single" w:color="auto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E49E286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  <w:t>Index test</w:t>
            </w:r>
          </w:p>
          <w:p w14:paraId="6DE33F03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color="auto" w:sz="12" w:space="0"/>
              <w:bottom w:val="single" w:color="auto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03623AF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  <w:t>Reference standard</w:t>
            </w:r>
          </w:p>
        </w:tc>
        <w:tc>
          <w:tcPr>
            <w:tcW w:w="1167" w:type="dxa"/>
            <w:tcBorders>
              <w:top w:val="single" w:color="auto" w:sz="12" w:space="0"/>
              <w:bottom w:val="single" w:color="auto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4BEC4A9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  <w:t>Flow and timing</w:t>
            </w:r>
          </w:p>
        </w:tc>
        <w:tc>
          <w:tcPr>
            <w:tcW w:w="1169" w:type="dxa"/>
            <w:tcBorders>
              <w:top w:val="single" w:color="auto" w:sz="12" w:space="0"/>
              <w:bottom w:val="single" w:color="auto" w:sz="12" w:space="0"/>
            </w:tcBorders>
            <w:shd w:val="clear" w:color="auto" w:fill="FFFFFF"/>
            <w:vAlign w:val="center"/>
          </w:tcPr>
          <w:p w14:paraId="65AD4BAA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  <w:t>Patient selection</w:t>
            </w:r>
          </w:p>
        </w:tc>
        <w:tc>
          <w:tcPr>
            <w:tcW w:w="1167" w:type="dxa"/>
            <w:tcBorders>
              <w:top w:val="single" w:color="auto" w:sz="12" w:space="0"/>
              <w:bottom w:val="single" w:color="auto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4E3796B1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  <w:t>Index test</w:t>
            </w:r>
          </w:p>
          <w:p w14:paraId="3C1AB5A8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color="auto" w:sz="12" w:space="0"/>
              <w:bottom w:val="single" w:color="auto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4FB8045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  <w:t>Reference standard</w:t>
            </w:r>
          </w:p>
        </w:tc>
      </w:tr>
      <w:tr w14:paraId="6644A9DF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57" w:type="dxa"/>
            <w:tcBorders>
              <w:top w:val="single" w:color="auto" w:sz="12" w:space="0"/>
              <w:bottom w:val="nil"/>
              <w:tl2br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374FAC9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Elsayed, M. M., 2025</w:t>
            </w:r>
          </w:p>
        </w:tc>
        <w:tc>
          <w:tcPr>
            <w:tcW w:w="1167" w:type="dxa"/>
            <w:tcBorders>
              <w:top w:val="single" w:color="auto" w:sz="12" w:space="0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4D35D06B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7" w:type="dxa"/>
            <w:tcBorders>
              <w:top w:val="single" w:color="auto" w:sz="12" w:space="0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712EA4A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1166" w:type="dxa"/>
            <w:tcBorders>
              <w:top w:val="single" w:color="auto" w:sz="12" w:space="0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17E21E1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7" w:type="dxa"/>
            <w:tcBorders>
              <w:top w:val="single" w:color="auto" w:sz="12" w:space="0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C315F52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9" w:type="dxa"/>
            <w:tcBorders>
              <w:top w:val="single" w:color="auto" w:sz="12" w:space="0"/>
              <w:bottom w:val="nil"/>
            </w:tcBorders>
            <w:shd w:val="clear" w:color="auto" w:fill="FFFFFF"/>
            <w:vAlign w:val="center"/>
          </w:tcPr>
          <w:p w14:paraId="606C28DF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7" w:type="dxa"/>
            <w:tcBorders>
              <w:top w:val="single" w:color="auto" w:sz="12" w:space="0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6147B1C6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5" w:type="dxa"/>
            <w:tcBorders>
              <w:top w:val="single" w:color="auto" w:sz="12" w:space="0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A496668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</w:tr>
      <w:tr w14:paraId="79283715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57" w:type="dxa"/>
            <w:tcBorders>
              <w:top w:val="nil"/>
              <w:bottom w:val="nil"/>
              <w:tl2br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F8F604C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Del Toro-Cisneros, N., 2025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1488118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6CC8F0CE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6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BE607FF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15BBB74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08F040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2FC2B96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1165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6265C7AB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</w:tr>
      <w:tr w14:paraId="0966830B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57" w:type="dxa"/>
            <w:tcBorders>
              <w:top w:val="nil"/>
              <w:bottom w:val="nil"/>
              <w:tl2br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D66D3FD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Lima, C., 2024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6E60B2BF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604C12C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1166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B8EE8DC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4EC5E6EA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909E38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60E9C903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5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73D80627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Unclear</w:t>
            </w:r>
          </w:p>
        </w:tc>
      </w:tr>
      <w:tr w14:paraId="7A7C28A0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57" w:type="dxa"/>
            <w:tcBorders>
              <w:top w:val="nil"/>
              <w:bottom w:val="nil"/>
              <w:tl2br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4C8AC01D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Duff, S., 2022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7D938C04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2D223F8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6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FDC803F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AA89856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20A7E1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7F87D80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1165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9AA01F2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</w:tr>
      <w:tr w14:paraId="2CD92360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57" w:type="dxa"/>
            <w:tcBorders>
              <w:top w:val="nil"/>
              <w:bottom w:val="nil"/>
              <w:tl2br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C1E0FCC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Vogel, M. J., 2021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714A2D3B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7BA81AB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6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9FCD5BE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6F0DAF5F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4018F0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6A2F81CE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5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91CD818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</w:tr>
      <w:tr w14:paraId="49C5BE4C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57" w:type="dxa"/>
            <w:tcBorders>
              <w:top w:val="nil"/>
              <w:bottom w:val="nil"/>
              <w:tl2br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D7D10DF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Xie, Y., 2017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24EF504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8649A53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6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F7774C1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4EE27929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A92626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7128F570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1165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633443C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Low</w:t>
            </w:r>
          </w:p>
        </w:tc>
      </w:tr>
      <w:tr w14:paraId="0541D307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57" w:type="dxa"/>
            <w:tcBorders>
              <w:top w:val="nil"/>
              <w:bottom w:val="nil"/>
              <w:tl2br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B271D5E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Nickolas, T. L., 2012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752E32F3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9"/>
                <w:szCs w:val="19"/>
                <w:lang w:bidi="ar"/>
              </w:rPr>
              <w:t xml:space="preserve">Low 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338EE4F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9"/>
                <w:szCs w:val="19"/>
                <w:lang w:bidi="ar"/>
              </w:rPr>
              <w:t xml:space="preserve">Low </w:t>
            </w:r>
          </w:p>
        </w:tc>
        <w:tc>
          <w:tcPr>
            <w:tcW w:w="1166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0F2E01A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9"/>
                <w:szCs w:val="19"/>
                <w:lang w:bidi="ar"/>
              </w:rPr>
              <w:t>Unclear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9"/>
                <w:szCs w:val="19"/>
                <w:lang w:bidi="ar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168DF90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9"/>
                <w:szCs w:val="19"/>
                <w:lang w:bidi="ar"/>
              </w:rPr>
              <w:t xml:space="preserve">Low </w:t>
            </w: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4714A0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9"/>
                <w:szCs w:val="19"/>
                <w:lang w:bidi="ar"/>
              </w:rPr>
              <w:t xml:space="preserve">Low 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2F9E1E5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9"/>
                <w:szCs w:val="19"/>
                <w:lang w:bidi="ar"/>
              </w:rPr>
              <w:t xml:space="preserve">Low </w:t>
            </w:r>
          </w:p>
        </w:tc>
        <w:tc>
          <w:tcPr>
            <w:tcW w:w="1165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0C40CAB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9"/>
                <w:szCs w:val="19"/>
                <w:lang w:bidi="ar"/>
              </w:rPr>
              <w:t>Unclear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9"/>
                <w:szCs w:val="19"/>
                <w:lang w:bidi="ar"/>
              </w:rPr>
              <w:t xml:space="preserve"> </w:t>
            </w:r>
          </w:p>
        </w:tc>
      </w:tr>
      <w:tr w14:paraId="30D0DF25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57" w:type="dxa"/>
            <w:tcBorders>
              <w:top w:val="nil"/>
              <w:bottom w:val="single" w:color="auto" w:sz="12" w:space="0"/>
              <w:tl2br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36793AC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Liang, X. L., 2011</w:t>
            </w:r>
          </w:p>
        </w:tc>
        <w:tc>
          <w:tcPr>
            <w:tcW w:w="1167" w:type="dxa"/>
            <w:tcBorders>
              <w:top w:val="nil"/>
              <w:bottom w:val="single" w:color="auto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3D8EEDF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1167" w:type="dxa"/>
            <w:tcBorders>
              <w:top w:val="nil"/>
              <w:bottom w:val="single" w:color="auto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64CAC4D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9"/>
                <w:szCs w:val="19"/>
                <w:lang w:bidi="ar"/>
              </w:rPr>
              <w:t xml:space="preserve">Low </w:t>
            </w:r>
          </w:p>
        </w:tc>
        <w:tc>
          <w:tcPr>
            <w:tcW w:w="1166" w:type="dxa"/>
            <w:tcBorders>
              <w:top w:val="nil"/>
              <w:bottom w:val="single" w:color="auto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A3AB41A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9"/>
                <w:szCs w:val="19"/>
                <w:lang w:bidi="ar"/>
              </w:rPr>
              <w:t>Unclear</w:t>
            </w:r>
          </w:p>
        </w:tc>
        <w:tc>
          <w:tcPr>
            <w:tcW w:w="1167" w:type="dxa"/>
            <w:tcBorders>
              <w:top w:val="nil"/>
              <w:bottom w:val="single" w:color="auto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48DB50C8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9"/>
                <w:szCs w:val="19"/>
                <w:lang w:bidi="ar"/>
              </w:rPr>
              <w:t xml:space="preserve">Low </w:t>
            </w:r>
          </w:p>
        </w:tc>
        <w:tc>
          <w:tcPr>
            <w:tcW w:w="1169" w:type="dxa"/>
            <w:tcBorders>
              <w:top w:val="nil"/>
              <w:bottom w:val="single" w:color="auto" w:sz="12" w:space="0"/>
            </w:tcBorders>
            <w:shd w:val="clear" w:color="auto" w:fill="FFFFFF"/>
            <w:vAlign w:val="center"/>
          </w:tcPr>
          <w:p w14:paraId="5EC1285E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9"/>
                <w:szCs w:val="19"/>
                <w:lang w:bidi="ar"/>
              </w:rPr>
              <w:t xml:space="preserve">Low </w:t>
            </w:r>
          </w:p>
        </w:tc>
        <w:tc>
          <w:tcPr>
            <w:tcW w:w="1167" w:type="dxa"/>
            <w:tcBorders>
              <w:top w:val="nil"/>
              <w:bottom w:val="single" w:color="auto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65423FB9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9"/>
                <w:szCs w:val="19"/>
                <w:lang w:bidi="ar"/>
              </w:rPr>
              <w:t xml:space="preserve">Low </w:t>
            </w:r>
          </w:p>
        </w:tc>
        <w:tc>
          <w:tcPr>
            <w:tcW w:w="1165" w:type="dxa"/>
            <w:tcBorders>
              <w:top w:val="nil"/>
              <w:bottom w:val="single" w:color="auto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7CCD2C45">
            <w:pPr>
              <w:widowControl/>
              <w:spacing w:before="0" w:after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9"/>
                <w:szCs w:val="19"/>
                <w:lang w:bidi="ar"/>
              </w:rPr>
              <w:t>Unclear</w:t>
            </w:r>
          </w:p>
        </w:tc>
      </w:tr>
    </w:tbl>
    <w:p w14:paraId="0BAC5C23">
      <w:pPr>
        <w:pStyle w:val="8"/>
        <w:outlineLvl w:val="0"/>
        <w:rPr>
          <w:rFonts w:hint="eastAsia" w:ascii="Times New Roman" w:hAnsi="Times New Roman" w:eastAsia="Times New Roman" w:cs="Times New Roman"/>
          <w:b/>
          <w:sz w:val="28"/>
          <w:szCs w:val="22"/>
          <w:lang w:val="en-US" w:eastAsia="zh-CN"/>
        </w:rPr>
      </w:pPr>
    </w:p>
    <w:p w14:paraId="5B6FCFF3">
      <w:pPr>
        <w:widowControl/>
        <w:ind w:left="840" w:leftChars="0" w:hanging="840" w:hangingChars="300"/>
        <w:jc w:val="left"/>
        <w:rPr>
          <w:rFonts w:hint="eastAsia" w:ascii="Times New Roman" w:hAnsi="Times New Roman" w:cs="Times New Roman"/>
          <w:b/>
          <w:kern w:val="2"/>
          <w:sz w:val="28"/>
          <w:szCs w:val="22"/>
          <w:lang w:val="en-US" w:eastAsia="zh-CN" w:bidi="ar-SA"/>
        </w:rPr>
        <w:sectPr>
          <w:pgSz w:w="11906" w:h="16838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8FDDDF7">
      <w:pPr>
        <w:widowControl/>
        <w:ind w:left="840" w:leftChars="0" w:hanging="840" w:hangingChars="300"/>
        <w:jc w:val="left"/>
        <w:rPr>
          <w:rFonts w:hint="eastAsia" w:ascii="Times New Roman" w:hAnsi="Times New Roman" w:cs="Times New Roman"/>
          <w:b/>
          <w:kern w:val="2"/>
          <w:sz w:val="28"/>
          <w:szCs w:val="22"/>
          <w:lang w:val="en-US" w:eastAsia="zh-CN" w:bidi="ar-SA"/>
        </w:rPr>
      </w:pPr>
      <w:r>
        <w:rPr>
          <w:rFonts w:hint="eastAsia" w:ascii="Times New Roman" w:hAnsi="Times New Roman" w:cs="Times New Roman"/>
          <w:b/>
          <w:kern w:val="2"/>
          <w:sz w:val="28"/>
          <w:szCs w:val="22"/>
          <w:lang w:val="en-US" w:eastAsia="zh-CN" w:bidi="ar-SA"/>
        </w:rPr>
        <w:t>S5  Pooled analysis of KIM-1 levels between patients with persistent severe AKI and controls</w:t>
      </w:r>
    </w:p>
    <w:p w14:paraId="49F495FE">
      <w:pPr>
        <w:widowControl/>
        <w:ind w:left="720" w:leftChars="0" w:hanging="720" w:hangingChars="300"/>
        <w:jc w:val="left"/>
      </w:pPr>
      <w:r>
        <w:drawing>
          <wp:inline distT="0" distB="0" distL="114300" distR="114300">
            <wp:extent cx="6014085" cy="1312545"/>
            <wp:effectExtent l="0" t="0" r="5715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14085" cy="131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A72A3">
      <w:pPr>
        <w:rPr>
          <w:rFonts w:hint="eastAsia" w:ascii="Times New Roman" w:hAnsi="Times New Roman" w:cs="Times New Roman"/>
          <w:b/>
          <w:kern w:val="2"/>
          <w:sz w:val="28"/>
          <w:szCs w:val="22"/>
          <w:lang w:val="en-US" w:eastAsia="zh-CN" w:bidi="ar-SA"/>
        </w:rPr>
      </w:pPr>
      <w:r>
        <w:rPr>
          <w:rFonts w:hint="eastAsia" w:ascii="Times New Roman" w:hAnsi="Times New Roman" w:cs="Times New Roman"/>
          <w:b/>
          <w:kern w:val="2"/>
          <w:sz w:val="28"/>
          <w:szCs w:val="22"/>
          <w:lang w:val="en-US" w:eastAsia="zh-CN" w:bidi="ar-SA"/>
        </w:rPr>
        <w:br w:type="page"/>
      </w:r>
    </w:p>
    <w:p w14:paraId="389EA7C8">
      <w:pPr>
        <w:widowControl/>
        <w:ind w:left="840" w:leftChars="0" w:hanging="840" w:hangingChars="300"/>
        <w:jc w:val="left"/>
        <w:rPr>
          <w:rFonts w:hint="eastAsia" w:ascii="Times New Roman" w:hAnsi="Times New Roman" w:cs="Times New Roman"/>
          <w:b/>
          <w:kern w:val="2"/>
          <w:sz w:val="28"/>
          <w:szCs w:val="22"/>
          <w:lang w:val="en-US" w:eastAsia="zh-CN" w:bidi="ar-SA"/>
        </w:rPr>
      </w:pPr>
      <w:bookmarkStart w:id="0" w:name="_GoBack"/>
      <w:r>
        <w:rPr>
          <w:rFonts w:hint="eastAsia" w:ascii="Times New Roman" w:hAnsi="Times New Roman" w:cs="Times New Roman"/>
          <w:b/>
          <w:kern w:val="2"/>
          <w:sz w:val="28"/>
          <w:szCs w:val="22"/>
          <w:lang w:val="en-US" w:eastAsia="zh-CN" w:bidi="ar-SA"/>
        </w:rPr>
        <w:t>S6  Sensitivity Analyses</w:t>
      </w:r>
    </w:p>
    <w:bookmarkEnd w:id="0"/>
    <w:p w14:paraId="1EFEC9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840" w:leftChars="0" w:right="0" w:rightChars="0" w:hanging="840" w:hangingChars="300"/>
        <w:jc w:val="left"/>
        <w:textAlignment w:val="auto"/>
        <w:rPr>
          <w:rFonts w:hint="default" w:ascii="Times New Roman" w:hAnsi="Times New Roman" w:cs="Times New Roman"/>
          <w:b/>
          <w:kern w:val="2"/>
          <w:sz w:val="28"/>
          <w:szCs w:val="22"/>
          <w:lang w:val="en-US" w:eastAsia="zh-CN" w:bidi="ar-SA"/>
        </w:rPr>
      </w:pPr>
      <w:r>
        <w:rPr>
          <w:rFonts w:hint="eastAsia" w:ascii="Times New Roman" w:hAnsi="Times New Roman" w:cs="Times New Roman"/>
          <w:b/>
          <w:kern w:val="2"/>
          <w:sz w:val="28"/>
          <w:szCs w:val="22"/>
          <w:lang w:val="en-US" w:eastAsia="zh-CN" w:bidi="ar-SA"/>
        </w:rPr>
        <w:t>S6-1 Sensitivity analysis of different thresholds</w:t>
      </w:r>
    </w:p>
    <w:p w14:paraId="184E5F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840" w:leftChars="0" w:hanging="840" w:hangingChars="300"/>
        <w:jc w:val="center"/>
        <w:textAlignment w:val="auto"/>
        <w:rPr>
          <w:rFonts w:hint="default" w:ascii="Times New Roman" w:hAnsi="Times New Roman" w:cs="Times New Roman"/>
          <w:b/>
          <w:kern w:val="2"/>
          <w:sz w:val="28"/>
          <w:szCs w:val="22"/>
          <w:lang w:val="en-US" w:eastAsia="zh-CN" w:bidi="ar-SA"/>
        </w:rPr>
      </w:pPr>
      <w:r>
        <w:rPr>
          <w:rFonts w:hint="default" w:ascii="Times New Roman" w:hAnsi="Times New Roman" w:cs="Times New Roman"/>
          <w:b/>
          <w:kern w:val="2"/>
          <w:sz w:val="28"/>
          <w:szCs w:val="22"/>
          <w:lang w:val="en-US" w:eastAsia="zh-CN" w:bidi="ar-SA"/>
        </w:rPr>
        <w:drawing>
          <wp:inline distT="0" distB="0" distL="114300" distR="114300">
            <wp:extent cx="5725795" cy="2290445"/>
            <wp:effectExtent l="0" t="0" r="1905" b="8255"/>
            <wp:docPr id="7" name="图片 7" descr="2+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+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5795" cy="229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64CA6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leftChars="0" w:right="0" w:firstLine="0" w:firstLineChars="0"/>
        <w:jc w:val="both"/>
        <w:rPr>
          <w:rFonts w:hint="default" w:ascii="Times New Roman" w:hAnsi="Times New Roman" w:eastAsia="宋体" w:cs="Times New Roman"/>
          <w:b w:val="0"/>
          <w:bCs w:val="0"/>
          <w:kern w:val="2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2"/>
          <w:szCs w:val="22"/>
          <w:lang w:val="en-US" w:eastAsia="zh-CN" w:bidi="ar"/>
        </w:rPr>
        <w:t xml:space="preserve">Fig. </w:t>
      </w:r>
      <w:r>
        <w:rPr>
          <w:rFonts w:hint="eastAsia" w:ascii="Times New Roman" w:hAnsi="Times New Roman" w:eastAsia="宋体" w:cs="Times New Roman"/>
          <w:b/>
          <w:bCs/>
          <w:kern w:val="2"/>
          <w:sz w:val="22"/>
          <w:szCs w:val="22"/>
          <w:lang w:val="en-US" w:eastAsia="zh-CN" w:bidi="ar"/>
        </w:rPr>
        <w:t>S6-1</w:t>
      </w:r>
      <w:r>
        <w:rPr>
          <w:rFonts w:hint="eastAsia" w:ascii="Times New Roman" w:hAnsi="Times New Roman" w:cs="Times New Roman"/>
          <w:b/>
          <w:kern w:val="2"/>
          <w:sz w:val="24"/>
          <w:szCs w:val="21"/>
          <w:lang w:val="en-US" w:eastAsia="zh-CN" w:bidi="ar-SA"/>
        </w:rPr>
        <w:t>-</w:t>
      </w:r>
      <w:r>
        <w:rPr>
          <w:rFonts w:hint="eastAsia" w:ascii="Times New Roman" w:hAnsi="Times New Roman" w:eastAsia="宋体" w:cs="Times New Roman"/>
          <w:b/>
          <w:bCs/>
          <w:kern w:val="2"/>
          <w:sz w:val="22"/>
          <w:szCs w:val="22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b/>
          <w:bCs/>
          <w:kern w:val="2"/>
          <w:sz w:val="22"/>
          <w:szCs w:val="22"/>
          <w:lang w:val="en-US" w:eastAsia="zh-CN" w:bidi="ar"/>
        </w:rPr>
        <w:t xml:space="preserve"> Diagnostic performance of uKIM-1 for persistent severe AKI in the sensitivity analysis using alternative cutoff values.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2"/>
          <w:szCs w:val="22"/>
          <w:lang w:val="en-US" w:eastAsia="zh-CN" w:bidi="ar"/>
        </w:rPr>
        <w:t>The cutoff values were 1.67 ng/mL for Nickolas et al. (2012) and 1.50 ng/mg for Liang et al. (2011). A. Forest plot of pooled sensitivity. B. Forest plot of pooled specificity. C. Forest plot of pooled log diagnostic odds ratio.</w:t>
      </w:r>
    </w:p>
    <w:p w14:paraId="5838BF82">
      <w:pPr>
        <w:rPr>
          <w:rFonts w:hint="default" w:ascii="Times New Roman" w:hAnsi="Times New Roman" w:eastAsia="宋体" w:cs="Times New Roman"/>
          <w:b w:val="0"/>
          <w:bCs w:val="0"/>
          <w:kern w:val="2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2"/>
          <w:szCs w:val="22"/>
          <w:lang w:val="en-US" w:eastAsia="zh-CN" w:bidi="ar"/>
        </w:rPr>
        <w:br w:type="page"/>
      </w:r>
    </w:p>
    <w:p w14:paraId="15AFA67D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leftChars="0" w:right="0" w:firstLine="0" w:firstLineChars="0"/>
        <w:jc w:val="center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"/>
        </w:rPr>
        <w:drawing>
          <wp:inline distT="0" distB="0" distL="114300" distR="114300">
            <wp:extent cx="5354320" cy="2278380"/>
            <wp:effectExtent l="0" t="0" r="0" b="0"/>
            <wp:docPr id="6" name="图片 6" descr="1+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+2"/>
                    <pic:cNvPicPr>
                      <a:picLocks noChangeAspect="1"/>
                    </pic:cNvPicPr>
                  </pic:nvPicPr>
                  <pic:blipFill>
                    <a:blip r:embed="rId8"/>
                    <a:srcRect r="5998"/>
                    <a:stretch>
                      <a:fillRect/>
                    </a:stretch>
                  </pic:blipFill>
                  <pic:spPr>
                    <a:xfrm>
                      <a:off x="0" y="0"/>
                      <a:ext cx="5354320" cy="227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A55E8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leftChars="0" w:right="0" w:firstLine="0" w:firstLineChars="0"/>
        <w:jc w:val="both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2"/>
          <w:szCs w:val="22"/>
          <w:lang w:val="en-US" w:eastAsia="zh-CN" w:bidi="ar"/>
        </w:rPr>
        <w:t xml:space="preserve">Fig. </w:t>
      </w:r>
      <w:r>
        <w:rPr>
          <w:rFonts w:hint="eastAsia" w:ascii="Times New Roman" w:hAnsi="Times New Roman" w:eastAsia="宋体" w:cs="Times New Roman"/>
          <w:b/>
          <w:bCs/>
          <w:kern w:val="2"/>
          <w:sz w:val="22"/>
          <w:szCs w:val="22"/>
          <w:lang w:val="en-US" w:eastAsia="zh-CN" w:bidi="ar"/>
        </w:rPr>
        <w:t>S6-1</w:t>
      </w:r>
      <w:r>
        <w:rPr>
          <w:rFonts w:hint="eastAsia" w:ascii="Times New Roman" w:hAnsi="Times New Roman" w:cs="Times New Roman"/>
          <w:b/>
          <w:kern w:val="2"/>
          <w:sz w:val="24"/>
          <w:szCs w:val="21"/>
          <w:lang w:val="en-US" w:eastAsia="zh-CN" w:bidi="ar-SA"/>
        </w:rPr>
        <w:t>-</w:t>
      </w:r>
      <w:r>
        <w:rPr>
          <w:rFonts w:hint="eastAsia" w:ascii="Times New Roman" w:hAnsi="Times New Roman" w:eastAsia="宋体" w:cs="Times New Roman"/>
          <w:b/>
          <w:bCs/>
          <w:kern w:val="2"/>
          <w:sz w:val="22"/>
          <w:szCs w:val="22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b/>
          <w:bCs/>
          <w:kern w:val="2"/>
          <w:sz w:val="22"/>
          <w:szCs w:val="22"/>
          <w:lang w:val="en-US" w:eastAsia="zh-CN" w:bidi="ar"/>
        </w:rPr>
        <w:t xml:space="preserve"> Diagnostic performance of uKIM-1 for persistent severe AKI in the sensitivity analysis using alternative cutoff values.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2"/>
          <w:szCs w:val="22"/>
          <w:lang w:val="en-US" w:eastAsia="zh-CN" w:bidi="ar"/>
        </w:rPr>
        <w:t>The cutoff values were 2.82 ng/m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2"/>
          <w:szCs w:val="22"/>
          <w:lang w:val="en-US" w:eastAsia="zh-CN" w:bidi="ar"/>
        </w:rPr>
        <w:t>L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2"/>
          <w:szCs w:val="22"/>
          <w:lang w:val="en-US" w:eastAsia="zh-CN" w:bidi="ar"/>
        </w:rPr>
        <w:t xml:space="preserve"> for Nickolas et al. (2012) and 2.00 ng/mg for Liang et al. (2011).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2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2"/>
          <w:szCs w:val="22"/>
          <w:lang w:val="en-US" w:eastAsia="zh-CN" w:bidi="ar"/>
        </w:rPr>
        <w:t>A. Forest plot of pooled sensitivity. B. Forest plot of pooled specificity. C. Forest plot of pooled log diagnostic odds ratio.</w:t>
      </w:r>
    </w:p>
    <w:p w14:paraId="7F6DBC12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leftChars="0" w:right="0" w:firstLine="0" w:firstLineChars="0"/>
        <w:jc w:val="center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"/>
        </w:rPr>
        <w:drawing>
          <wp:inline distT="0" distB="0" distL="114300" distR="114300">
            <wp:extent cx="5726430" cy="2440940"/>
            <wp:effectExtent l="0" t="0" r="1270" b="10160"/>
            <wp:docPr id="4" name="图片 4" descr="1+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+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6430" cy="244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870CA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leftChars="0" w:right="0" w:firstLine="0" w:firstLineChars="0"/>
        <w:jc w:val="both"/>
        <w:rPr>
          <w:rFonts w:hint="default" w:ascii="Times New Roman" w:hAnsi="Times New Roman" w:eastAsia="宋体" w:cs="Times New Roman"/>
          <w:b w:val="0"/>
          <w:bCs w:val="0"/>
          <w:kern w:val="2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2"/>
          <w:szCs w:val="22"/>
          <w:lang w:val="en-US" w:eastAsia="zh-CN" w:bidi="ar"/>
        </w:rPr>
        <w:t xml:space="preserve">Fig. </w:t>
      </w:r>
      <w:r>
        <w:rPr>
          <w:rFonts w:hint="eastAsia" w:ascii="Times New Roman" w:hAnsi="Times New Roman" w:eastAsia="宋体" w:cs="Times New Roman"/>
          <w:b/>
          <w:bCs/>
          <w:kern w:val="2"/>
          <w:sz w:val="22"/>
          <w:szCs w:val="22"/>
          <w:lang w:val="en-US" w:eastAsia="zh-CN" w:bidi="ar"/>
        </w:rPr>
        <w:t>S6-1</w:t>
      </w:r>
      <w:r>
        <w:rPr>
          <w:rFonts w:hint="eastAsia" w:ascii="Times New Roman" w:hAnsi="Times New Roman" w:cs="Times New Roman"/>
          <w:b/>
          <w:kern w:val="2"/>
          <w:sz w:val="24"/>
          <w:szCs w:val="21"/>
          <w:lang w:val="en-US" w:eastAsia="zh-CN" w:bidi="ar-SA"/>
        </w:rPr>
        <w:t>-</w:t>
      </w:r>
      <w:r>
        <w:rPr>
          <w:rFonts w:hint="eastAsia" w:ascii="Times New Roman" w:hAnsi="Times New Roman" w:eastAsia="宋体" w:cs="Times New Roman"/>
          <w:b/>
          <w:bCs/>
          <w:kern w:val="2"/>
          <w:sz w:val="22"/>
          <w:szCs w:val="22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2"/>
          <w:szCs w:val="22"/>
          <w:lang w:val="en-US" w:eastAsia="zh-CN" w:bidi="ar"/>
        </w:rPr>
        <w:t xml:space="preserve"> Diagnostic performance of uKIM-1 for persistent severe AKI in the sensitivity analysis using alternative cutoff values.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2"/>
          <w:szCs w:val="22"/>
          <w:lang w:val="en-US" w:eastAsia="zh-CN" w:bidi="ar"/>
        </w:rPr>
        <w:t>The cutoff values were 2.82 ng/m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2"/>
          <w:szCs w:val="22"/>
          <w:lang w:val="en-US" w:eastAsia="zh-CN" w:bidi="ar"/>
        </w:rPr>
        <w:t>L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2"/>
          <w:szCs w:val="22"/>
          <w:lang w:val="en-US" w:eastAsia="zh-CN" w:bidi="ar"/>
        </w:rPr>
        <w:t xml:space="preserve"> for Nickolas et al. (2012) and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2"/>
          <w:szCs w:val="22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2"/>
          <w:szCs w:val="22"/>
          <w:lang w:val="en-US" w:eastAsia="zh-CN" w:bidi="ar"/>
        </w:rPr>
        <w:t>.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2"/>
          <w:szCs w:val="22"/>
          <w:lang w:val="en-US" w:eastAsia="zh-CN" w:bidi="ar"/>
        </w:rPr>
        <w:t>5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2"/>
          <w:szCs w:val="22"/>
          <w:lang w:val="en-US" w:eastAsia="zh-CN" w:bidi="ar"/>
        </w:rPr>
        <w:t>0 ng/mg for Liang et al. (2011).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2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2"/>
          <w:szCs w:val="22"/>
          <w:lang w:val="en-US" w:eastAsia="zh-CN" w:bidi="ar"/>
        </w:rPr>
        <w:t>A. Forest plot of pooled sensitivity. B. Forest plot of pooled specificity. C. Forest plot of pooled log diagnostic odds ratio.</w:t>
      </w:r>
    </w:p>
    <w:p w14:paraId="06797C78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leftChars="0" w:right="0" w:firstLine="0" w:firstLineChars="0"/>
        <w:jc w:val="both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"/>
        </w:rPr>
      </w:pPr>
    </w:p>
    <w:p w14:paraId="199B61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840" w:leftChars="0" w:right="0" w:rightChars="0" w:hanging="840" w:hangingChars="300"/>
        <w:jc w:val="left"/>
        <w:textAlignment w:val="auto"/>
        <w:rPr>
          <w:rFonts w:hint="eastAsia" w:ascii="Times New Roman" w:hAnsi="Times New Roman" w:cs="Times New Roman"/>
          <w:b/>
          <w:kern w:val="2"/>
          <w:sz w:val="28"/>
          <w:szCs w:val="22"/>
          <w:lang w:val="en-US" w:eastAsia="zh-CN" w:bidi="ar-SA"/>
        </w:rPr>
      </w:pPr>
      <w:r>
        <w:rPr>
          <w:rFonts w:hint="eastAsia" w:ascii="Times New Roman" w:hAnsi="Times New Roman" w:cs="Times New Roman"/>
          <w:b/>
          <w:kern w:val="2"/>
          <w:sz w:val="28"/>
          <w:szCs w:val="22"/>
          <w:lang w:val="en-US" w:eastAsia="zh-CN" w:bidi="ar-SA"/>
        </w:rPr>
        <w:t>S6-2 Sensitivity analysis of prior specifications</w:t>
      </w:r>
    </w:p>
    <w:tbl>
      <w:tblPr>
        <w:tblStyle w:val="12"/>
        <w:tblpPr w:leftFromText="180" w:rightFromText="180" w:vertAnchor="text" w:horzAnchor="page" w:tblpX="410" w:tblpY="44"/>
        <w:tblOverlap w:val="never"/>
        <w:tblW w:w="11169" w:type="dxa"/>
        <w:jc w:val="center"/>
        <w:tblBorders>
          <w:top w:val="single" w:color="7E7E7E" w:themeColor="text1" w:themeTint="80" w:sz="4" w:space="0"/>
          <w:left w:val="none" w:color="auto" w:sz="0" w:space="0"/>
          <w:bottom w:val="single" w:color="7E7E7E" w:themeColor="text1" w:themeTint="8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531"/>
        <w:gridCol w:w="1531"/>
        <w:gridCol w:w="1304"/>
        <w:gridCol w:w="1304"/>
        <w:gridCol w:w="1417"/>
        <w:gridCol w:w="1304"/>
        <w:gridCol w:w="1304"/>
      </w:tblGrid>
      <w:tr w14:paraId="2A6583D1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1474" w:type="dxa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3E3321B">
            <w:pPr>
              <w:widowControl/>
              <w:spacing w:line="240" w:lineRule="exact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  <w:t>Prior specification</w:t>
            </w:r>
          </w:p>
        </w:tc>
        <w:tc>
          <w:tcPr>
            <w:tcW w:w="1531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4F365047">
            <w:pPr>
              <w:widowControl/>
              <w:spacing w:line="240" w:lineRule="exact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Sensitivity (95% CrI)</w:t>
            </w:r>
          </w:p>
        </w:tc>
        <w:tc>
          <w:tcPr>
            <w:tcW w:w="1531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482954E1">
            <w:pPr>
              <w:widowControl/>
              <w:spacing w:line="240" w:lineRule="exact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Specificity (95% CrI)</w:t>
            </w:r>
          </w:p>
        </w:tc>
        <w:tc>
          <w:tcPr>
            <w:tcW w:w="1304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4D62BCAF">
            <w:pPr>
              <w:widowControl/>
              <w:spacing w:line="240" w:lineRule="exact"/>
              <w:ind w:left="201" w:leftChars="0" w:hanging="201" w:hangingChars="100"/>
              <w:jc w:val="center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+LR (95% CrI)</w:t>
            </w:r>
          </w:p>
        </w:tc>
        <w:tc>
          <w:tcPr>
            <w:tcW w:w="1304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C4A8795">
            <w:pPr>
              <w:widowControl/>
              <w:spacing w:line="240" w:lineRule="exact"/>
              <w:ind w:left="221" w:leftChars="0" w:hanging="221" w:hangingChars="100"/>
              <w:jc w:val="center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L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R (95% CrI)</w:t>
            </w:r>
          </w:p>
        </w:tc>
        <w:tc>
          <w:tcPr>
            <w:tcW w:w="1417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6A451E65">
            <w:pPr>
              <w:widowControl/>
              <w:spacing w:line="240" w:lineRule="exact"/>
              <w:ind w:left="201" w:leftChars="0" w:hanging="201" w:hangingChars="10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DOR (95% CrI)</w:t>
            </w:r>
          </w:p>
        </w:tc>
        <w:tc>
          <w:tcPr>
            <w:tcW w:w="1304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6950AB82">
            <w:pPr>
              <w:widowControl/>
              <w:spacing w:line="240" w:lineRule="exact"/>
              <w:ind w:left="201" w:leftChars="0" w:hanging="201" w:hangingChars="10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RD (95% CrI)</w:t>
            </w:r>
          </w:p>
        </w:tc>
        <w:tc>
          <w:tcPr>
            <w:tcW w:w="1304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E802441">
            <w:pPr>
              <w:widowControl/>
              <w:spacing w:line="240" w:lineRule="exact"/>
              <w:ind w:left="201" w:leftChars="0" w:hanging="201" w:hangingChars="10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AUC (95% CrI)</w:t>
            </w:r>
          </w:p>
        </w:tc>
      </w:tr>
      <w:tr w14:paraId="7F42487E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1474" w:type="dxa"/>
            <w:tcBorders>
              <w:top w:val="single" w:color="000000" w:sz="4" w:space="0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447ED4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Default inverse-gamma prior</w:t>
            </w:r>
          </w:p>
        </w:tc>
        <w:tc>
          <w:tcPr>
            <w:tcW w:w="1531" w:type="dxa"/>
            <w:tcBorders>
              <w:top w:val="single" w:color="000000" w:sz="4" w:space="0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3CF1BFC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0.6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7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(0.5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–0.7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531" w:type="dxa"/>
            <w:tcBorders>
              <w:top w:val="single" w:color="000000" w:sz="4" w:space="0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CA9BABA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0.73 (0.61–0.8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304" w:type="dxa"/>
            <w:tcBorders>
              <w:top w:val="single" w:color="000000" w:sz="4" w:space="0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369BF7E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2.6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 (1.67–4.43)</w:t>
            </w:r>
          </w:p>
        </w:tc>
        <w:tc>
          <w:tcPr>
            <w:tcW w:w="1304" w:type="dxa"/>
            <w:tcBorders>
              <w:top w:val="single" w:color="000000" w:sz="4" w:space="0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452D1C84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0.46 (0.33–0.59)</w:t>
            </w:r>
          </w:p>
        </w:tc>
        <w:tc>
          <w:tcPr>
            <w:tcW w:w="1417" w:type="dxa"/>
            <w:tcBorders>
              <w:top w:val="single" w:color="000000" w:sz="4" w:space="0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37C3625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5.8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 (2.91–11.08)</w:t>
            </w:r>
          </w:p>
        </w:tc>
        <w:tc>
          <w:tcPr>
            <w:tcW w:w="1304" w:type="dxa"/>
            <w:tcBorders>
              <w:top w:val="single" w:color="000000" w:sz="4" w:space="0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4B72A4E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0.39 (0.2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–0.5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304" w:type="dxa"/>
            <w:tcBorders>
              <w:top w:val="single" w:color="000000" w:sz="4" w:space="0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5A8CB09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0.7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 (0.61–0.8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)</w:t>
            </w:r>
          </w:p>
        </w:tc>
      </w:tr>
      <w:tr w14:paraId="15CCC9B5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4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7481D1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PC prior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69522D0F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0.6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7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(0.5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–0.7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9340A6E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0.7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 (0.6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–0.82)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FD70CB4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2.55 (1.72–3.97)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D68C32E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0.46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(0.3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–0.58)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6044588F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5.71 (3.10–10.09)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FC0057E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0.39 (0.27–0.5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41EE5EA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0.74 (0.62–0.8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)</w:t>
            </w:r>
          </w:p>
        </w:tc>
      </w:tr>
      <w:tr w14:paraId="363BFD56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1474" w:type="dxa"/>
            <w:tcBorders>
              <w:top w:val="nil"/>
              <w:bottom w:val="single" w:color="auto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EB3B6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Half-Cauchy prior</w:t>
            </w:r>
          </w:p>
        </w:tc>
        <w:tc>
          <w:tcPr>
            <w:tcW w:w="1531" w:type="dxa"/>
            <w:tcBorders>
              <w:top w:val="nil"/>
              <w:bottom w:val="single" w:color="auto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7F8AF6ED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0.6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7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(0.5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–0.76)</w:t>
            </w:r>
          </w:p>
        </w:tc>
        <w:tc>
          <w:tcPr>
            <w:tcW w:w="1531" w:type="dxa"/>
            <w:tcBorders>
              <w:top w:val="nil"/>
              <w:bottom w:val="single" w:color="auto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73F11CA9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0.73 (0.60–0.84)</w:t>
            </w:r>
          </w:p>
        </w:tc>
        <w:tc>
          <w:tcPr>
            <w:tcW w:w="1304" w:type="dxa"/>
            <w:tcBorders>
              <w:top w:val="nil"/>
              <w:bottom w:val="single" w:color="auto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2C3C5264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2.6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 (1.64–4.66)</w:t>
            </w:r>
          </w:p>
        </w:tc>
        <w:tc>
          <w:tcPr>
            <w:tcW w:w="1304" w:type="dxa"/>
            <w:tcBorders>
              <w:top w:val="nil"/>
              <w:bottom w:val="single" w:color="auto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D227A26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0.4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6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(0.3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–0.60)</w:t>
            </w:r>
          </w:p>
        </w:tc>
        <w:tc>
          <w:tcPr>
            <w:tcW w:w="1417" w:type="dxa"/>
            <w:tcBorders>
              <w:top w:val="nil"/>
              <w:bottom w:val="single" w:color="auto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42B4BDAB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6.04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(2.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90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–11.6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304" w:type="dxa"/>
            <w:tcBorders>
              <w:top w:val="nil"/>
              <w:bottom w:val="single" w:color="auto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48D29FD3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 (0.2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–0.5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304" w:type="dxa"/>
            <w:tcBorders>
              <w:top w:val="nil"/>
              <w:bottom w:val="single" w:color="auto" w:sz="12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5D8E0825"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0.7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 (0.6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–0.8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/>
              </w:rPr>
              <w:t>)</w:t>
            </w:r>
          </w:p>
        </w:tc>
      </w:tr>
    </w:tbl>
    <w:p w14:paraId="5FA22FDF">
      <w:pPr>
        <w:pStyle w:val="2"/>
        <w:keepNext w:val="0"/>
        <w:keepLines w:val="0"/>
        <w:widowControl/>
        <w:suppressLineNumbers w:val="0"/>
        <w:ind w:left="0" w:leftChars="0" w:firstLine="0" w:firstLineChars="0"/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 xml:space="preserve">Abbreviations: CrI, credible interval; 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+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 xml:space="preserve">LR, positive likelihood ratio; 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>LR, negative likelihood ratio; DOR, diagnostic odds ratio; RD, risk difference; AUC, area under the summary receiver operating characteristic curve; PC, penalized complexity.</w:t>
      </w:r>
    </w:p>
    <w:p w14:paraId="0A28F00A">
      <w:pPr>
        <w:widowControl/>
        <w:ind w:left="840" w:leftChars="0" w:hanging="840" w:hangingChars="300"/>
        <w:jc w:val="left"/>
        <w:rPr>
          <w:rFonts w:hint="eastAsia" w:ascii="Times New Roman" w:hAnsi="Times New Roman" w:cs="Times New Roman"/>
          <w:b/>
          <w:kern w:val="2"/>
          <w:sz w:val="28"/>
          <w:szCs w:val="22"/>
          <w:lang w:val="en-US" w:eastAsia="zh-CN" w:bidi="ar-SA"/>
        </w:rPr>
      </w:pPr>
    </w:p>
    <w:p w14:paraId="7558DC05">
      <w:pPr>
        <w:widowControl/>
        <w:ind w:left="720" w:leftChars="0" w:hanging="720" w:hangingChars="300"/>
        <w:jc w:val="left"/>
        <w:rPr>
          <w:rFonts w:hint="default"/>
          <w:lang w:val="en-US" w:eastAsia="zh-CN"/>
        </w:rPr>
      </w:pPr>
    </w:p>
    <w:sectPr>
      <w:pgSz w:w="11906" w:h="16838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240" w:right="240" w:firstLine="480"/>
      </w:pPr>
      <w:r>
        <w:separator/>
      </w:r>
    </w:p>
  </w:endnote>
  <w:endnote w:type="continuationSeparator" w:id="1">
    <w:p>
      <w:pPr>
        <w:spacing w:line="240" w:lineRule="auto"/>
        <w:ind w:left="240" w:right="240"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left="240" w:right="240" w:firstLine="480"/>
      </w:pPr>
      <w:r>
        <w:separator/>
      </w:r>
    </w:p>
  </w:footnote>
  <w:footnote w:type="continuationSeparator" w:id="1">
    <w:p>
      <w:pPr>
        <w:spacing w:before="0" w:after="0" w:line="360" w:lineRule="auto"/>
        <w:ind w:left="240" w:right="240"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3213B7"/>
    <w:rsid w:val="22BD7176"/>
    <w:rsid w:val="23A05DDA"/>
    <w:rsid w:val="24F56F32"/>
    <w:rsid w:val="3A6677DF"/>
    <w:rsid w:val="423213B7"/>
    <w:rsid w:val="42E74E0A"/>
    <w:rsid w:val="4C1753F0"/>
    <w:rsid w:val="4C5F09D9"/>
    <w:rsid w:val="531D4D5E"/>
    <w:rsid w:val="570F7EDC"/>
    <w:rsid w:val="657C5702"/>
    <w:rsid w:val="6C5472BA"/>
    <w:rsid w:val="72BF2DE3"/>
    <w:rsid w:val="7F1A654B"/>
    <w:rsid w:val="7F57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20" w:after="120" w:line="360" w:lineRule="auto"/>
      <w:ind w:left="240" w:leftChars="100" w:right="240" w:rightChars="100" w:firstLine="480" w:firstLineChars="200"/>
      <w:jc w:val="both"/>
    </w:pPr>
    <w:rPr>
      <w:rFonts w:eastAsia="Times New Roman" w:asciiTheme="minorHAnsi" w:hAnsiTheme="minorHAnsi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qFormat/>
    <w:uiPriority w:val="0"/>
    <w:rPr>
      <w:color w:val="0563C1"/>
      <w:u w:val="single"/>
    </w:rPr>
  </w:style>
  <w:style w:type="paragraph" w:customStyle="1" w:styleId="8">
    <w:name w:val="样式1"/>
    <w:basedOn w:val="1"/>
    <w:qFormat/>
    <w:uiPriority w:val="0"/>
    <w:pPr>
      <w:ind w:left="0" w:leftChars="0" w:firstLine="0" w:firstLineChars="0"/>
    </w:pPr>
    <w:rPr>
      <w:rFonts w:ascii="Times New Roman" w:hAnsi="Times New Roman" w:cs="Times New Roman"/>
    </w:rPr>
  </w:style>
  <w:style w:type="paragraph" w:styleId="9">
    <w:name w:val="No Spacing"/>
    <w:qFormat/>
    <w:uiPriority w:val="1"/>
    <w:pPr>
      <w:widowControl w:val="0"/>
      <w:ind w:left="100" w:leftChars="100" w:right="100" w:rightChars="100" w:firstLine="200" w:firstLineChars="200"/>
      <w:jc w:val="both"/>
    </w:pPr>
    <w:rPr>
      <w:rFonts w:eastAsia="Times New Roman" w:asciiTheme="minorHAnsi" w:hAnsiTheme="minorHAnsi" w:cstheme="minorBidi"/>
      <w:kern w:val="2"/>
      <w:sz w:val="24"/>
      <w:szCs w:val="24"/>
      <w:lang w:val="en-US" w:eastAsia="zh-CN" w:bidi="ar-SA"/>
    </w:rPr>
  </w:style>
  <w:style w:type="paragraph" w:customStyle="1" w:styleId="10">
    <w:name w:val="CM2"/>
    <w:basedOn w:val="11"/>
    <w:next w:val="11"/>
    <w:qFormat/>
    <w:uiPriority w:val="0"/>
    <w:pPr>
      <w:spacing w:after="373"/>
    </w:pPr>
    <w:rPr>
      <w:rFonts w:cs="Times New Roman"/>
      <w:color w:val="auto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Times New Roman" w:cs="Calibri"/>
      <w:color w:val="000000"/>
      <w:sz w:val="24"/>
      <w:szCs w:val="24"/>
      <w:lang w:val="en-CA" w:eastAsia="en-CA" w:bidi="ar-SA"/>
    </w:rPr>
  </w:style>
  <w:style w:type="table" w:customStyle="1" w:styleId="12">
    <w:name w:val="无格式表格 21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tiff"/><Relationship Id="rId8" Type="http://schemas.openxmlformats.org/officeDocument/2006/relationships/image" Target="media/image3.tiff"/><Relationship Id="rId7" Type="http://schemas.openxmlformats.org/officeDocument/2006/relationships/image" Target="media/image2.tiff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927</Words>
  <Characters>5016</Characters>
  <Lines>0</Lines>
  <Paragraphs>0</Paragraphs>
  <TotalTime>14</TotalTime>
  <ScaleCrop>false</ScaleCrop>
  <LinksUpToDate>false</LinksUpToDate>
  <CharactersWithSpaces>5707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2026-03-29T02:12:00Z</dcterms:created>
  <dc:creator>Xinqi An</dc:creator>
  <cp:lastModifiedBy>Xinqi An</cp:lastModifiedBy>
  <dcterms:modified xsi:type="dcterms:W3CDTF">2026-07-10T14:43:55Z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548866E9A55145FCB115486A5872D106_13</vt:lpwstr>
  </property>
  <property fmtid="{D5CDD505-2E9C-101B-9397-08002B2CF9AE}" pid="4" name="KSOTemplateDocerSaveRecord">
    <vt:lpwstr>eyJoZGlkIjoiZmM4YmMyYTIzNzg0MWJkOTBmNWMyNjM5Y2ZjNzQ4ZTQiLCJ1c2VySWQiOiIxMjU5OTg2MDcyIn0=</vt:lpwstr>
  </property>
</Properties>
</file>