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0" w:after="160"/>
        <w:jc w:val="center"/>
      </w:pPr>
      <w:r>
        <w:rPr>
          <w:rFonts w:ascii="Times New Roman" w:hAnsi="Times New Roman" w:eastAsia="Times New Roman"/>
          <w:b/>
          <w:sz w:val="28"/>
        </w:rPr>
        <w:t>Supplementary Methods, Tables, and Figure</w:t>
      </w:r>
    </w:p>
    <w:p>
      <w:pPr>
        <w:keepNext/>
        <w:pageBreakBefore w:val="0"/>
        <w:spacing w:before="120" w:after="80"/>
        <w:ind w:left="0" w:right="0" w:firstLine="0"/>
      </w:pPr>
      <w:r>
        <w:rPr>
          <w:rFonts w:ascii="Times New Roman" w:hAnsi="Times New Roman" w:eastAsia="Times New Roman"/>
          <w:b/>
          <w:sz w:val="22"/>
        </w:rPr>
        <w:t>Supplementary Methods</w:t>
      </w:r>
    </w:p>
    <w:p>
      <w:pPr>
        <w:keepNext/>
        <w:spacing w:before="100" w:after="60"/>
        <w:ind w:left="0" w:right="0" w:firstLine="0"/>
      </w:pPr>
      <w:r>
        <w:rPr>
          <w:rFonts w:ascii="Times New Roman" w:hAnsi="Times New Roman" w:eastAsia="Times New Roman"/>
          <w:i/>
          <w:sz w:val="20"/>
        </w:rPr>
        <w:t>Source data and cohort construction</w:t>
      </w:r>
    </w:p>
    <w:p>
      <w:pPr>
        <w:spacing w:before="0" w:after="60" w:line="240" w:lineRule="auto"/>
      </w:pPr>
      <w:r>
        <w:rPr>
          <w:rFonts w:ascii="Times New Roman" w:hAnsi="Times New Roman" w:eastAsia="Times New Roman"/>
          <w:b w:val="0"/>
          <w:sz w:val="19"/>
        </w:rPr>
        <w:t xml:space="preserve">MIMIC-IV version 3.1 contains admissions from 2008–2022. eICU-CRD version 2.0 contains admissions from 2014–2015. The first ICU stay per hospitalization was retained before the cohort rules were applied. Table S1 begins with candidate first-ICU records entering cohort construction; screening for end-stage kidney disease or chronic dialysis occurred before this point. Public MIMIC-IV releases patient-shifted dates together with 3-year </w:t>
      </w:r>
      <w:r>
        <w:rPr>
          <w:rFonts w:ascii="Times New Roman" w:hAnsi="Times New Roman" w:eastAsia="Times New Roman"/>
          <w:b w:val="0"/>
          <w:i w:val="0"/>
          <w:sz w:val="19"/>
        </w:rPr>
        <w:t>anchor_year_group</w:t>
      </w:r>
      <w:r>
        <w:rPr>
          <w:rFonts w:ascii="Times New Roman" w:hAnsi="Times New Roman" w:eastAsia="Times New Roman"/>
          <w:b w:val="0"/>
          <w:sz w:val="19"/>
        </w:rPr>
        <w:t xml:space="preserve"> bins rather than exact calendar years, so an exact restriction to 2014–2015 is not identifiable. The sensitivity analysis approximating restriction to overlapping years therefore retained MIMIC-IV admissions whose reconstructed possible real-year interval, derived from </w:t>
      </w:r>
      <w:r>
        <w:rPr>
          <w:rFonts w:ascii="Times New Roman" w:hAnsi="Times New Roman" w:eastAsia="Times New Roman"/>
          <w:b w:val="0"/>
          <w:i w:val="0"/>
          <w:sz w:val="19"/>
        </w:rPr>
        <w:t>admittime</w:t>
      </w:r>
      <w:r>
        <w:rPr>
          <w:rFonts w:ascii="Times New Roman" w:hAnsi="Times New Roman" w:eastAsia="Times New Roman"/>
          <w:b w:val="0"/>
          <w:sz w:val="19"/>
        </w:rPr>
        <w:t xml:space="preserve">, </w:t>
      </w:r>
      <w:r>
        <w:rPr>
          <w:rFonts w:ascii="Times New Roman" w:hAnsi="Times New Roman" w:eastAsia="Times New Roman"/>
          <w:b w:val="0"/>
          <w:i w:val="0"/>
          <w:sz w:val="19"/>
        </w:rPr>
        <w:t>anchor_year</w:t>
      </w:r>
      <w:r>
        <w:rPr>
          <w:rFonts w:ascii="Times New Roman" w:hAnsi="Times New Roman" w:eastAsia="Times New Roman"/>
          <w:b w:val="0"/>
          <w:sz w:val="19"/>
        </w:rPr>
        <w:t xml:space="preserve">, and </w:t>
      </w:r>
      <w:r>
        <w:rPr>
          <w:rFonts w:ascii="Times New Roman" w:hAnsi="Times New Roman" w:eastAsia="Times New Roman"/>
          <w:b w:val="0"/>
          <w:i w:val="0"/>
          <w:sz w:val="19"/>
        </w:rPr>
        <w:t>anchor_year_group</w:t>
      </w:r>
      <w:r>
        <w:rPr>
          <w:rFonts w:ascii="Times New Roman" w:hAnsi="Times New Roman" w:eastAsia="Times New Roman"/>
          <w:b w:val="0"/>
          <w:sz w:val="19"/>
        </w:rPr>
        <w:t>, intersected 2014–2015. The 605 retained admissions carried 4 distinct possible-year intervals: 2012–2014 (101 admissions), 2013–2015 (70), 2014–2016 (311), and 2015–2017 (123). Because each interval spans 3 years and only intersects rather than falls within the eICU-CRD collection period, the retained subset may include admissions whose true year lies outside 2014–2015, and admissions whose true year lies inside it may have been excluded. This is an approximation of restriction by era, not a cohort matched exactly by year.</w:t>
      </w:r>
    </w:p>
    <w:p>
      <w:pPr>
        <w:spacing w:before="0" w:after="60" w:line="240" w:lineRule="auto"/>
      </w:pPr>
      <w:r>
        <w:rPr>
          <w:rFonts w:ascii="Times New Roman" w:hAnsi="Times New Roman" w:eastAsia="Times New Roman"/>
          <w:b w:val="0"/>
          <w:sz w:val="19"/>
        </w:rPr>
        <w:t xml:space="preserve">The MIMIC-IV cirrhosis phenotype required an ICD-9-CM prefix of 5712, 5715, or 5716, or an ICD-10-CM prefix of K740, K741, K742, K743, K744, K745, K7460, K7469, K7030, or K7031. Codes K740–K742 may indicate fibrosis or sclerosis rather than definite cirrhosis; their influence was examined separately. After removing punctuation and whitespace, MIMIC-IV end-stage kidney disease and chronic-dialysis exclusions used ICD-9-CM 5856 and V4511 and ICD-10-CM N186 and Z992. Under the final extraction logic, these source-level MIMIC-IV exclusions removed 10 candidate first-ICU hospitalizations before cohort construction (7 with ICD-10-CM Z992 and 3 with ICD-9-CM V4511). Nine would otherwise have remained eligible through the final analytic cohort, whereas 1 would have been excluded later for no AKI in the first 7 ICU days; this is why the candidate count changed by 10 but the final MIMIC-IV cohort changed by 9 (2581 to 2572). In eICU-CRD, the phenotype required lowercase </w:t>
      </w:r>
      <w:r>
        <w:rPr>
          <w:rFonts w:ascii="Times New Roman" w:hAnsi="Times New Roman" w:eastAsia="Times New Roman"/>
          <w:b w:val="0"/>
          <w:i w:val="0"/>
          <w:sz w:val="19"/>
        </w:rPr>
        <w:t>diagnosisstring</w:t>
      </w:r>
      <w:r>
        <w:rPr>
          <w:rFonts w:ascii="Times New Roman" w:hAnsi="Times New Roman" w:eastAsia="Times New Roman"/>
          <w:b w:val="0"/>
          <w:sz w:val="19"/>
        </w:rPr>
        <w:t xml:space="preserve"> to contain </w:t>
      </w:r>
      <w:r>
        <w:rPr>
          <w:rFonts w:ascii="Times New Roman" w:hAnsi="Times New Roman" w:eastAsia="Times New Roman"/>
          <w:b w:val="0"/>
          <w:i w:val="0"/>
          <w:sz w:val="19"/>
        </w:rPr>
        <w:t>cirrhosis</w:t>
      </w:r>
      <w:r>
        <w:rPr>
          <w:rFonts w:ascii="Times New Roman" w:hAnsi="Times New Roman" w:eastAsia="Times New Roman"/>
          <w:b w:val="0"/>
          <w:sz w:val="19"/>
        </w:rPr>
        <w:t xml:space="preserve">. End-stage kidney disease or chronic dialysis was excluded when diagnosis strings contained </w:t>
      </w:r>
      <w:r>
        <w:rPr>
          <w:rFonts w:ascii="Times New Roman" w:hAnsi="Times New Roman" w:eastAsia="Times New Roman"/>
          <w:b w:val="0"/>
          <w:i w:val="0"/>
          <w:sz w:val="19"/>
        </w:rPr>
        <w:t>end-stage renal disease</w:t>
      </w:r>
      <w:r>
        <w:rPr>
          <w:rFonts w:ascii="Times New Roman" w:hAnsi="Times New Roman" w:eastAsia="Times New Roman"/>
          <w:b w:val="0"/>
          <w:sz w:val="19"/>
        </w:rPr>
        <w:t xml:space="preserve">, </w:t>
      </w:r>
      <w:r>
        <w:rPr>
          <w:rFonts w:ascii="Times New Roman" w:hAnsi="Times New Roman" w:eastAsia="Times New Roman"/>
          <w:b w:val="0"/>
          <w:i w:val="0"/>
          <w:sz w:val="19"/>
        </w:rPr>
        <w:t>esrd</w:t>
      </w:r>
      <w:r>
        <w:rPr>
          <w:rFonts w:ascii="Times New Roman" w:hAnsi="Times New Roman" w:eastAsia="Times New Roman"/>
          <w:b w:val="0"/>
          <w:sz w:val="19"/>
        </w:rPr>
        <w:t xml:space="preserve">, </w:t>
      </w:r>
      <w:r>
        <w:rPr>
          <w:rFonts w:ascii="Times New Roman" w:hAnsi="Times New Roman" w:eastAsia="Times New Roman"/>
          <w:b w:val="0"/>
          <w:i w:val="0"/>
          <w:sz w:val="19"/>
        </w:rPr>
        <w:t>renal failure - chronic</w:t>
      </w:r>
      <w:r>
        <w:rPr>
          <w:rFonts w:ascii="Times New Roman" w:hAnsi="Times New Roman" w:eastAsia="Times New Roman"/>
          <w:b w:val="0"/>
          <w:sz w:val="19"/>
        </w:rPr>
        <w:t xml:space="preserve">, </w:t>
      </w:r>
      <w:r>
        <w:rPr>
          <w:rFonts w:ascii="Times New Roman" w:hAnsi="Times New Roman" w:eastAsia="Times New Roman"/>
          <w:b w:val="0"/>
          <w:i w:val="0"/>
          <w:sz w:val="19"/>
        </w:rPr>
        <w:t>chronic renal failure</w:t>
      </w:r>
      <w:r>
        <w:rPr>
          <w:rFonts w:ascii="Times New Roman" w:hAnsi="Times New Roman" w:eastAsia="Times New Roman"/>
          <w:b w:val="0"/>
          <w:sz w:val="19"/>
        </w:rPr>
        <w:t xml:space="preserve">, or </w:t>
      </w:r>
      <w:r>
        <w:rPr>
          <w:rFonts w:ascii="Times New Roman" w:hAnsi="Times New Roman" w:eastAsia="Times New Roman"/>
          <w:b w:val="0"/>
          <w:i w:val="0"/>
          <w:sz w:val="19"/>
        </w:rPr>
        <w:t>dialysis-dependent</w:t>
      </w:r>
      <w:r>
        <w:rPr>
          <w:rFonts w:ascii="Times New Roman" w:hAnsi="Times New Roman" w:eastAsia="Times New Roman"/>
          <w:b w:val="0"/>
          <w:sz w:val="19"/>
        </w:rPr>
        <w:t>, or when treatment text specified hemodialysis for chronic renal failure.</w:t>
      </w:r>
    </w:p>
    <w:p>
      <w:pPr>
        <w:spacing w:before="0" w:after="60" w:line="240" w:lineRule="auto"/>
      </w:pPr>
      <w:r>
        <w:rPr>
          <w:rFonts w:ascii="Times New Roman" w:hAnsi="Times New Roman" w:eastAsia="Times New Roman"/>
          <w:b w:val="0"/>
          <w:sz w:val="19"/>
        </w:rPr>
        <w:t>Consensus criteria define AKI as an increase in serum creatinine (SCr) of at least 0.3 mg/dL within 48 hours, an increase to at least 1.5 times baseline known or presumed to have occurred within the prior 7 days, or urine output below 0.5 mL/kg/h for at least 6 hours. AKI was required to be present or develop within the first 7 ICU days. Given the study design and focus on how the SCr value used for AKI definition affects classification, cohort ascertainment and staging used the creatinine criteria; urine output was not incorporated because comparable ascertainment was unavailable in the harmonized extracts. The resulting timestamps establish when a numerical criterion was met. They do not clinically adjudicate stability, etiology, or whether an intervening treatment altered the SCr trajectory.</w:t>
      </w:r>
    </w:p>
    <w:p>
      <w:pPr>
        <w:keepNext/>
        <w:spacing w:before="100" w:after="60"/>
        <w:ind w:left="0" w:right="0" w:firstLine="0"/>
      </w:pPr>
      <w:r>
        <w:rPr>
          <w:rFonts w:ascii="Times New Roman" w:hAnsi="Times New Roman" w:eastAsia="Times New Roman"/>
          <w:i/>
          <w:sz w:val="20"/>
        </w:rPr>
        <w:t>Baseline creatinine and staging sensitivities</w:t>
      </w:r>
    </w:p>
    <w:p>
      <w:pPr>
        <w:spacing w:before="0" w:after="60" w:line="240" w:lineRule="auto"/>
      </w:pPr>
      <w:r>
        <w:rPr>
          <w:rFonts w:ascii="Times New Roman" w:hAnsi="Times New Roman" w:eastAsia="Times New Roman"/>
          <w:b w:val="0"/>
          <w:sz w:val="19"/>
        </w:rPr>
        <w:t>The primary baseline selection approach applied the 2024 ICA–ADQI recommendation to the available database measurements. It used the median measured SCr 7–90 days before hospital admission, the most recent measured SCr 90–365 days before hospital admission when the first option was unavailable, and otherwise the lower of the first SCr in the first 24 hospital hours and MDRD back-calculation assuming eGFR 75 mL/min/1.73 m². If only one of the last two values was available, that value was used. These timing and summary rules were fixed for this study. Clinical stability could not be adjudicated.</w:t>
      </w:r>
    </w:p>
    <w:p>
      <w:pPr>
        <w:spacing w:before="0" w:after="60" w:line="240" w:lineRule="auto"/>
      </w:pPr>
      <w:r>
        <w:rPr>
          <w:rFonts w:ascii="Times New Roman" w:hAnsi="Times New Roman" w:eastAsia="Times New Roman"/>
          <w:b w:val="0"/>
          <w:sz w:val="19"/>
        </w:rPr>
        <w:t xml:space="preserve">For eICU-CRD, </w:t>
      </w:r>
      <w:r>
        <w:rPr>
          <w:rFonts w:ascii="Times New Roman" w:hAnsi="Times New Roman" w:eastAsia="Times New Roman"/>
          <w:b w:val="0"/>
          <w:i w:val="0"/>
          <w:sz w:val="19"/>
        </w:rPr>
        <w:t>hospitaladmitoffset</w:t>
      </w:r>
      <w:r>
        <w:rPr>
          <w:rFonts w:ascii="Times New Roman" w:hAnsi="Times New Roman" w:eastAsia="Times New Roman"/>
          <w:b w:val="0"/>
          <w:sz w:val="19"/>
        </w:rPr>
        <w:t xml:space="preserve"> was interpreted as minutes from hospital admission to ICU admission. Positive values were treated as zero so that measurements after ICU entry could not be classified as hospital-admission measurements. Eight candidate records had positive values, and 2 entered the final cohort. A sensitivity comparison that retained the recorded positive values produced the same 785 admissions and the same exclusion counts; cohort membership, baseline SCr and its source, the time and SCr at which the creatinine criteria were first met, AKI stage at that time, KRT, death, and the composite outcome were unchanged.</w:t>
      </w:r>
    </w:p>
    <w:p>
      <w:pPr>
        <w:spacing w:before="0" w:after="60" w:line="240" w:lineRule="auto"/>
      </w:pPr>
      <w:r>
        <w:rPr>
          <w:rFonts w:ascii="Times New Roman" w:hAnsi="Times New Roman" w:eastAsia="Times New Roman"/>
          <w:b w:val="0"/>
          <w:sz w:val="19"/>
        </w:rPr>
        <w:t>Binary in-hospital AUROC was the primary measure of stage discrimination. We also calculated cause-specific incident/dynamic concordance through 28 days after the creatinine criteria were first met. For a case at time t, an admission with a later event was eligible as a control before its event, but admissions with events at the same time were not compared. Controls were required to remain observed and event-free at t; discharge alive before t therefore ended the risk set. In a separate sensitivity calculation, admissions discharged alive without an event remained eligible as controls at later case times.</w:t>
      </w:r>
    </w:p>
    <w:p>
      <w:pPr>
        <w:spacing w:before="0" w:after="60" w:line="240" w:lineRule="auto"/>
      </w:pPr>
      <w:r>
        <w:rPr>
          <w:rFonts w:ascii="Times New Roman" w:hAnsi="Times New Roman" w:eastAsia="Times New Roman"/>
          <w:b w:val="0"/>
          <w:sz w:val="19"/>
        </w:rPr>
        <w:t>Each case-control pair contributed 1 when the case had the higher score, 0.5 for tied scores, and 0 otherwise. Concordance was the mean across all eligible pairs. The sensitivity calculation that retained admissions discharged alive as controls was specified directly by this rule; it was not presented as a standard named estimator. Neither calculation was an inverse-probability-of-censoring-weighted time-dependent AUC estimator, and the two results are not bounds on one underlying quantity.</w:t>
      </w:r>
    </w:p>
    <w:p>
      <w:pPr>
        <w:spacing w:before="0" w:after="60" w:line="240" w:lineRule="auto"/>
      </w:pPr>
      <w:r>
        <w:rPr>
          <w:rFonts w:ascii="Times New Roman" w:hAnsi="Times New Roman" w:eastAsia="Times New Roman"/>
          <w:b w:val="0"/>
          <w:sz w:val="19"/>
        </w:rPr>
        <w:t>The previous baseline selection approach was based on timing relative to ICU admission. It used the median SCr 7–365 days before ICU admission, followed by SCr within ±6 hours of ICU admission and, if neither was available, MDRD back-calculation. Stage 3 was assigned for SCr at least 3.0 times the selected denominator SCr or SCr at least 4.0 mg/dL, stage 2 for at least 2.0 times the selected denominator SCr, and stage 1 otherwise. Stage was assigned when a creatinine criterion was first met, not at the highest stage reached during the 7-day ascertainment window. KRT and urine output were not incorporated into stage assignment. One staging sensitivity analysis omitted the absolute 4.0-mg/dL criterion. Another required an SCr of at least 4.0 mg/dL to be accompanied by an increase of at least 1.5 times the selected denominator SCr before assigning stage 3.</w:t>
      </w:r>
    </w:p>
    <w:p>
      <w:pPr>
        <w:keepNext/>
        <w:spacing w:before="100" w:after="60"/>
        <w:ind w:left="0" w:right="0" w:firstLine="0"/>
      </w:pPr>
      <w:r>
        <w:rPr>
          <w:rFonts w:ascii="Times New Roman" w:hAnsi="Times New Roman" w:eastAsia="Times New Roman"/>
          <w:i/>
          <w:sz w:val="20"/>
        </w:rPr>
        <w:t>Post hoc analyses of changes in the denominator</w:t>
      </w:r>
    </w:p>
    <w:p>
      <w:pPr>
        <w:spacing w:before="0" w:after="60" w:line="240" w:lineRule="auto"/>
      </w:pPr>
      <w:r>
        <w:rPr>
          <w:rFonts w:ascii="Times New Roman" w:hAnsi="Times New Roman" w:eastAsia="Times New Roman"/>
          <w:b w:val="0"/>
          <w:sz w:val="19"/>
        </w:rPr>
        <w:t xml:space="preserve">Within the 889 paired admissions, we calculated the difference between admission and historical SCr overall and by reclassification cell. We also compared admissions whose historical baseline was the median of measurements 7–90 days before admission with those whose baseline was the most recent single value 90–365 days before admission. In 2000 permutations, we kept the observed row totals for stage based on historical SCr and column totals for stage based on admission SCr, but randomly reassigned the observed stages based on admission SCr within each stage based on historical SCr. The one-sided </w:t>
      </w:r>
      <w:r>
        <w:rPr>
          <w:rFonts w:ascii="Times New Roman" w:hAnsi="Times New Roman" w:eastAsia="Times New Roman"/>
          <w:b w:val="0"/>
          <w:i/>
          <w:sz w:val="19"/>
        </w:rPr>
        <w:t>P</w:t>
      </w:r>
      <w:r>
        <w:rPr>
          <w:rFonts w:ascii="Times New Roman" w:hAnsi="Times New Roman" w:eastAsia="Times New Roman"/>
          <w:b w:val="0"/>
          <w:sz w:val="19"/>
        </w:rPr>
        <w:t xml:space="preserve"> value was the proportion of permuted AUROCs for stage based on admission SCr that were less than or equal to the observed AUROC; a small value would indicate that the admissions moving between stages produced lower discrimination than expected from the row and column totals alone. The event-rate difference between stage 3-to-1 admissions and admissions remaining in stage 3 used 2000 bootstrap resamples clustered by patient.</w:t>
      </w:r>
    </w:p>
    <w:p>
      <w:pPr>
        <w:spacing w:before="0" w:after="60" w:line="240" w:lineRule="auto"/>
      </w:pPr>
      <w:r>
        <w:rPr>
          <w:rFonts w:ascii="Times New Roman" w:hAnsi="Times New Roman" w:eastAsia="Times New Roman"/>
          <w:b w:val="0"/>
          <w:sz w:val="19"/>
        </w:rPr>
        <w:t>In response to peer review, we conducted two additional post hoc descriptive analyses in the same 889 paired MIMIC-IV admissions. First, we re-aggregated the existing 28-day composite outcome into KRT and death components within each historical-stage by admission-stage cell. An admission could contribute to both components. Second, we flagged documented non-end-stage CKD from MIMIC-IV admission diagnosis codes (ICD-9-CM 585.</w:t>
      </w:r>
      <w:r>
        <w:rPr>
          <w:rFonts w:ascii="Times New Roman" w:hAnsi="Times New Roman" w:eastAsia="Times New Roman"/>
          <w:b w:val="0"/>
          <w:i/>
          <w:sz w:val="19"/>
        </w:rPr>
        <w:t xml:space="preserve"> or ICD-10-CM N18.</w:t>
      </w:r>
      <w:r>
        <w:rPr>
          <w:rFonts w:ascii="Times New Roman" w:hAnsi="Times New Roman" w:eastAsia="Times New Roman"/>
          <w:b w:val="0"/>
          <w:sz w:val="19"/>
        </w:rPr>
        <w:t>, excluding 585.6 and N18.6) and summarized reclassification by this flag. Absence of a CKD code was not interpreted as absence of CKD or as pure AKI.</w:t>
      </w:r>
    </w:p>
    <w:p>
      <w:pPr>
        <w:spacing w:before="0" w:after="60" w:line="240" w:lineRule="auto"/>
      </w:pPr>
      <w:r>
        <w:rPr>
          <w:rFonts w:ascii="Times New Roman" w:hAnsi="Times New Roman" w:eastAsia="Times New Roman"/>
          <w:b w:val="0"/>
          <w:sz w:val="19"/>
        </w:rPr>
        <w:t>For comparison with stage, the SCr measured when the creatinine criteria were first met was divided into 3 categories. In the paired sample, descending cutpoints were chosen to target the stage counts of 682/109/98 obtained using historical SCr and were then held fixed for comparisons with stages based on historical and admission SCr. Ties at the 2.2- and 3.2-mg/dL cutpoints produced 664/117/108 admissions. In the analyses of broader groups, cutpoints were selected separately to approximate the stage counts within each reported group. Paired AUROC differences were estimated by joint cluster bootstrap resampling. This was a study-specific comparison based on category counts; it did not define an alternative clinical AKI stage or a named clinical score.</w:t>
      </w:r>
    </w:p>
    <w:p>
      <w:pPr>
        <w:keepNext/>
        <w:spacing w:before="100" w:after="60"/>
        <w:ind w:left="0" w:right="0" w:firstLine="0"/>
      </w:pPr>
      <w:r>
        <w:rPr>
          <w:rFonts w:ascii="Times New Roman" w:hAnsi="Times New Roman" w:eastAsia="Times New Roman"/>
          <w:i/>
          <w:sz w:val="20"/>
        </w:rPr>
        <w:t>KRT ascertainment and timing</w:t>
      </w:r>
    </w:p>
    <w:p>
      <w:pPr>
        <w:spacing w:before="0" w:after="60" w:line="240" w:lineRule="auto"/>
      </w:pPr>
      <w:r>
        <w:rPr>
          <w:rFonts w:ascii="Times New Roman" w:hAnsi="Times New Roman" w:eastAsia="Times New Roman"/>
          <w:b w:val="0"/>
          <w:sz w:val="19"/>
        </w:rPr>
        <w:t xml:space="preserve">MIMIC-IV KRT used </w:t>
      </w:r>
      <w:r>
        <w:rPr>
          <w:rFonts w:ascii="Times New Roman" w:hAnsi="Times New Roman" w:eastAsia="Times New Roman"/>
          <w:b w:val="0"/>
          <w:i w:val="0"/>
          <w:sz w:val="19"/>
        </w:rPr>
        <w:t>procedureevents</w:t>
      </w:r>
      <w:r>
        <w:rPr>
          <w:rFonts w:ascii="Times New Roman" w:hAnsi="Times New Roman" w:eastAsia="Times New Roman"/>
          <w:b w:val="0"/>
          <w:sz w:val="19"/>
        </w:rPr>
        <w:t xml:space="preserve"> item identifiers 225441, 225802, 225803, 225805, 225809, and 225955. Events were collected across ICU stays in the same hospitalization and mapped to hours from the first included ICU admission.</w:t>
      </w:r>
    </w:p>
    <w:p>
      <w:pPr>
        <w:spacing w:before="0" w:after="60" w:line="240" w:lineRule="auto"/>
      </w:pPr>
      <w:r>
        <w:rPr>
          <w:rFonts w:ascii="Times New Roman" w:hAnsi="Times New Roman" w:eastAsia="Times New Roman"/>
          <w:b w:val="0"/>
          <w:sz w:val="19"/>
        </w:rPr>
        <w:t xml:space="preserve">eICU-CRD KRT was identified from </w:t>
      </w:r>
      <w:r>
        <w:rPr>
          <w:rFonts w:ascii="Times New Roman" w:hAnsi="Times New Roman" w:eastAsia="Times New Roman"/>
          <w:b w:val="0"/>
          <w:i w:val="0"/>
          <w:sz w:val="19"/>
        </w:rPr>
        <w:t>treatmentstring</w:t>
      </w:r>
      <w:r>
        <w:rPr>
          <w:rFonts w:ascii="Times New Roman" w:hAnsi="Times New Roman" w:eastAsia="Times New Roman"/>
          <w:b w:val="0"/>
          <w:sz w:val="19"/>
        </w:rPr>
        <w:t xml:space="preserve"> values after removing spaces and converting to lowercase. The expanded KRT term list included search terms indicating KRT: CVVHD, CVVH, CAVHD, CRRT, SLED, hemodialysis, acute or emergent peritoneal dialysis, dialysis documented as treatment for hyperkalemia, and isolated ultrafiltration for fluid removal. Strings describing access insertion, dialysis-access surgery, arteriovenous shunts, or hemodialysis for chronic renal failure were excluded. The initial three-term rule searched only hemodialysis, ultrafiltration, and CRRT substrings after exclusions for chronic hemodialysis and access insertion.</w:t>
      </w:r>
    </w:p>
    <w:p>
      <w:pPr>
        <w:spacing w:before="0" w:after="60" w:line="240" w:lineRule="auto"/>
      </w:pPr>
      <w:r>
        <w:rPr>
          <w:rFonts w:ascii="Times New Roman" w:hAnsi="Times New Roman" w:eastAsia="Times New Roman"/>
          <w:b w:val="0"/>
          <w:sz w:val="19"/>
        </w:rPr>
        <w:t xml:space="preserve">The eICU </w:t>
      </w:r>
      <w:r>
        <w:rPr>
          <w:rFonts w:ascii="Times New Roman" w:hAnsi="Times New Roman" w:eastAsia="Times New Roman"/>
          <w:b w:val="0"/>
          <w:i w:val="0"/>
          <w:sz w:val="19"/>
        </w:rPr>
        <w:t>treatmentoffset</w:t>
      </w:r>
      <w:r>
        <w:rPr>
          <w:rFonts w:ascii="Times New Roman" w:hAnsi="Times New Roman" w:eastAsia="Times New Roman"/>
          <w:b w:val="0"/>
          <w:sz w:val="19"/>
        </w:rPr>
        <w:t xml:space="preserve"> is a documentation timestamp. It was converted to hours from the first included ICU admission but was not externally validated as the exact procedure-start time. KRT strictly before the time the creatinine criteria were first met was an exclusion; an event exactly at that time would have counted as an outcome. No final-cohort KRT or death event occurred at exactly that time.</w:t>
      </w:r>
    </w:p>
    <w:p>
      <w:pPr>
        <w:spacing w:before="0" w:after="60" w:line="240" w:lineRule="auto"/>
      </w:pPr>
      <w:r>
        <w:rPr>
          <w:rFonts w:ascii="Times New Roman" w:hAnsi="Times New Roman" w:eastAsia="Times New Roman"/>
          <w:b w:val="0"/>
          <w:sz w:val="19"/>
        </w:rPr>
        <w:t>For primary KRT cause-specific concordance, each KRT case through day 28 was compared with every other admission that remained observed, alive, and KRT-free at the case time. A future KRT case could serve as a control before its own event, but admissions with KRT at the same time were not compared. Death or discharge alive before the case time removed an admission from the risk set. Death at the same recorded time remained eligible because its ordering relative to KRT was unknown. Tied prediction scores contributed 0.5, and all eligible case-control pairs received equal weight.</w:t>
      </w:r>
    </w:p>
    <w:p>
      <w:pPr>
        <w:spacing w:before="0" w:after="60" w:line="240" w:lineRule="auto"/>
      </w:pPr>
      <w:r>
        <w:rPr>
          <w:rFonts w:ascii="Times New Roman" w:hAnsi="Times New Roman" w:eastAsia="Times New Roman"/>
          <w:b w:val="0"/>
          <w:sz w:val="19"/>
        </w:rPr>
        <w:t>For the exploratory analysis of differences across hospitals, KRT and death counts were aggregated within each of 127 eICU-CRD hospitals. Variable-size beta-binomial intraclass correlations were estimated by the method of moments. Percentile intervals for each intraclass correlation and their difference were obtained from 2000 resamples of hospitals. These estimates describe heterogeneity in recorded treatment and mortality rates, not latent physiological need for KRT.</w:t>
      </w:r>
    </w:p>
    <w:p>
      <w:pPr>
        <w:keepNext/>
        <w:spacing w:before="100" w:after="60"/>
        <w:ind w:left="0" w:right="0" w:firstLine="0"/>
      </w:pPr>
      <w:r>
        <w:rPr>
          <w:rFonts w:ascii="Times New Roman" w:hAnsi="Times New Roman" w:eastAsia="Times New Roman"/>
          <w:i/>
          <w:sz w:val="20"/>
        </w:rPr>
        <w:t>Predictors, missing data, and models</w:t>
      </w:r>
    </w:p>
    <w:p>
      <w:pPr>
        <w:spacing w:before="0" w:after="60" w:line="240" w:lineRule="auto"/>
      </w:pPr>
      <w:r>
        <w:rPr>
          <w:rFonts w:ascii="Times New Roman" w:hAnsi="Times New Roman" w:eastAsia="Times New Roman"/>
          <w:b w:val="0"/>
          <w:sz w:val="19"/>
        </w:rPr>
        <w:t>The 21 predictors were age, baseline SCr, SCr measured when the creatinine criteria were first met, blood urea nitrogen, sodium, potassium, bicarbonate, total bilirubin, international normalized ratio, albumin, platelets, white blood cell count, hematocrit, calcium, anion gap, lactate, mean arterial pressure, heart rate, vasopressor use, AKI stage, and female sex. Laboratory and vital-sign values were selected from the 24 hours before that time; the SCr value was the measurement at which the criteria were first met. Vasopressor use indicated a qualifying administration record during those 24 hours. Phosphate was excluded because it was missing in 398 of 785 eICU-CRD admissions (50.7%) and 52 of 2572 MIMIC-IV admissions (2.0%).</w:t>
      </w:r>
    </w:p>
    <w:p>
      <w:pPr>
        <w:spacing w:before="0" w:after="60" w:line="240" w:lineRule="auto"/>
      </w:pPr>
      <w:r>
        <w:rPr>
          <w:rFonts w:ascii="Times New Roman" w:hAnsi="Times New Roman" w:eastAsia="Times New Roman"/>
          <w:b w:val="0"/>
          <w:sz w:val="19"/>
        </w:rPr>
        <w:t>MIMIC-IV was split 70/30 by patient (training n=1813; internal test n=759), with no patient overlap. Imputation medians were estimated in the training sample and applied unchanged to the internal-test and external data. The random forest used 800 trees, a maximum depth of 10, a minimum leaf size of 15, a minimum split size of 30, and 5 candidate predictors at each split (the rounded square root of 21). Each tree drew equal-sized bootstrap samples with replacement from admissions with and without the outcome. Isotonic calibration was fitted to out-of-bag training predictions.</w:t>
      </w:r>
    </w:p>
    <w:p>
      <w:pPr>
        <w:spacing w:before="0" w:after="60" w:line="240" w:lineRule="auto"/>
      </w:pPr>
      <w:r>
        <w:rPr>
          <w:rFonts w:ascii="Times New Roman" w:hAnsi="Times New Roman" w:eastAsia="Times New Roman"/>
          <w:b w:val="0"/>
          <w:sz w:val="19"/>
        </w:rPr>
        <w:t xml:space="preserve">Logistic regression used the same variables and split, training-sample standardization, and an L2 penalty of 0.001. A decision rule fixed before the final comparison required an external random-forest-minus-logistic AUROC greater than 0.020 and a hospital-bootstrap 95% CI lower bound greater than 0 to conclude meaningful random-forest superiority. Female sex was encoded as 1 when recorded sex began with </w:t>
      </w:r>
      <w:r>
        <w:rPr>
          <w:rFonts w:ascii="Times New Roman" w:hAnsi="Times New Roman" w:eastAsia="Times New Roman"/>
          <w:b w:val="0"/>
          <w:i w:val="0"/>
          <w:sz w:val="19"/>
        </w:rPr>
        <w:t>F</w:t>
      </w:r>
      <w:r>
        <w:rPr>
          <w:rFonts w:ascii="Times New Roman" w:hAnsi="Times New Roman" w:eastAsia="Times New Roman"/>
          <w:b w:val="0"/>
          <w:sz w:val="19"/>
        </w:rPr>
        <w:t xml:space="preserve"> and 0 otherwise; the resulting model matrix contained no missing value for this indicator.</w:t>
      </w:r>
    </w:p>
    <w:p>
      <w:pPr>
        <w:spacing w:before="0" w:after="60" w:line="240" w:lineRule="auto"/>
      </w:pPr>
      <w:r>
        <w:rPr>
          <w:rFonts w:ascii="Times New Roman" w:hAnsi="Times New Roman" w:eastAsia="Times New Roman"/>
          <w:b w:val="0"/>
          <w:sz w:val="19"/>
        </w:rPr>
        <w:t xml:space="preserve">Sample size was determined by all eligible admissions available in the two databases rather than by a predefined recruitment target. The training sample contained 731 composite events for 21 candidate predictors. All displayed confidence intervals, including those for single-model random-forest performance, measurement comparisons, and paired comparisons, used 2000 percentile cluster-bootstrap resamples. Interval limits were the empirical 2.5th and 97.5th percentiles of the bootstrap distribution; bias-corrected and accelerated intervals were not used. Resampling was clustered by patient in MIMIC-IV and by hospital in eICU-CRD. Average precision was computed by pooling tied predicted values at each distinct score value, so that the estimate does not depend on the order of the input rows. Isotonic calibration returns a step function, so groups of admissions may share an identical predicted probability. Multiplicity adjustment was not applied because secondary and sensitivity analyses were intended to assess robustness and measurement dependence rather than to support separate confirmatory claims; their intervals and auxiliary </w:t>
      </w:r>
      <w:r>
        <w:rPr>
          <w:rFonts w:ascii="Times New Roman" w:hAnsi="Times New Roman" w:eastAsia="Times New Roman"/>
          <w:b w:val="0"/>
          <w:i/>
          <w:sz w:val="19"/>
        </w:rPr>
        <w:t>P</w:t>
      </w:r>
      <w:r>
        <w:rPr>
          <w:rFonts w:ascii="Times New Roman" w:hAnsi="Times New Roman" w:eastAsia="Times New Roman"/>
          <w:b w:val="0"/>
          <w:sz w:val="19"/>
        </w:rPr>
        <w:t xml:space="preserve"> values should therefore be interpreted descriptively. Analyses used Python 3.14.5, NumPy 2.5.1, and pandas 3.0.5.</w:t>
      </w:r>
    </w:p>
    <w:p>
      <w:pPr>
        <w:keepNext/>
        <w:spacing w:before="100" w:after="60"/>
        <w:ind w:left="0" w:right="0" w:firstLine="0"/>
      </w:pPr>
      <w:r>
        <w:rPr>
          <w:rFonts w:ascii="Times New Roman" w:hAnsi="Times New Roman" w:eastAsia="Times New Roman"/>
          <w:i/>
          <w:sz w:val="20"/>
        </w:rPr>
        <w:t>Reproducibility</w:t>
      </w:r>
    </w:p>
    <w:p>
      <w:pPr>
        <w:spacing w:before="0" w:after="60" w:line="240" w:lineRule="auto"/>
      </w:pPr>
      <w:r>
        <w:rPr>
          <w:rFonts w:ascii="Times New Roman" w:hAnsi="Times New Roman" w:eastAsia="Times New Roman"/>
          <w:b w:val="0"/>
          <w:sz w:val="19"/>
        </w:rPr>
        <w:t>The analyses reported here use the primary baseline selection approach described above, patient-grouped internal splitting, the expanded KRT term list, and cause-specific incident/dynamic concordance for the primary KRT component analysis. Analysis code and aggregate supporting results sufficient to reproduce the reported results are available from the corresponding author on reasonable request.</w:t>
      </w:r>
    </w:p>
    <w:p>
      <w:pPr>
        <w:keepNext/>
        <w:pageBreakBefore/>
        <w:spacing w:before="40" w:after="80"/>
        <w:ind w:left="0" w:right="0" w:firstLine="0"/>
      </w:pPr>
      <w:r>
        <w:rPr>
          <w:rFonts w:ascii="Times New Roman" w:hAnsi="Times New Roman" w:eastAsia="Times New Roman"/>
          <w:b/>
          <w:sz w:val="22"/>
        </w:rPr>
        <w:t>Table S1. Sequential Cohort Construction Using the Primary Baseline Selection Approach</w:t>
      </w:r>
    </w:p>
    <w:tbl>
      <w:tblPr>
        <w:tblW w:type="dxa" w:w="13728"/>
        <w:jc w:val="left"/>
        <w:tblInd w:w="120" w:type="dxa"/>
        <w:tblBorders>
          <w:top w:val="single" w:sz="4" w:space="0" w:color="000000"/>
          <w:left w:val="nil" w:sz="0" w:space="0" w:color="000000"/>
          <w:bottom w:val="single" w:sz="4" w:space="0" w:color="000000"/>
          <w:right w:val="nil" w:sz="0" w:space="0" w:color="000000"/>
          <w:insideH w:val="nil" w:sz="0" w:space="0" w:color="000000"/>
          <w:insideV w:val="nil" w:sz="0" w:space="0" w:color="000000"/>
        </w:tblBorders>
        <w:tblLayout w:type="fixed"/>
        <w:tblLook w:firstColumn="1" w:firstRow="1" w:lastColumn="0" w:lastRow="0" w:noHBand="0" w:noVBand="1" w:val="04A0"/>
      </w:tblPr>
      <w:tblGrid>
        <w:gridCol w:w="5492"/>
        <w:gridCol w:w="2059"/>
        <w:gridCol w:w="2059"/>
        <w:gridCol w:w="2059"/>
        <w:gridCol w:w="2059"/>
      </w:tblGrid>
      <w:tr>
        <w:trPr>
          <w:cantSplit/>
          <w:tblHeader w:val="true"/>
        </w:trPr>
        <w:tc>
          <w:tcPr>
            <w:tcW w:type="dxa" w:w="5492"/>
            <w:tcBorders>
              <w:bottom w:val="single" w:sz="4" w:space="0" w:color="000000"/>
            </w:tcBorders>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sz w:val="16"/>
              </w:rPr>
              <w:t>Step</w:t>
            </w:r>
          </w:p>
        </w:tc>
        <w:tc>
          <w:tcPr>
            <w:tcW w:type="dxa" w:w="2059"/>
            <w:tcBorders>
              <w:bottom w:val="single" w:sz="4" w:space="0" w:color="000000"/>
            </w:tcBorders>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sz w:val="16"/>
              </w:rPr>
              <w:t>MIMIC-IV excluded</w:t>
            </w:r>
          </w:p>
        </w:tc>
        <w:tc>
          <w:tcPr>
            <w:tcW w:type="dxa" w:w="2059"/>
            <w:tcBorders>
              <w:bottom w:val="single" w:sz="4" w:space="0" w:color="000000"/>
            </w:tcBorders>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sz w:val="16"/>
              </w:rPr>
              <w:t>MIMIC-IV remaining</w:t>
            </w:r>
          </w:p>
        </w:tc>
        <w:tc>
          <w:tcPr>
            <w:tcW w:type="dxa" w:w="2059"/>
            <w:tcBorders>
              <w:bottom w:val="single" w:sz="4" w:space="0" w:color="000000"/>
            </w:tcBorders>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sz w:val="16"/>
              </w:rPr>
              <w:t>eICU-CRD excluded</w:t>
            </w:r>
          </w:p>
        </w:tc>
        <w:tc>
          <w:tcPr>
            <w:tcW w:type="dxa" w:w="2059"/>
            <w:tcBorders>
              <w:bottom w:val="single" w:sz="4" w:space="0" w:color="000000"/>
            </w:tcBorders>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sz w:val="16"/>
              </w:rPr>
              <w:t>eICU-CRD remaining</w:t>
            </w:r>
          </w:p>
        </w:tc>
      </w:tr>
      <w:tr>
        <w:trPr>
          <w:cantSplit/>
        </w:trPr>
        <w:tc>
          <w:tcPr>
            <w:tcW w:type="dxa" w:w="5492"/>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Candidate first ICU admissions entering cohort construction</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5551</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2923</w:t>
            </w:r>
          </w:p>
        </w:tc>
      </w:tr>
      <w:tr>
        <w:trPr>
          <w:cantSplit/>
        </w:trPr>
        <w:tc>
          <w:tcPr>
            <w:tcW w:type="dxa" w:w="5492"/>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Did not meet final coded/string cirrhosis phenotype</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372</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5179</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1280</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1643</w:t>
            </w:r>
          </w:p>
        </w:tc>
      </w:tr>
      <w:tr>
        <w:trPr>
          <w:cantSplit/>
        </w:trPr>
        <w:tc>
          <w:tcPr>
            <w:tcW w:type="dxa" w:w="5492"/>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Age &lt;18 years or unavailable</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5179</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1643</w:t>
            </w:r>
          </w:p>
        </w:tc>
      </w:tr>
      <w:tr>
        <w:trPr>
          <w:cantSplit/>
        </w:trPr>
        <w:tc>
          <w:tcPr>
            <w:tcW w:type="dxa" w:w="5492"/>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No usable SCr</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6</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5173</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13</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1630</w:t>
            </w:r>
          </w:p>
        </w:tc>
      </w:tr>
      <w:tr>
        <w:trPr>
          <w:cantSplit/>
        </w:trPr>
        <w:tc>
          <w:tcPr>
            <w:tcW w:type="dxa" w:w="5492"/>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No baseline SCr</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5173</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1630</w:t>
            </w:r>
          </w:p>
        </w:tc>
      </w:tr>
      <w:tr>
        <w:trPr>
          <w:cantSplit/>
        </w:trPr>
        <w:tc>
          <w:tcPr>
            <w:tcW w:type="dxa" w:w="5492"/>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No AKI in the first 7 ICU days</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2584</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2589</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825</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805</w:t>
            </w:r>
          </w:p>
        </w:tc>
      </w:tr>
      <w:tr>
        <w:trPr>
          <w:cantSplit/>
        </w:trPr>
        <w:tc>
          <w:tcPr>
            <w:tcW w:type="dxa" w:w="5492"/>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KRT before the creatinine criteria were first met</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15</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2574</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20</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785</w:t>
            </w:r>
          </w:p>
        </w:tc>
      </w:tr>
      <w:tr>
        <w:trPr>
          <w:cantSplit/>
        </w:trPr>
        <w:tc>
          <w:tcPr>
            <w:tcW w:type="dxa" w:w="5492"/>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Death time before or unusable relative to that time</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2</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2572</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785</w:t>
            </w:r>
          </w:p>
        </w:tc>
      </w:tr>
      <w:tr>
        <w:trPr>
          <w:cantSplit/>
        </w:trPr>
        <w:tc>
          <w:tcPr>
            <w:tcW w:type="dxa" w:w="5492"/>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i w:val="0"/>
                <w:sz w:val="16"/>
              </w:rPr>
              <w:t>Final analytic cohort</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i w:val="0"/>
                <w:sz w:val="16"/>
              </w:rPr>
              <w:t>2572</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i w:val="0"/>
                <w:sz w:val="16"/>
              </w:rPr>
              <w:t>785</w:t>
            </w:r>
          </w:p>
        </w:tc>
      </w:tr>
    </w:tbl>
    <w:p>
      <w:pPr>
        <w:spacing w:after="0"/>
      </w:pPr>
    </w:p>
    <w:p>
      <w:pPr>
        <w:spacing w:before="0" w:after="60" w:line="240" w:lineRule="auto"/>
      </w:pPr>
      <w:r>
        <w:rPr>
          <w:rFonts w:ascii="Times New Roman" w:hAnsi="Times New Roman" w:eastAsia="Times New Roman"/>
          <w:b w:val="0"/>
          <w:sz w:val="19"/>
        </w:rPr>
        <w:t>Counts are sequential and reflect the final cohort construction. Source-level end-stage kidney disease and chronic-dialysis exclusions precede this flow, so the MIMIC-IV candidate count already excludes admissions carrying the codes listed in Supplementary Methods. In MIMIC-IV, the final extraction logic removed 10 candidate first-ICU hospitalizations at that upstream step (7 with ICD-10-CM Z992 and 3 with ICD-9-CM V4511); 9 would otherwise have reached the final analytic cohort, whereas 1 would later have been excluded for no AKI in the first 7 ICU days. Cohort construction used the creatinine criteria described in Supplementary Methods; urine output was not incorporated. AKI, acute kidney injury; KRT, kidney replacement therapy; SCr, serum creatinine.</w:t>
      </w:r>
    </w:p>
    <w:p>
      <w:pPr>
        <w:keepNext/>
        <w:pageBreakBefore/>
        <w:spacing w:before="40" w:after="80"/>
        <w:ind w:left="0" w:right="0" w:firstLine="0"/>
      </w:pPr>
      <w:r>
        <w:rPr>
          <w:rFonts w:ascii="Times New Roman" w:hAnsi="Times New Roman" w:eastAsia="Times New Roman"/>
          <w:b/>
          <w:sz w:val="22"/>
        </w:rPr>
        <w:t>Table S2. Missingness of the 21 Model Predictors in the Final Analytic Cohorts</w:t>
      </w:r>
    </w:p>
    <w:tbl>
      <w:tblPr>
        <w:tblW w:type="dxa" w:w="13728"/>
        <w:jc w:val="left"/>
        <w:tblInd w:w="120" w:type="dxa"/>
        <w:tblBorders>
          <w:top w:val="single" w:sz="4" w:space="0" w:color="000000"/>
          <w:left w:val="nil" w:sz="0" w:space="0" w:color="000000"/>
          <w:bottom w:val="single" w:sz="4" w:space="0" w:color="000000"/>
          <w:right w:val="nil" w:sz="0" w:space="0" w:color="000000"/>
          <w:insideH w:val="nil" w:sz="0" w:space="0" w:color="000000"/>
          <w:insideV w:val="nil" w:sz="0" w:space="0" w:color="000000"/>
        </w:tblBorders>
        <w:tblLayout w:type="fixed"/>
        <w:tblLook w:firstColumn="1" w:firstRow="1" w:lastColumn="0" w:lastRow="0" w:noHBand="0" w:noVBand="1" w:val="04A0"/>
      </w:tblPr>
      <w:tblGrid>
        <w:gridCol w:w="6864"/>
        <w:gridCol w:w="3432"/>
        <w:gridCol w:w="3432"/>
      </w:tblGrid>
      <w:tr>
        <w:trPr>
          <w:cantSplit/>
          <w:tblHeader w:val="true"/>
        </w:trPr>
        <w:tc>
          <w:tcPr>
            <w:tcW w:type="dxa" w:w="6864"/>
            <w:tcBorders>
              <w:bottom w:val="single" w:sz="4" w:space="0" w:color="000000"/>
            </w:tcBorders>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sz w:val="16"/>
              </w:rPr>
              <w:t>Predictor</w:t>
            </w:r>
          </w:p>
        </w:tc>
        <w:tc>
          <w:tcPr>
            <w:tcW w:type="dxa" w:w="3432"/>
            <w:tcBorders>
              <w:bottom w:val="single" w:sz="4" w:space="0" w:color="000000"/>
            </w:tcBorders>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sz w:val="16"/>
              </w:rPr>
              <w:t>MIMIC-IV missing, n (%)</w:t>
            </w:r>
          </w:p>
        </w:tc>
        <w:tc>
          <w:tcPr>
            <w:tcW w:type="dxa" w:w="3432"/>
            <w:tcBorders>
              <w:bottom w:val="single" w:sz="4" w:space="0" w:color="000000"/>
            </w:tcBorders>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sz w:val="16"/>
              </w:rPr>
              <w:t>eICU-CRD missing, n (%)</w:t>
            </w:r>
          </w:p>
        </w:tc>
      </w:tr>
      <w:tr>
        <w:trPr>
          <w:cantSplit/>
        </w:trPr>
        <w:tc>
          <w:tcPr>
            <w:tcW w:type="dxa" w:w="6864"/>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Age</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 (0.0)</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 (0.0)</w:t>
            </w:r>
          </w:p>
        </w:tc>
      </w:tr>
      <w:tr>
        <w:trPr>
          <w:cantSplit/>
        </w:trPr>
        <w:tc>
          <w:tcPr>
            <w:tcW w:type="dxa" w:w="6864"/>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Baseline SCr</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 (0.0)</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 (0.0)</w:t>
            </w:r>
          </w:p>
        </w:tc>
      </w:tr>
      <w:tr>
        <w:trPr>
          <w:cantSplit/>
        </w:trPr>
        <w:tc>
          <w:tcPr>
            <w:tcW w:type="dxa" w:w="6864"/>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SCr when the creatinine criteria were first met</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 (0.0)</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 (0.0)</w:t>
            </w:r>
          </w:p>
        </w:tc>
      </w:tr>
      <w:tr>
        <w:trPr>
          <w:cantSplit/>
        </w:trPr>
        <w:tc>
          <w:tcPr>
            <w:tcW w:type="dxa" w:w="6864"/>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Blood urea nitrogen</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7 (0.3)</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1 (0.1)</w:t>
            </w:r>
          </w:p>
        </w:tc>
      </w:tr>
      <w:tr>
        <w:trPr>
          <w:cantSplit/>
        </w:trPr>
        <w:tc>
          <w:tcPr>
            <w:tcW w:type="dxa" w:w="6864"/>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Sodium</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6 (0.2)</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 (0.0)</w:t>
            </w:r>
          </w:p>
        </w:tc>
      </w:tr>
      <w:tr>
        <w:trPr>
          <w:cantSplit/>
        </w:trPr>
        <w:tc>
          <w:tcPr>
            <w:tcW w:type="dxa" w:w="6864"/>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Potassium</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5 (0.2)</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6 (0.8)</w:t>
            </w:r>
          </w:p>
        </w:tc>
      </w:tr>
      <w:tr>
        <w:trPr>
          <w:cantSplit/>
        </w:trPr>
        <w:tc>
          <w:tcPr>
            <w:tcW w:type="dxa" w:w="6864"/>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Bicarbonate</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6 (0.2)</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23 (2.9)</w:t>
            </w:r>
          </w:p>
        </w:tc>
      </w:tr>
      <w:tr>
        <w:trPr>
          <w:cantSplit/>
        </w:trPr>
        <w:tc>
          <w:tcPr>
            <w:tcW w:type="dxa" w:w="6864"/>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Total bilirubin</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449 (17.5)</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116 (14.8)</w:t>
            </w:r>
          </w:p>
        </w:tc>
      </w:tr>
      <w:tr>
        <w:trPr>
          <w:cantSplit/>
        </w:trPr>
        <w:tc>
          <w:tcPr>
            <w:tcW w:type="dxa" w:w="6864"/>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International normalized ratio</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274 (10.7)</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205 (26.1)</w:t>
            </w:r>
          </w:p>
        </w:tc>
      </w:tr>
      <w:tr>
        <w:trPr>
          <w:cantSplit/>
        </w:trPr>
        <w:tc>
          <w:tcPr>
            <w:tcW w:type="dxa" w:w="6864"/>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Albumin</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1008 (39.2)</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115 (14.6)</w:t>
            </w:r>
          </w:p>
        </w:tc>
      </w:tr>
      <w:tr>
        <w:trPr>
          <w:cantSplit/>
        </w:trPr>
        <w:tc>
          <w:tcPr>
            <w:tcW w:type="dxa" w:w="6864"/>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Platelets</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92 (3.6)</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51 (6.5)</w:t>
            </w:r>
          </w:p>
        </w:tc>
      </w:tr>
      <w:tr>
        <w:trPr>
          <w:cantSplit/>
        </w:trPr>
        <w:tc>
          <w:tcPr>
            <w:tcW w:type="dxa" w:w="6864"/>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White blood cell count</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90 (3.5)</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46 (5.9)</w:t>
            </w:r>
          </w:p>
        </w:tc>
      </w:tr>
      <w:tr>
        <w:trPr>
          <w:cantSplit/>
        </w:trPr>
        <w:tc>
          <w:tcPr>
            <w:tcW w:type="dxa" w:w="6864"/>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Hematocrit</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80 (3.1)</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40 (5.1)</w:t>
            </w:r>
          </w:p>
        </w:tc>
      </w:tr>
      <w:tr>
        <w:trPr>
          <w:cantSplit/>
        </w:trPr>
        <w:tc>
          <w:tcPr>
            <w:tcW w:type="dxa" w:w="6864"/>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Calcium</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52 (2.0)</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18 (2.3)</w:t>
            </w:r>
          </w:p>
        </w:tc>
      </w:tr>
      <w:tr>
        <w:trPr>
          <w:cantSplit/>
        </w:trPr>
        <w:tc>
          <w:tcPr>
            <w:tcW w:type="dxa" w:w="6864"/>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Anion gap</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6 (0.2)</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117 (14.9)</w:t>
            </w:r>
          </w:p>
        </w:tc>
      </w:tr>
      <w:tr>
        <w:trPr>
          <w:cantSplit/>
        </w:trPr>
        <w:tc>
          <w:tcPr>
            <w:tcW w:type="dxa" w:w="6864"/>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Lactate</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1147 (44.6)</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370 (47.1)</w:t>
            </w:r>
          </w:p>
        </w:tc>
      </w:tr>
      <w:tr>
        <w:trPr>
          <w:cantSplit/>
        </w:trPr>
        <w:tc>
          <w:tcPr>
            <w:tcW w:type="dxa" w:w="6864"/>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Mean arterial pressure</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126 (4.9)</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45 (5.7)</w:t>
            </w:r>
          </w:p>
        </w:tc>
      </w:tr>
      <w:tr>
        <w:trPr>
          <w:cantSplit/>
        </w:trPr>
        <w:tc>
          <w:tcPr>
            <w:tcW w:type="dxa" w:w="6864"/>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Heart rate</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88 (3.4)</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40 (5.1)</w:t>
            </w:r>
          </w:p>
        </w:tc>
      </w:tr>
      <w:tr>
        <w:trPr>
          <w:cantSplit/>
        </w:trPr>
        <w:tc>
          <w:tcPr>
            <w:tcW w:type="dxa" w:w="6864"/>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Vasopressor use</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 (0.0)</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 (0.0)</w:t>
            </w:r>
          </w:p>
        </w:tc>
      </w:tr>
      <w:tr>
        <w:trPr>
          <w:cantSplit/>
        </w:trPr>
        <w:tc>
          <w:tcPr>
            <w:tcW w:type="dxa" w:w="6864"/>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AKI stage when the creatinine criteria were first met</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 (0.0)</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 (0.0)</w:t>
            </w:r>
          </w:p>
        </w:tc>
      </w:tr>
      <w:tr>
        <w:trPr>
          <w:cantSplit/>
        </w:trPr>
        <w:tc>
          <w:tcPr>
            <w:tcW w:type="dxa" w:w="6864"/>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Female sex indicator</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 (0.0)</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 (0.0)</w:t>
            </w:r>
          </w:p>
        </w:tc>
      </w:tr>
    </w:tbl>
    <w:p>
      <w:pPr>
        <w:spacing w:after="0"/>
      </w:pPr>
    </w:p>
    <w:p>
      <w:pPr>
        <w:spacing w:before="0" w:after="60" w:line="240" w:lineRule="auto"/>
      </w:pPr>
      <w:r>
        <w:rPr>
          <w:rFonts w:ascii="Times New Roman" w:hAnsi="Times New Roman" w:eastAsia="Times New Roman"/>
          <w:b w:val="0"/>
          <w:sz w:val="19"/>
        </w:rPr>
        <w:t>Percentages use n=2572 for MIMIC-IV and n=785 for eICU-CRD. Missing values were not imputed for descriptive tables; model imputation used training-sample medians only. AKI, acute kidney injury; SCr, serum creatinine.</w:t>
      </w:r>
    </w:p>
    <w:p>
      <w:pPr>
        <w:keepNext/>
        <w:pageBreakBefore/>
        <w:spacing w:before="40" w:after="80"/>
        <w:ind w:left="0" w:right="0" w:firstLine="0"/>
      </w:pPr>
      <w:r>
        <w:rPr>
          <w:rFonts w:ascii="Times New Roman" w:hAnsi="Times New Roman" w:eastAsia="Times New Roman"/>
          <w:b/>
          <w:sz w:val="22"/>
        </w:rPr>
        <w:t>Table S3. Selection Context for the Paired Re-Staging Analysis</w:t>
      </w:r>
    </w:p>
    <w:tbl>
      <w:tblPr>
        <w:tblW w:type="dxa" w:w="13728"/>
        <w:jc w:val="left"/>
        <w:tblInd w:w="120" w:type="dxa"/>
        <w:tblBorders>
          <w:top w:val="single" w:sz="4" w:space="0" w:color="000000"/>
          <w:left w:val="nil" w:sz="0" w:space="0" w:color="000000"/>
          <w:bottom w:val="single" w:sz="4" w:space="0" w:color="000000"/>
          <w:right w:val="nil" w:sz="0" w:space="0" w:color="000000"/>
          <w:insideH w:val="nil" w:sz="0" w:space="0" w:color="000000"/>
          <w:insideV w:val="nil" w:sz="0" w:space="0" w:color="000000"/>
        </w:tblBorders>
        <w:tblLayout w:type="fixed"/>
        <w:tblLook w:firstColumn="1" w:firstRow="1" w:lastColumn="0" w:lastRow="0" w:noHBand="0" w:noVBand="1" w:val="04A0"/>
      </w:tblPr>
      <w:tblGrid>
        <w:gridCol w:w="5216"/>
        <w:gridCol w:w="2838"/>
        <w:gridCol w:w="2838"/>
        <w:gridCol w:w="2836"/>
      </w:tblGrid>
      <w:tr>
        <w:trPr>
          <w:cantSplit/>
          <w:tblHeader w:val="true"/>
        </w:trPr>
        <w:tc>
          <w:tcPr>
            <w:tcW w:type="dxa" w:w="5216"/>
            <w:tcBorders>
              <w:bottom w:val="single" w:sz="4" w:space="0" w:color="000000"/>
            </w:tcBorders>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sz w:val="16"/>
              </w:rPr>
              <w:t>Population</w:t>
            </w:r>
          </w:p>
        </w:tc>
        <w:tc>
          <w:tcPr>
            <w:tcW w:type="dxa" w:w="2838"/>
            <w:tcBorders>
              <w:bottom w:val="single" w:sz="4" w:space="0" w:color="000000"/>
            </w:tcBorders>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sz w:val="16"/>
              </w:rPr>
              <w:t>Admissions</w:t>
            </w:r>
          </w:p>
        </w:tc>
        <w:tc>
          <w:tcPr>
            <w:tcW w:type="dxa" w:w="2838"/>
            <w:tcBorders>
              <w:bottom w:val="single" w:sz="4" w:space="0" w:color="000000"/>
            </w:tcBorders>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sz w:val="16"/>
              </w:rPr>
              <w:t>Patients</w:t>
            </w:r>
          </w:p>
        </w:tc>
        <w:tc>
          <w:tcPr>
            <w:tcW w:type="dxa" w:w="2836"/>
            <w:tcBorders>
              <w:bottom w:val="single" w:sz="4" w:space="0" w:color="000000"/>
            </w:tcBorders>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sz w:val="16"/>
              </w:rPr>
              <w:t>Composite events, n (%)</w:t>
            </w:r>
          </w:p>
        </w:tc>
      </w:tr>
      <w:tr>
        <w:trPr>
          <w:cantSplit/>
        </w:trPr>
        <w:tc>
          <w:tcPr>
            <w:tcW w:type="dxa" w:w="5216"/>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Full MIMIC-IV analytic cohort</w:t>
            </w:r>
          </w:p>
        </w:tc>
        <w:tc>
          <w:tcPr>
            <w:tcW w:type="dxa" w:w="2838"/>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2572</w:t>
            </w:r>
          </w:p>
        </w:tc>
        <w:tc>
          <w:tcPr>
            <w:tcW w:type="dxa" w:w="2838"/>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2319</w:t>
            </w:r>
          </w:p>
        </w:tc>
        <w:tc>
          <w:tcPr>
            <w:tcW w:type="dxa" w:w="2836"/>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1043 (40.6)</w:t>
            </w:r>
          </w:p>
        </w:tc>
      </w:tr>
      <w:tr>
        <w:trPr>
          <w:cantSplit/>
        </w:trPr>
        <w:tc>
          <w:tcPr>
            <w:tcW w:type="dxa" w:w="5216"/>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Historical measured baseline available</w:t>
            </w:r>
          </w:p>
        </w:tc>
        <w:tc>
          <w:tcPr>
            <w:tcW w:type="dxa" w:w="2838"/>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1500</w:t>
            </w:r>
          </w:p>
        </w:tc>
        <w:tc>
          <w:tcPr>
            <w:tcW w:type="dxa" w:w="2838"/>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w:t>
            </w:r>
          </w:p>
        </w:tc>
        <w:tc>
          <w:tcPr>
            <w:tcW w:type="dxa" w:w="2836"/>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w:t>
            </w:r>
          </w:p>
        </w:tc>
      </w:tr>
      <w:tr>
        <w:trPr>
          <w:cantSplit/>
        </w:trPr>
        <w:tc>
          <w:tcPr>
            <w:tcW w:type="dxa" w:w="5216"/>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Hospital-admission SCr available by the fixed analysis time point</w:t>
            </w:r>
          </w:p>
        </w:tc>
        <w:tc>
          <w:tcPr>
            <w:tcW w:type="dxa" w:w="2838"/>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1285</w:t>
            </w:r>
          </w:p>
        </w:tc>
        <w:tc>
          <w:tcPr>
            <w:tcW w:type="dxa" w:w="2838"/>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1154</w:t>
            </w:r>
          </w:p>
        </w:tc>
        <w:tc>
          <w:tcPr>
            <w:tcW w:type="dxa" w:w="2836"/>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453 (35.3)</w:t>
            </w:r>
          </w:p>
        </w:tc>
      </w:tr>
      <w:tr>
        <w:trPr>
          <w:cantSplit/>
        </w:trPr>
        <w:tc>
          <w:tcPr>
            <w:tcW w:type="dxa" w:w="5216"/>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AKI criteria met under both denominators at the same time point</w:t>
            </w:r>
          </w:p>
        </w:tc>
        <w:tc>
          <w:tcPr>
            <w:tcW w:type="dxa" w:w="2838"/>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889</w:t>
            </w:r>
          </w:p>
        </w:tc>
        <w:tc>
          <w:tcPr>
            <w:tcW w:type="dxa" w:w="2838"/>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829</w:t>
            </w:r>
          </w:p>
        </w:tc>
        <w:tc>
          <w:tcPr>
            <w:tcW w:type="dxa" w:w="2836"/>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322 (36.2)</w:t>
            </w:r>
          </w:p>
        </w:tc>
      </w:tr>
    </w:tbl>
    <w:p>
      <w:pPr>
        <w:spacing w:after="0"/>
      </w:pPr>
    </w:p>
    <w:p>
      <w:pPr>
        <w:spacing w:before="0" w:after="60" w:line="240" w:lineRule="auto"/>
      </w:pPr>
      <w:r>
        <w:rPr>
          <w:rFonts w:ascii="Times New Roman" w:hAnsi="Times New Roman" w:eastAsia="Times New Roman"/>
          <w:b w:val="0"/>
          <w:sz w:val="19"/>
        </w:rPr>
        <w:t>The paired analysis is a selected subgroup with prior recorded laboratory information. Event rates define the analyzed population and do not imply exchangeability with the full cohort. AKI, acute kidney injury; SCr, serum creatinine.</w:t>
      </w:r>
    </w:p>
    <w:p>
      <w:pPr>
        <w:keepNext/>
        <w:pageBreakBefore/>
        <w:spacing w:before="40" w:after="80"/>
        <w:ind w:left="0" w:right="0" w:firstLine="0"/>
      </w:pPr>
      <w:r>
        <w:rPr>
          <w:rFonts w:ascii="Times New Roman" w:hAnsi="Times New Roman" w:eastAsia="Times New Roman"/>
          <w:b/>
          <w:sz w:val="22"/>
        </w:rPr>
        <w:t>Table S4. Discrimination Under Three Approaches to In-Hospital Follow-up</w:t>
      </w:r>
    </w:p>
    <w:tbl>
      <w:tblPr>
        <w:tblW w:type="dxa" w:w="13728"/>
        <w:jc w:val="left"/>
        <w:tblInd w:w="120" w:type="dxa"/>
        <w:tblBorders>
          <w:top w:val="single" w:sz="4" w:space="0" w:color="000000"/>
          <w:left w:val="nil" w:sz="0" w:space="0" w:color="000000"/>
          <w:bottom w:val="single" w:sz="4" w:space="0" w:color="000000"/>
          <w:right w:val="nil" w:sz="0" w:space="0" w:color="000000"/>
          <w:insideH w:val="nil" w:sz="0" w:space="0" w:color="000000"/>
          <w:insideV w:val="nil" w:sz="0" w:space="0" w:color="000000"/>
        </w:tblBorders>
        <w:tblLayout w:type="fixed"/>
        <w:tblLook w:firstColumn="1" w:firstRow="1" w:lastColumn="0" w:lastRow="0" w:noHBand="0" w:noVBand="1" w:val="04A0"/>
      </w:tblPr>
      <w:tblGrid>
        <w:gridCol w:w="5216"/>
        <w:gridCol w:w="2838"/>
        <w:gridCol w:w="2838"/>
        <w:gridCol w:w="2836"/>
      </w:tblGrid>
      <w:tr>
        <w:trPr>
          <w:cantSplit/>
          <w:tblHeader w:val="true"/>
        </w:trPr>
        <w:tc>
          <w:tcPr>
            <w:tcW w:type="dxa" w:w="5216"/>
            <w:tcBorders>
              <w:bottom w:val="single" w:sz="4" w:space="0" w:color="000000"/>
            </w:tcBorders>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sz w:val="16"/>
              </w:rPr>
              <w:t>Measure and cohort</w:t>
            </w:r>
          </w:p>
        </w:tc>
        <w:tc>
          <w:tcPr>
            <w:tcW w:type="dxa" w:w="2838"/>
            <w:tcBorders>
              <w:bottom w:val="single" w:sz="4" w:space="0" w:color="000000"/>
            </w:tcBorders>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sz w:val="16"/>
              </w:rPr>
              <w:t>Binary in-hospital AUROC</w:t>
            </w:r>
          </w:p>
        </w:tc>
        <w:tc>
          <w:tcPr>
            <w:tcW w:type="dxa" w:w="2838"/>
            <w:tcBorders>
              <w:bottom w:val="single" w:sz="4" w:space="0" w:color="000000"/>
            </w:tcBorders>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sz w:val="16"/>
              </w:rPr>
              <w:t>Cause-specific concordance</w:t>
            </w:r>
          </w:p>
        </w:tc>
        <w:tc>
          <w:tcPr>
            <w:tcW w:type="dxa" w:w="2836"/>
            <w:tcBorders>
              <w:bottom w:val="single" w:sz="4" w:space="0" w:color="000000"/>
            </w:tcBorders>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sz w:val="16"/>
              </w:rPr>
              <w:t>Concordance retaining admissions discharged alive as later controls</w:t>
            </w:r>
          </w:p>
        </w:tc>
      </w:tr>
      <w:tr>
        <w:trPr>
          <w:cantSplit/>
        </w:trPr>
        <w:tc>
          <w:tcPr>
            <w:tcW w:type="dxa" w:w="5216"/>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AKI stage when the creatinine criteria were first met, MIMIC-IV</w:t>
            </w:r>
          </w:p>
        </w:tc>
        <w:tc>
          <w:tcPr>
            <w:tcW w:type="dxa" w:w="2838"/>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0.637 (0.616–0.655)</w:t>
            </w:r>
          </w:p>
        </w:tc>
        <w:tc>
          <w:tcPr>
            <w:tcW w:type="dxa" w:w="2838"/>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0.634 (0.617–0.650)</w:t>
            </w:r>
          </w:p>
        </w:tc>
        <w:tc>
          <w:tcPr>
            <w:tcW w:type="dxa" w:w="2836"/>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0.625 (0.608–0.639)</w:t>
            </w:r>
          </w:p>
        </w:tc>
      </w:tr>
      <w:tr>
        <w:trPr>
          <w:cantSplit/>
        </w:trPr>
        <w:tc>
          <w:tcPr>
            <w:tcW w:type="dxa" w:w="5216"/>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AKI stage when the creatinine criteria were first met, eICU-CRD</w:t>
            </w:r>
          </w:p>
        </w:tc>
        <w:tc>
          <w:tcPr>
            <w:tcW w:type="dxa" w:w="2838"/>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0.592 (0.559–0.625)</w:t>
            </w:r>
          </w:p>
        </w:tc>
        <w:tc>
          <w:tcPr>
            <w:tcW w:type="dxa" w:w="2838"/>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0.601 (0.567–0.636)</w:t>
            </w:r>
          </w:p>
        </w:tc>
        <w:tc>
          <w:tcPr>
            <w:tcW w:type="dxa" w:w="2836"/>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0.588 (0.560–0.618)</w:t>
            </w:r>
          </w:p>
        </w:tc>
      </w:tr>
      <w:tr>
        <w:trPr>
          <w:cantSplit/>
        </w:trPr>
        <w:tc>
          <w:tcPr>
            <w:tcW w:type="dxa" w:w="5216"/>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MIMIC-IV minus eICU-CRD, AKI stage</w:t>
            </w:r>
          </w:p>
        </w:tc>
        <w:tc>
          <w:tcPr>
            <w:tcW w:type="dxa" w:w="2838"/>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0.045 (0.008 to 0.082)</w:t>
            </w:r>
          </w:p>
        </w:tc>
        <w:tc>
          <w:tcPr>
            <w:tcW w:type="dxa" w:w="2838"/>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0.033 (−0.006 to 0.068)</w:t>
            </w:r>
          </w:p>
        </w:tc>
        <w:tc>
          <w:tcPr>
            <w:tcW w:type="dxa" w:w="2836"/>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0.036 (0.004 to 0.068)</w:t>
            </w:r>
          </w:p>
        </w:tc>
      </w:tr>
      <w:tr>
        <w:trPr>
          <w:cantSplit/>
        </w:trPr>
        <w:tc>
          <w:tcPr>
            <w:tcW w:type="dxa" w:w="5216"/>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Composite model, internal test</w:t>
            </w:r>
          </w:p>
        </w:tc>
        <w:tc>
          <w:tcPr>
            <w:tcW w:type="dxa" w:w="2838"/>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0.805 (0.774–0.837)</w:t>
            </w:r>
          </w:p>
        </w:tc>
        <w:tc>
          <w:tcPr>
            <w:tcW w:type="dxa" w:w="2838"/>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0.766 (0.740–0.791)</w:t>
            </w:r>
          </w:p>
        </w:tc>
        <w:tc>
          <w:tcPr>
            <w:tcW w:type="dxa" w:w="2836"/>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0.763 (0.739–0.788)</w:t>
            </w:r>
          </w:p>
        </w:tc>
      </w:tr>
      <w:tr>
        <w:trPr>
          <w:cantSplit/>
        </w:trPr>
        <w:tc>
          <w:tcPr>
            <w:tcW w:type="dxa" w:w="5216"/>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Composite model, external</w:t>
            </w:r>
          </w:p>
        </w:tc>
        <w:tc>
          <w:tcPr>
            <w:tcW w:type="dxa" w:w="2838"/>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0.749 (0.713–0.785)</w:t>
            </w:r>
          </w:p>
        </w:tc>
        <w:tc>
          <w:tcPr>
            <w:tcW w:type="dxa" w:w="2838"/>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0.716 (0.682–0.749)</w:t>
            </w:r>
          </w:p>
        </w:tc>
        <w:tc>
          <w:tcPr>
            <w:tcW w:type="dxa" w:w="2836"/>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0.716 (0.686–0.745)</w:t>
            </w:r>
          </w:p>
        </w:tc>
      </w:tr>
    </w:tbl>
    <w:p>
      <w:pPr>
        <w:spacing w:after="0"/>
      </w:pPr>
    </w:p>
    <w:p>
      <w:pPr>
        <w:spacing w:before="0" w:after="60" w:line="240" w:lineRule="auto"/>
      </w:pPr>
      <w:r>
        <w:rPr>
          <w:rFonts w:ascii="Times New Roman" w:hAnsi="Times New Roman" w:eastAsia="Times New Roman"/>
          <w:b w:val="0"/>
          <w:sz w:val="19"/>
        </w:rPr>
        <w:t>Event-free discharge alive before day 28 occurred in 1322/2572 MIMIC-IV admissions (51.4%) and 467/785 eICU-CRD admissions (59.5%). These columns estimate different quantities for an explicitly in-hospital outcome. They are not upper and lower bounds, and none estimates post-discharge events. AKI, acute kidney injury; AUROC, area under the receiver operating characteristic curve.</w:t>
      </w:r>
    </w:p>
    <w:p>
      <w:pPr>
        <w:keepNext/>
        <w:pageBreakBefore/>
        <w:spacing w:before="40" w:after="80"/>
        <w:ind w:left="0" w:right="0" w:firstLine="0"/>
      </w:pPr>
      <w:r>
        <w:rPr>
          <w:rFonts w:ascii="Times New Roman" w:hAnsi="Times New Roman" w:eastAsia="Times New Roman"/>
          <w:b/>
          <w:sz w:val="22"/>
        </w:rPr>
        <w:t>Table S5. AKI Staging Sensitivities Using the Primary Baseline Selection Approach</w:t>
      </w:r>
    </w:p>
    <w:tbl>
      <w:tblPr>
        <w:tblW w:type="dxa" w:w="13728"/>
        <w:jc w:val="left"/>
        <w:tblInd w:w="120" w:type="dxa"/>
        <w:tblBorders>
          <w:top w:val="single" w:sz="4" w:space="0" w:color="000000"/>
          <w:left w:val="nil" w:sz="0" w:space="0" w:color="000000"/>
          <w:bottom w:val="single" w:sz="4" w:space="0" w:color="000000"/>
          <w:right w:val="nil" w:sz="0" w:space="0" w:color="000000"/>
          <w:insideH w:val="nil" w:sz="0" w:space="0" w:color="000000"/>
          <w:insideV w:val="nil" w:sz="0" w:space="0" w:color="000000"/>
        </w:tblBorders>
        <w:tblLayout w:type="fixed"/>
        <w:tblLook w:firstColumn="1" w:firstRow="1" w:lastColumn="0" w:lastRow="0" w:noHBand="0" w:noVBand="1" w:val="04A0"/>
      </w:tblPr>
      <w:tblGrid>
        <w:gridCol w:w="7688"/>
        <w:gridCol w:w="6040"/>
      </w:tblGrid>
      <w:tr>
        <w:trPr>
          <w:cantSplit/>
          <w:tblHeader w:val="true"/>
        </w:trPr>
        <w:tc>
          <w:tcPr>
            <w:tcW w:type="dxa" w:w="7688"/>
            <w:tcBorders>
              <w:bottom w:val="single" w:sz="4" w:space="0" w:color="000000"/>
            </w:tcBorders>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sz w:val="16"/>
              </w:rPr>
              <w:t>Staging rule</w:t>
            </w:r>
          </w:p>
        </w:tc>
        <w:tc>
          <w:tcPr>
            <w:tcW w:type="dxa" w:w="6040"/>
            <w:tcBorders>
              <w:bottom w:val="single" w:sz="4" w:space="0" w:color="000000"/>
            </w:tcBorders>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sz w:val="16"/>
              </w:rPr>
              <w:t>MIMIC-IV minus eICU-CRD stage AUROC (95% CI)</w:t>
            </w:r>
          </w:p>
        </w:tc>
      </w:tr>
      <w:tr>
        <w:trPr>
          <w:cantSplit/>
        </w:trPr>
        <w:tc>
          <w:tcPr>
            <w:tcW w:type="dxa" w:w="7688"/>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AKI stage when the creatinine criteria were first met</w:t>
            </w:r>
          </w:p>
        </w:tc>
        <w:tc>
          <w:tcPr>
            <w:tcW w:type="dxa" w:w="6040"/>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0.045 (0.008 to 0.082)</w:t>
            </w:r>
          </w:p>
        </w:tc>
      </w:tr>
      <w:tr>
        <w:trPr>
          <w:cantSplit/>
        </w:trPr>
        <w:tc>
          <w:tcPr>
            <w:tcW w:type="dxa" w:w="7688"/>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Stage based only on SCr multiples relative to baseline</w:t>
            </w:r>
          </w:p>
        </w:tc>
        <w:tc>
          <w:tcPr>
            <w:tcW w:type="dxa" w:w="6040"/>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0.046 (0.009 to 0.082)</w:t>
            </w:r>
          </w:p>
        </w:tc>
      </w:tr>
      <w:tr>
        <w:trPr>
          <w:cantSplit/>
        </w:trPr>
        <w:tc>
          <w:tcPr>
            <w:tcW w:type="dxa" w:w="7688"/>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Absolute SCr ≥4.0 mg/dL assigned stage 3 only when SCr was also ≥1.5 times baseline</w:t>
            </w:r>
          </w:p>
        </w:tc>
        <w:tc>
          <w:tcPr>
            <w:tcW w:type="dxa" w:w="6040"/>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0.047 (0.010 to 0.084)</w:t>
            </w:r>
          </w:p>
        </w:tc>
      </w:tr>
    </w:tbl>
    <w:p>
      <w:pPr>
        <w:spacing w:after="0"/>
      </w:pPr>
    </w:p>
    <w:p>
      <w:pPr>
        <w:spacing w:before="0" w:after="60" w:line="240" w:lineRule="auto"/>
      </w:pPr>
      <w:r>
        <w:rPr>
          <w:rFonts w:ascii="Times New Roman" w:hAnsi="Times New Roman" w:eastAsia="Times New Roman"/>
          <w:b w:val="0"/>
          <w:sz w:val="19"/>
        </w:rPr>
        <w:t>Only 8 MIMIC-IV admissions and no eICU-CRD admissions changed stage when the absolute SCr ≥4.0 mg/dL criterion was additionally required to occur with an SCr of at least 1.5 times baseline. The corresponding within-database AUROC difference from the primary stage definition was −0.002 in MIMIC-IV and 0.000 in eICU-CRD. AKI, acute kidney injury; AUROC, area under the receiver operating characteristic curve; ICA/KDIGO, International Club of Ascites/Kidney Disease: Improving Global Outcomes.</w:t>
      </w:r>
    </w:p>
    <w:p>
      <w:pPr>
        <w:keepNext/>
        <w:pageBreakBefore/>
        <w:spacing w:before="40" w:after="80"/>
        <w:ind w:left="0" w:right="0" w:firstLine="0"/>
      </w:pPr>
      <w:r>
        <w:rPr>
          <w:rFonts w:ascii="Times New Roman" w:hAnsi="Times New Roman" w:eastAsia="Times New Roman"/>
          <w:b/>
          <w:sz w:val="22"/>
        </w:rPr>
        <w:t>Table S6. KRT Component Sensitivities Using Predictions From the Composite-Outcome Model Without Refitting</w:t>
      </w:r>
    </w:p>
    <w:tbl>
      <w:tblPr>
        <w:tblW w:type="dxa" w:w="13728"/>
        <w:jc w:val="left"/>
        <w:tblInd w:w="120" w:type="dxa"/>
        <w:tblBorders>
          <w:top w:val="single" w:sz="4" w:space="0" w:color="000000"/>
          <w:left w:val="nil" w:sz="0" w:space="0" w:color="000000"/>
          <w:bottom w:val="single" w:sz="4" w:space="0" w:color="000000"/>
          <w:right w:val="nil" w:sz="0" w:space="0" w:color="000000"/>
          <w:insideH w:val="nil" w:sz="0" w:space="0" w:color="000000"/>
          <w:insideV w:val="nil" w:sz="0" w:space="0" w:color="000000"/>
        </w:tblBorders>
        <w:tblLayout w:type="fixed"/>
        <w:tblLook w:firstColumn="1" w:firstRow="1" w:lastColumn="0" w:lastRow="0" w:noHBand="0" w:noVBand="1" w:val="04A0"/>
      </w:tblPr>
      <w:tblGrid>
        <w:gridCol w:w="4393"/>
        <w:gridCol w:w="1867"/>
        <w:gridCol w:w="1867"/>
        <w:gridCol w:w="1867"/>
        <w:gridCol w:w="1867"/>
        <w:gridCol w:w="1867"/>
      </w:tblGrid>
      <w:tr>
        <w:trPr>
          <w:cantSplit/>
          <w:tblHeader w:val="true"/>
        </w:trPr>
        <w:tc>
          <w:tcPr>
            <w:tcW w:type="dxa" w:w="4393"/>
            <w:tcBorders>
              <w:bottom w:val="single" w:sz="4" w:space="0" w:color="000000"/>
            </w:tcBorders>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sz w:val="16"/>
              </w:rPr>
              <w:t>Estimand</w:t>
            </w:r>
          </w:p>
        </w:tc>
        <w:tc>
          <w:tcPr>
            <w:tcW w:type="dxa" w:w="1867"/>
            <w:tcBorders>
              <w:bottom w:val="single" w:sz="4" w:space="0" w:color="000000"/>
            </w:tcBorders>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sz w:val="16"/>
              </w:rPr>
              <w:t>Internal n (events)</w:t>
            </w:r>
          </w:p>
        </w:tc>
        <w:tc>
          <w:tcPr>
            <w:tcW w:type="dxa" w:w="1867"/>
            <w:tcBorders>
              <w:bottom w:val="single" w:sz="4" w:space="0" w:color="000000"/>
            </w:tcBorders>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sz w:val="16"/>
              </w:rPr>
              <w:t>Internal estimate (95% CI)</w:t>
            </w:r>
          </w:p>
        </w:tc>
        <w:tc>
          <w:tcPr>
            <w:tcW w:type="dxa" w:w="1867"/>
            <w:tcBorders>
              <w:bottom w:val="single" w:sz="4" w:space="0" w:color="000000"/>
            </w:tcBorders>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sz w:val="16"/>
              </w:rPr>
              <w:t>External n (events)</w:t>
            </w:r>
          </w:p>
        </w:tc>
        <w:tc>
          <w:tcPr>
            <w:tcW w:type="dxa" w:w="1867"/>
            <w:tcBorders>
              <w:bottom w:val="single" w:sz="4" w:space="0" w:color="000000"/>
            </w:tcBorders>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sz w:val="16"/>
              </w:rPr>
              <w:t>External estimate (95% CI)</w:t>
            </w:r>
          </w:p>
        </w:tc>
        <w:tc>
          <w:tcPr>
            <w:tcW w:type="dxa" w:w="1867"/>
            <w:tcBorders>
              <w:bottom w:val="single" w:sz="4" w:space="0" w:color="000000"/>
            </w:tcBorders>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sz w:val="16"/>
              </w:rPr>
              <w:t>External AUPRC</w:t>
            </w:r>
          </w:p>
        </w:tc>
      </w:tr>
      <w:tr>
        <w:trPr>
          <w:cantSplit/>
        </w:trPr>
        <w:tc>
          <w:tcPr>
            <w:tcW w:type="dxa" w:w="4393"/>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Cause-specific incident/dynamic concordance (primary)</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759 (108)</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0.766 (0.721–0.806)</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785 (94)</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0.687 (0.635–0.736)</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w:t>
            </w:r>
          </w:p>
        </w:tc>
      </w:tr>
      <w:tr>
        <w:trPr>
          <w:cantSplit/>
        </w:trPr>
        <w:tc>
          <w:tcPr>
            <w:tcW w:type="dxa" w:w="4393"/>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Binary AUROC in all admissions</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759 (108)</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0.721 (0.669–0.769)</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785 (94)</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0.633 (0.570–0.689)</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0.182 (0.121–0.265)</w:t>
            </w:r>
          </w:p>
        </w:tc>
      </w:tr>
      <w:tr>
        <w:trPr>
          <w:cantSplit/>
        </w:trPr>
        <w:tc>
          <w:tcPr>
            <w:tcW w:type="dxa" w:w="4393"/>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Binary AUROC after excluding admissions ending in death without KRT (descriptive)</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555 (108)</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0.809 (0.761–0.855)</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584 (94)</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0.710 (0.647–0.765)</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0.346 (0.233–0.468)</w:t>
            </w:r>
          </w:p>
        </w:tc>
      </w:tr>
    </w:tbl>
    <w:p>
      <w:pPr>
        <w:spacing w:after="0"/>
      </w:pPr>
    </w:p>
    <w:p>
      <w:pPr>
        <w:spacing w:before="0" w:after="60" w:line="240" w:lineRule="auto"/>
      </w:pPr>
      <w:r>
        <w:rPr>
          <w:rFonts w:ascii="Times New Roman" w:hAnsi="Times New Roman" w:eastAsia="Times New Roman"/>
          <w:b w:val="0"/>
          <w:sz w:val="19"/>
        </w:rPr>
        <w:t>The primary cause-specific external-minus-internal difference was −0.078 (−0.149 to −0.010). After excluding admissions ending in death without KRT, the binary AUROC difference was −0.099 (−0.176 to −0.028) and the AUPRC difference was −0.226 (−0.377 to −0.066). Under the initial three-term KRT search rule and its 789-admission cohort, external cause-specific concordance was 0.695 (0.632–0.757). Excluding admissions according to a later outcome conditions the analyzed sample on a future event, so this analysis is descriptive. AUPRC, area under the precision-recall curve; AUROC, area under the receiver operating characteristic curve; KRT, kidney replacement therapy.</w:t>
      </w:r>
    </w:p>
    <w:p>
      <w:pPr>
        <w:keepNext/>
        <w:pageBreakBefore/>
        <w:spacing w:before="40" w:after="80"/>
        <w:ind w:left="0" w:right="0" w:firstLine="0"/>
      </w:pPr>
      <w:r>
        <w:rPr>
          <w:rFonts w:ascii="Times New Roman" w:hAnsi="Times New Roman" w:eastAsia="Times New Roman"/>
          <w:b/>
          <w:sz w:val="22"/>
        </w:rPr>
        <w:t>Table S7. Random Forest and Logistic Regression Using the Same Variables</w:t>
      </w:r>
    </w:p>
    <w:tbl>
      <w:tblPr>
        <w:tblW w:type="dxa" w:w="13728"/>
        <w:jc w:val="left"/>
        <w:tblInd w:w="120" w:type="dxa"/>
        <w:tblBorders>
          <w:top w:val="single" w:sz="4" w:space="0" w:color="000000"/>
          <w:left w:val="nil" w:sz="0" w:space="0" w:color="000000"/>
          <w:bottom w:val="single" w:sz="4" w:space="0" w:color="000000"/>
          <w:right w:val="nil" w:sz="0" w:space="0" w:color="000000"/>
          <w:insideH w:val="nil" w:sz="0" w:space="0" w:color="000000"/>
          <w:insideV w:val="nil" w:sz="0" w:space="0" w:color="000000"/>
        </w:tblBorders>
        <w:tblLayout w:type="fixed"/>
        <w:tblLook w:firstColumn="1" w:firstRow="1" w:lastColumn="0" w:lastRow="0" w:noHBand="0" w:noVBand="1" w:val="04A0"/>
      </w:tblPr>
      <w:tblGrid>
        <w:gridCol w:w="5492"/>
        <w:gridCol w:w="2059"/>
        <w:gridCol w:w="2059"/>
        <w:gridCol w:w="2059"/>
        <w:gridCol w:w="2059"/>
      </w:tblGrid>
      <w:tr>
        <w:trPr>
          <w:cantSplit/>
          <w:tblHeader w:val="true"/>
        </w:trPr>
        <w:tc>
          <w:tcPr>
            <w:tcW w:type="dxa" w:w="5492"/>
            <w:tcBorders>
              <w:bottom w:val="single" w:sz="4" w:space="0" w:color="000000"/>
            </w:tcBorders>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sz w:val="16"/>
              </w:rPr>
              <w:t>Cohort and metric</w:t>
            </w:r>
          </w:p>
        </w:tc>
        <w:tc>
          <w:tcPr>
            <w:tcW w:type="dxa" w:w="2059"/>
            <w:tcBorders>
              <w:bottom w:val="single" w:sz="4" w:space="0" w:color="000000"/>
            </w:tcBorders>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sz w:val="16"/>
              </w:rPr>
              <w:t>Random forest</w:t>
            </w:r>
          </w:p>
        </w:tc>
        <w:tc>
          <w:tcPr>
            <w:tcW w:type="dxa" w:w="2059"/>
            <w:tcBorders>
              <w:bottom w:val="single" w:sz="4" w:space="0" w:color="000000"/>
            </w:tcBorders>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sz w:val="16"/>
              </w:rPr>
              <w:t>Logistic regression</w:t>
            </w:r>
          </w:p>
        </w:tc>
        <w:tc>
          <w:tcPr>
            <w:tcW w:type="dxa" w:w="2059"/>
            <w:tcBorders>
              <w:bottom w:val="single" w:sz="4" w:space="0" w:color="000000"/>
            </w:tcBorders>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sz w:val="16"/>
              </w:rPr>
              <w:t>Random forest minus logistic regression (95% CI)</w:t>
            </w:r>
          </w:p>
        </w:tc>
        <w:tc>
          <w:tcPr>
            <w:tcW w:type="dxa" w:w="2059"/>
            <w:tcBorders>
              <w:bottom w:val="single" w:sz="4" w:space="0" w:color="000000"/>
            </w:tcBorders>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sz w:val="16"/>
              </w:rPr>
              <w:t xml:space="preserve">Auxiliary DeLong </w:t>
            </w:r>
            <w:r>
              <w:rPr>
                <w:rFonts w:ascii="Times New Roman" w:hAnsi="Times New Roman" w:eastAsia="Times New Roman"/>
                <w:b/>
                <w:i/>
                <w:sz w:val="16"/>
              </w:rPr>
              <w:t>P</w:t>
            </w:r>
          </w:p>
        </w:tc>
      </w:tr>
      <w:tr>
        <w:trPr>
          <w:cantSplit/>
        </w:trPr>
        <w:tc>
          <w:tcPr>
            <w:tcW w:type="dxa" w:w="5492"/>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Internal AUROC</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0.805</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0.793</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0.013 (−0.004 to 0.030)</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0.146</w:t>
            </w:r>
          </w:p>
        </w:tc>
      </w:tr>
      <w:tr>
        <w:trPr>
          <w:cantSplit/>
        </w:trPr>
        <w:tc>
          <w:tcPr>
            <w:tcW w:type="dxa" w:w="5492"/>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Internal AUPRC</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0.745</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0.740</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0.005 (−0.024 to 0.034)</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w:t>
            </w:r>
          </w:p>
        </w:tc>
      </w:tr>
      <w:tr>
        <w:trPr>
          <w:cantSplit/>
        </w:trPr>
        <w:tc>
          <w:tcPr>
            <w:tcW w:type="dxa" w:w="5492"/>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External AUROC</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0.749</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0.726</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0.023 (0.0005–0.042)</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0.017</w:t>
            </w:r>
          </w:p>
        </w:tc>
      </w:tr>
      <w:tr>
        <w:trPr>
          <w:cantSplit/>
        </w:trPr>
        <w:tc>
          <w:tcPr>
            <w:tcW w:type="dxa" w:w="5492"/>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External AUPRC</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0.630</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0.642</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−0.012 (−0.041 to 0.016)</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w:t>
            </w:r>
          </w:p>
        </w:tc>
      </w:tr>
    </w:tbl>
    <w:p>
      <w:pPr>
        <w:spacing w:after="0"/>
      </w:pPr>
    </w:p>
    <w:p>
      <w:pPr>
        <w:spacing w:before="0" w:after="60" w:line="240" w:lineRule="auto"/>
      </w:pPr>
      <w:r>
        <w:rPr>
          <w:rFonts w:ascii="Times New Roman" w:hAnsi="Times New Roman" w:eastAsia="Times New Roman"/>
          <w:b w:val="0"/>
          <w:sz w:val="19"/>
        </w:rPr>
        <w:t>Both models used the same 21 variables, training-only median imputation, and the same patient-grouped split (training n=1813; internal test n=759; external n=785; patient overlap 0). The external hospital-bootstrap interval excluded zero and met the fixed rule; the internal interval included zero. The unclustered DeLong result was auxiliary. AUPRC, area under the precision-recall curve; AUROC, area under the receiver operating characteristic curve.</w:t>
      </w:r>
    </w:p>
    <w:p>
      <w:pPr>
        <w:keepNext/>
        <w:pageBreakBefore/>
        <w:spacing w:before="40" w:after="80"/>
        <w:ind w:left="0" w:right="0" w:firstLine="0"/>
      </w:pPr>
      <w:r>
        <w:rPr>
          <w:rFonts w:ascii="Times New Roman" w:hAnsi="Times New Roman" w:eastAsia="Times New Roman"/>
          <w:b/>
          <w:sz w:val="22"/>
        </w:rPr>
        <w:t>Table S8. Performance of the Composite-Outcome Model and Effect of Omitting AKI Stage</w:t>
      </w:r>
    </w:p>
    <w:tbl>
      <w:tblPr>
        <w:tblW w:type="dxa" w:w="13728"/>
        <w:jc w:val="left"/>
        <w:tblInd w:w="120" w:type="dxa"/>
        <w:tblBorders>
          <w:top w:val="single" w:sz="4" w:space="0" w:color="000000"/>
          <w:left w:val="nil" w:sz="0" w:space="0" w:color="000000"/>
          <w:bottom w:val="single" w:sz="4" w:space="0" w:color="000000"/>
          <w:right w:val="nil" w:sz="0" w:space="0" w:color="000000"/>
          <w:insideH w:val="nil" w:sz="0" w:space="0" w:color="000000"/>
          <w:insideV w:val="nil" w:sz="0" w:space="0" w:color="000000"/>
        </w:tblBorders>
        <w:tblLayout w:type="fixed"/>
        <w:tblLook w:firstColumn="1" w:firstRow="1" w:lastColumn="0" w:lastRow="0" w:noHBand="0" w:noVBand="1" w:val="04A0"/>
      </w:tblPr>
      <w:tblGrid>
        <w:gridCol w:w="6864"/>
        <w:gridCol w:w="3432"/>
        <w:gridCol w:w="3432"/>
      </w:tblGrid>
      <w:tr>
        <w:trPr>
          <w:cantSplit/>
          <w:tblHeader w:val="true"/>
        </w:trPr>
        <w:tc>
          <w:tcPr>
            <w:tcW w:type="dxa" w:w="6864"/>
            <w:tcBorders>
              <w:bottom w:val="single" w:sz="4" w:space="0" w:color="000000"/>
            </w:tcBorders>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sz w:val="16"/>
              </w:rPr>
              <w:t>Result</w:t>
            </w:r>
          </w:p>
        </w:tc>
        <w:tc>
          <w:tcPr>
            <w:tcW w:type="dxa" w:w="3432"/>
            <w:tcBorders>
              <w:bottom w:val="single" w:sz="4" w:space="0" w:color="000000"/>
            </w:tcBorders>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sz w:val="16"/>
              </w:rPr>
              <w:t>Internal</w:t>
            </w:r>
          </w:p>
        </w:tc>
        <w:tc>
          <w:tcPr>
            <w:tcW w:type="dxa" w:w="3432"/>
            <w:tcBorders>
              <w:bottom w:val="single" w:sz="4" w:space="0" w:color="000000"/>
            </w:tcBorders>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sz w:val="16"/>
              </w:rPr>
              <w:t>External</w:t>
            </w:r>
          </w:p>
        </w:tc>
      </w:tr>
      <w:tr>
        <w:trPr>
          <w:cantSplit/>
        </w:trPr>
        <w:tc>
          <w:tcPr>
            <w:tcW w:type="dxa" w:w="6864"/>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Random-forest AUROC</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0.805 (0.774–0.837)</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0.749 (0.713–0.785)</w:t>
            </w:r>
          </w:p>
        </w:tc>
      </w:tr>
      <w:tr>
        <w:trPr>
          <w:cantSplit/>
        </w:trPr>
        <w:tc>
          <w:tcPr>
            <w:tcW w:type="dxa" w:w="6864"/>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AUPRC</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0.745 (0.696–0.793)</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0.630 (0.565–0.695)</w:t>
            </w:r>
          </w:p>
        </w:tc>
      </w:tr>
      <w:tr>
        <w:trPr>
          <w:cantSplit/>
        </w:trPr>
        <w:tc>
          <w:tcPr>
            <w:tcW w:type="dxa" w:w="6864"/>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Brier score</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0.175 (0.162–0.188)</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0.194 (0.181–0.206)</w:t>
            </w:r>
          </w:p>
        </w:tc>
      </w:tr>
      <w:tr>
        <w:trPr>
          <w:cantSplit/>
        </w:trPr>
        <w:tc>
          <w:tcPr>
            <w:tcW w:type="dxa" w:w="6864"/>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Calibration slope</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1.092 (0.797–1.396)</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1.047 (0.845–1.277)</w:t>
            </w:r>
          </w:p>
        </w:tc>
      </w:tr>
      <w:tr>
        <w:trPr>
          <w:cantSplit/>
        </w:trPr>
        <w:tc>
          <w:tcPr>
            <w:tcW w:type="dxa" w:w="6864"/>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Calibration intercept</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0.125 (−0.093 to 0.368)</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0.081 (−0.179 to 0.341)</w:t>
            </w:r>
          </w:p>
        </w:tc>
      </w:tr>
      <w:tr>
        <w:trPr>
          <w:cantSplit/>
        </w:trPr>
        <w:tc>
          <w:tcPr>
            <w:tcW w:type="dxa" w:w="6864"/>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Logistic model with AKI stage</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0.793</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0.726</w:t>
            </w:r>
          </w:p>
        </w:tc>
      </w:tr>
      <w:tr>
        <w:trPr>
          <w:cantSplit/>
        </w:trPr>
        <w:tc>
          <w:tcPr>
            <w:tcW w:type="dxa" w:w="6864"/>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Logistic model without AKI stage</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0.793</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0.724</w:t>
            </w:r>
          </w:p>
        </w:tc>
      </w:tr>
      <w:tr>
        <w:trPr>
          <w:cantSplit/>
        </w:trPr>
        <w:tc>
          <w:tcPr>
            <w:tcW w:type="dxa" w:w="6864"/>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AUROC for logistic regression with stage minus AUROC without stage</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0.000 (−0.003 to 0.003)</w:t>
            </w:r>
          </w:p>
        </w:tc>
        <w:tc>
          <w:tcPr>
            <w:tcW w:type="dxa" w:w="3432"/>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0.001 (−0.002 to 0.004)</w:t>
            </w:r>
          </w:p>
        </w:tc>
      </w:tr>
    </w:tbl>
    <w:p>
      <w:pPr>
        <w:spacing w:after="0"/>
      </w:pPr>
    </w:p>
    <w:p>
      <w:pPr>
        <w:spacing w:before="0" w:after="60" w:line="240" w:lineRule="auto"/>
      </w:pPr>
      <w:r>
        <w:rPr>
          <w:rFonts w:ascii="Times New Roman" w:hAnsi="Times New Roman" w:eastAsia="Times New Roman"/>
          <w:b w:val="0"/>
          <w:sz w:val="19"/>
        </w:rPr>
        <w:t>Values in parentheses are 95% confidence intervals obtained by bootstrap resampling clustered by patient or hospital. Logistic-regression rows are AUROCs and are shown as point estimates; the paired comparison of the models with and without stage includes its confidence interval. The internal-minus-external AUROC difference for the composite-outcome model was 0.057 (0.010–0.103); the corresponding cause-specific difference was 0.049 (0.006–0.091). In the sensitivity calculation retaining admissions discharged alive as controls at later event times, the difference was 0.048 (0.010–0.086). AKI, acute kidney injury; AUPRC, area under the precision-recall curve; AUROC, area under the receiver operating characteristic curve.</w:t>
      </w:r>
    </w:p>
    <w:p>
      <w:pPr>
        <w:keepNext/>
        <w:pageBreakBefore/>
        <w:spacing w:before="40" w:after="80"/>
        <w:ind w:left="0" w:right="0" w:firstLine="0"/>
      </w:pPr>
      <w:r>
        <w:rPr>
          <w:rFonts w:ascii="Times New Roman" w:hAnsi="Times New Roman" w:eastAsia="Times New Roman"/>
          <w:b/>
          <w:sz w:val="22"/>
        </w:rPr>
        <w:t>Table S9. Post Hoc SCr Differences, Comparison by Source of Baseline SCr, Permutation, and Cell Contrast in the 889 Paired Admissions</w:t>
      </w:r>
    </w:p>
    <w:tbl>
      <w:tblPr>
        <w:tblW w:type="dxa" w:w="13728"/>
        <w:jc w:val="left"/>
        <w:tblInd w:w="120" w:type="dxa"/>
        <w:tblBorders>
          <w:top w:val="single" w:sz="4" w:space="0" w:color="000000"/>
          <w:left w:val="nil" w:sz="0" w:space="0" w:color="000000"/>
          <w:bottom w:val="single" w:sz="4" w:space="0" w:color="000000"/>
          <w:right w:val="nil" w:sz="0" w:space="0" w:color="000000"/>
          <w:insideH w:val="nil" w:sz="0" w:space="0" w:color="000000"/>
          <w:insideV w:val="nil" w:sz="0" w:space="0" w:color="000000"/>
        </w:tblBorders>
        <w:tblLayout w:type="fixed"/>
        <w:tblLook w:firstColumn="1" w:firstRow="1" w:lastColumn="0" w:lastRow="0" w:noHBand="0" w:noVBand="1" w:val="04A0"/>
      </w:tblPr>
      <w:tblGrid>
        <w:gridCol w:w="7688"/>
        <w:gridCol w:w="6040"/>
      </w:tblGrid>
      <w:tr>
        <w:trPr>
          <w:cantSplit/>
          <w:tblHeader w:val="true"/>
        </w:trPr>
        <w:tc>
          <w:tcPr>
            <w:tcW w:type="dxa" w:w="7688"/>
            <w:tcBorders>
              <w:bottom w:val="single" w:sz="4" w:space="0" w:color="000000"/>
            </w:tcBorders>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sz w:val="16"/>
              </w:rPr>
              <w:t>Audit</w:t>
            </w:r>
          </w:p>
        </w:tc>
        <w:tc>
          <w:tcPr>
            <w:tcW w:type="dxa" w:w="6040"/>
            <w:tcBorders>
              <w:bottom w:val="single" w:sz="4" w:space="0" w:color="000000"/>
            </w:tcBorders>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sz w:val="16"/>
              </w:rPr>
              <w:t>Result</w:t>
            </w:r>
          </w:p>
        </w:tc>
      </w:tr>
      <w:tr>
        <w:trPr>
          <w:cantSplit/>
        </w:trPr>
        <w:tc>
          <w:tcPr>
            <w:tcW w:type="dxa" w:w="7688"/>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Admission minus historical SCr, all paired admissions</w:t>
            </w:r>
          </w:p>
        </w:tc>
        <w:tc>
          <w:tcPr>
            <w:tcW w:type="dxa" w:w="6040"/>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Median 0.10 mg/dL (IQR, −0.10 to 0.30); 57.0% positive</w:t>
            </w:r>
          </w:p>
        </w:tc>
      </w:tr>
      <w:tr>
        <w:trPr>
          <w:cantSplit/>
        </w:trPr>
        <w:tc>
          <w:tcPr>
            <w:tcW w:type="dxa" w:w="7688"/>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Admission minus historical SCr, 99 downgraded admissions</w:t>
            </w:r>
          </w:p>
        </w:tc>
        <w:tc>
          <w:tcPr>
            <w:tcW w:type="dxa" w:w="6040"/>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Median 0.70 mg/dL (IQR, 0.30 to 1.33); 100% positive</w:t>
            </w:r>
          </w:p>
        </w:tc>
      </w:tr>
      <w:tr>
        <w:trPr>
          <w:cantSplit/>
        </w:trPr>
        <w:tc>
          <w:tcPr>
            <w:tcW w:type="dxa" w:w="7688"/>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Admission minus historical SCr, 23 stage 3-to-1 admissions</w:t>
            </w:r>
          </w:p>
        </w:tc>
        <w:tc>
          <w:tcPr>
            <w:tcW w:type="dxa" w:w="6040"/>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Median 1.50 mg/dL (IQR, 0.93 to 2.00); 100% ≥0.3 mg/dL</w:t>
            </w:r>
          </w:p>
        </w:tc>
      </w:tr>
      <w:tr>
        <w:trPr>
          <w:cantSplit/>
        </w:trPr>
        <w:tc>
          <w:tcPr>
            <w:tcW w:type="dxa" w:w="7688"/>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Baseline was the median SCr measured 7–90 days before admission</w:t>
            </w:r>
          </w:p>
        </w:tc>
        <w:tc>
          <w:tcPr>
            <w:tcW w:type="dxa" w:w="6040"/>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n=767; 112 reclassified (14.6%); 79 downgraded (10.3%)</w:t>
            </w:r>
          </w:p>
        </w:tc>
      </w:tr>
      <w:tr>
        <w:trPr>
          <w:cantSplit/>
        </w:trPr>
        <w:tc>
          <w:tcPr>
            <w:tcW w:type="dxa" w:w="7688"/>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Baseline was the most recent SCr measured 90–365 days before admission</w:t>
            </w:r>
          </w:p>
        </w:tc>
        <w:tc>
          <w:tcPr>
            <w:tcW w:type="dxa" w:w="6040"/>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n=122; 24 reclassified (19.7%); 20 downgraded (16.4%)</w:t>
            </w:r>
          </w:p>
        </w:tc>
      </w:tr>
      <w:tr>
        <w:trPr>
          <w:cantSplit/>
        </w:trPr>
        <w:tc>
          <w:tcPr>
            <w:tcW w:type="dxa" w:w="7688"/>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Observed AUROC for stage based on admission SCr</w:t>
            </w:r>
          </w:p>
        </w:tc>
        <w:tc>
          <w:tcPr>
            <w:tcW w:type="dxa" w:w="6040"/>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0.5993</w:t>
            </w:r>
          </w:p>
        </w:tc>
      </w:tr>
      <w:tr>
        <w:trPr>
          <w:cantSplit/>
        </w:trPr>
        <w:tc>
          <w:tcPr>
            <w:tcW w:type="dxa" w:w="7688"/>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Distribution from permutations retaining the row and column totals</w:t>
            </w:r>
          </w:p>
        </w:tc>
        <w:tc>
          <w:tcPr>
            <w:tcW w:type="dxa" w:w="6040"/>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Median 0.5814; 95% range, 0.5637–0.5987</w:t>
            </w:r>
          </w:p>
        </w:tc>
      </w:tr>
      <w:tr>
        <w:trPr>
          <w:cantSplit/>
        </w:trPr>
        <w:tc>
          <w:tcPr>
            <w:tcW w:type="dxa" w:w="7688"/>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 xml:space="preserve">One-sided permutation </w:t>
            </w:r>
            <w:r>
              <w:rPr>
                <w:rFonts w:ascii="Times New Roman" w:hAnsi="Times New Roman" w:eastAsia="Times New Roman"/>
                <w:b w:val="0"/>
                <w:i/>
                <w:sz w:val="16"/>
              </w:rPr>
              <w:t>P</w:t>
            </w:r>
            <w:r>
              <w:rPr>
                <w:rFonts w:ascii="Times New Roman" w:hAnsi="Times New Roman" w:eastAsia="Times New Roman"/>
                <w:b w:val="0"/>
                <w:sz w:val="16"/>
              </w:rPr>
              <w:t xml:space="preserve"> for permuted AUROC ≤ observed AUROC</w:t>
            </w:r>
          </w:p>
        </w:tc>
        <w:tc>
          <w:tcPr>
            <w:tcW w:type="dxa" w:w="6040"/>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0.978</w:t>
            </w:r>
          </w:p>
        </w:tc>
      </w:tr>
      <w:tr>
        <w:trPr>
          <w:cantSplit/>
        </w:trPr>
        <w:tc>
          <w:tcPr>
            <w:tcW w:type="dxa" w:w="7688"/>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Stage 3-to-1 versus retained-stage-3 event-rate difference</w:t>
            </w:r>
          </w:p>
        </w:tc>
        <w:tc>
          <w:tcPr>
            <w:tcW w:type="dxa" w:w="6040"/>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0.106 (95% CI, −0.102 to 0.312)</w:t>
            </w:r>
          </w:p>
        </w:tc>
      </w:tr>
    </w:tbl>
    <w:p>
      <w:pPr>
        <w:spacing w:after="0"/>
      </w:pPr>
    </w:p>
    <w:p>
      <w:pPr>
        <w:spacing w:before="0" w:after="60" w:line="240" w:lineRule="auto"/>
      </w:pPr>
      <w:r>
        <w:rPr>
          <w:rFonts w:ascii="Times New Roman" w:hAnsi="Times New Roman" w:eastAsia="Times New Roman"/>
          <w:b w:val="0"/>
          <w:sz w:val="19"/>
        </w:rPr>
        <w:t>The comparison by source of baseline SCr is confined to paired admissions and is descriptive; the two groups differ in recency and availability as well as number of measurements. The higher reclassification and downgrade rates when one historical value was used are compatible with reduced stability from one measurement, but do not by themselves establish that the median is the clinically correct baseline. The permutation analysis that retained the row and column totals did not support preferential movement that lowered discrimination beyond the change in stage counts. IQR, interquartile range; SCr, serum creatinine.</w:t>
      </w:r>
    </w:p>
    <w:p>
      <w:pPr>
        <w:keepNext/>
        <w:pageBreakBefore/>
        <w:spacing w:before="40" w:after="80"/>
        <w:ind w:left="0" w:right="0" w:firstLine="0"/>
      </w:pPr>
      <w:r>
        <w:rPr>
          <w:rFonts w:ascii="Times New Roman" w:hAnsi="Times New Roman" w:eastAsia="Times New Roman"/>
          <w:b/>
          <w:sz w:val="22"/>
        </w:rPr>
        <w:t>Table S10. Comparison With Three Categories Based on SCr Alone Across Groups Defined by the Source of Baseline SCr</w:t>
      </w:r>
    </w:p>
    <w:tbl>
      <w:tblPr>
        <w:tblW w:type="dxa" w:w="13728"/>
        <w:jc w:val="left"/>
        <w:tblInd w:w="120" w:type="dxa"/>
        <w:tblBorders>
          <w:top w:val="single" w:sz="4" w:space="0" w:color="000000"/>
          <w:left w:val="nil" w:sz="0" w:space="0" w:color="000000"/>
          <w:bottom w:val="single" w:sz="4" w:space="0" w:color="000000"/>
          <w:right w:val="nil" w:sz="0" w:space="0" w:color="000000"/>
          <w:insideH w:val="nil" w:sz="0" w:space="0" w:color="000000"/>
          <w:insideV w:val="nil" w:sz="0" w:space="0" w:color="000000"/>
        </w:tblBorders>
        <w:tblLayout w:type="fixed"/>
        <w:tblLook w:firstColumn="1" w:firstRow="1" w:lastColumn="0" w:lastRow="0" w:noHBand="0" w:noVBand="1" w:val="04A0"/>
      </w:tblPr>
      <w:tblGrid>
        <w:gridCol w:w="5492"/>
        <w:gridCol w:w="2059"/>
        <w:gridCol w:w="2059"/>
        <w:gridCol w:w="2059"/>
        <w:gridCol w:w="2059"/>
      </w:tblGrid>
      <w:tr>
        <w:trPr>
          <w:cantSplit/>
          <w:tblHeader w:val="true"/>
        </w:trPr>
        <w:tc>
          <w:tcPr>
            <w:tcW w:type="dxa" w:w="5492"/>
            <w:tcBorders>
              <w:bottom w:val="single" w:sz="4" w:space="0" w:color="000000"/>
            </w:tcBorders>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sz w:val="16"/>
              </w:rPr>
              <w:t>Cohort and denominator</w:t>
            </w:r>
          </w:p>
        </w:tc>
        <w:tc>
          <w:tcPr>
            <w:tcW w:type="dxa" w:w="2059"/>
            <w:tcBorders>
              <w:bottom w:val="single" w:sz="4" w:space="0" w:color="000000"/>
            </w:tcBorders>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sz w:val="16"/>
              </w:rPr>
              <w:t>n</w:t>
            </w:r>
          </w:p>
        </w:tc>
        <w:tc>
          <w:tcPr>
            <w:tcW w:type="dxa" w:w="2059"/>
            <w:tcBorders>
              <w:bottom w:val="single" w:sz="4" w:space="0" w:color="000000"/>
            </w:tcBorders>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sz w:val="16"/>
              </w:rPr>
              <w:t>Stage AUROC (95% CI)</w:t>
            </w:r>
          </w:p>
        </w:tc>
        <w:tc>
          <w:tcPr>
            <w:tcW w:type="dxa" w:w="2059"/>
            <w:tcBorders>
              <w:bottom w:val="single" w:sz="4" w:space="0" w:color="000000"/>
            </w:tcBorders>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sz w:val="16"/>
              </w:rPr>
              <w:t>AUROC for 3 categories based on SCr at the fixed time point (95% CI)</w:t>
            </w:r>
          </w:p>
        </w:tc>
        <w:tc>
          <w:tcPr>
            <w:tcW w:type="dxa" w:w="2059"/>
            <w:tcBorders>
              <w:bottom w:val="single" w:sz="4" w:space="0" w:color="000000"/>
            </w:tcBorders>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sz w:val="16"/>
              </w:rPr>
              <w:t>Stage minus SCr-category AUROC (95% CI)</w:t>
            </w:r>
          </w:p>
        </w:tc>
      </w:tr>
      <w:tr>
        <w:trPr>
          <w:cantSplit/>
        </w:trPr>
        <w:tc>
          <w:tcPr>
            <w:tcW w:type="dxa" w:w="5492"/>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Paired MIMIC-IV, historical baseline</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889</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0.643 (0.613–0.673)</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0.601 (0.570–0.633)</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0.041 (0.013 to 0.071)</w:t>
            </w:r>
          </w:p>
        </w:tc>
      </w:tr>
      <w:tr>
        <w:trPr>
          <w:cantSplit/>
        </w:trPr>
        <w:tc>
          <w:tcPr>
            <w:tcW w:type="dxa" w:w="5492"/>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Paired MIMIC-IV, hospital-admission baseline</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889</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0.599 (0.573–0.627)</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0.601 (0.570–0.633)</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−0.002 (−0.033 to 0.031)</w:t>
            </w:r>
          </w:p>
        </w:tc>
      </w:tr>
      <w:tr>
        <w:trPr>
          <w:cantSplit/>
        </w:trPr>
        <w:tc>
          <w:tcPr>
            <w:tcW w:type="dxa" w:w="5492"/>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MIMIC-IV, all historical measured baselines</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1500</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0.630 (0.604–0.656)</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0.620 (0.595–0.646)</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0.010 (−0.012 to 0.034)</w:t>
            </w:r>
          </w:p>
        </w:tc>
      </w:tr>
      <w:tr>
        <w:trPr>
          <w:cantSplit/>
        </w:trPr>
        <w:tc>
          <w:tcPr>
            <w:tcW w:type="dxa" w:w="5492"/>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MIMIC-IV, no historical measured baseline</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1072</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0.624 (0.595–0.656)</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0.612 (0.582–0.643)</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0.012 (−0.003 to 0.028)</w:t>
            </w:r>
          </w:p>
        </w:tc>
      </w:tr>
      <w:tr>
        <w:trPr>
          <w:cantSplit/>
        </w:trPr>
        <w:tc>
          <w:tcPr>
            <w:tcW w:type="dxa" w:w="5492"/>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eICU-CRD, no historical measured baseline</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785</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0.592 (0.560–0.626)</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0.593 (0.558–0.629)</w:t>
            </w:r>
          </w:p>
        </w:tc>
        <w:tc>
          <w:tcPr>
            <w:tcW w:type="dxa" w:w="2059"/>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−0.001 (−0.020 to 0.020)</w:t>
            </w:r>
          </w:p>
        </w:tc>
      </w:tr>
    </w:tbl>
    <w:p>
      <w:pPr>
        <w:spacing w:after="0"/>
      </w:pPr>
    </w:p>
    <w:p>
      <w:pPr>
        <w:spacing w:before="0" w:after="60" w:line="240" w:lineRule="auto"/>
      </w:pPr>
      <w:r>
        <w:rPr>
          <w:rFonts w:ascii="Times New Roman" w:hAnsi="Times New Roman" w:eastAsia="Times New Roman"/>
          <w:b w:val="0"/>
          <w:sz w:val="19"/>
        </w:rPr>
        <w:t>In the paired sample, the SCr measured when the creatinine criteria were first met was divided at 2.2 and 3.2 mg/dL, and the same cutpoints were used for comparisons with both denominators. The target counts were 682/109/98; ties at a cutpoint produced 664/117/108 admissions. For the broader groups, cutpoints were selected separately to approximate each group's stage counts. All differences are paired within the displayed rows and use 2000 patient-cluster or hospital-cluster bootstrap resamples. The analyses were post hoc and do not define a clinical score or alternative AKI stages. AUROC, area under the receiver operating characteristic curve; SCr, serum creatinine.</w:t>
      </w:r>
    </w:p>
    <w:p>
      <w:pPr>
        <w:keepNext/>
        <w:pageBreakBefore/>
        <w:spacing w:before="40" w:after="80"/>
        <w:ind w:left="0" w:right="0" w:firstLine="0"/>
      </w:pPr>
      <w:r>
        <w:rPr>
          <w:rFonts w:ascii="Times New Roman" w:hAnsi="Times New Roman" w:eastAsia="Times New Roman"/>
          <w:b/>
          <w:sz w:val="22"/>
        </w:rPr>
        <w:t>Table S11. KRT and Death Components in the MIMIC-IV Stage Reclassification Cells</w:t>
      </w:r>
    </w:p>
    <w:tbl>
      <w:tblPr>
        <w:tblW w:type="dxa" w:w="13728"/>
        <w:jc w:val="left"/>
        <w:tblInd w:w="120" w:type="dxa"/>
        <w:tblBorders>
          <w:top w:val="single" w:sz="4" w:space="0" w:color="000000"/>
          <w:left w:val="nil" w:sz="0" w:space="0" w:color="000000"/>
          <w:bottom w:val="single" w:sz="4" w:space="0" w:color="000000"/>
          <w:right w:val="nil" w:sz="0" w:space="0" w:color="000000"/>
          <w:insideH w:val="nil" w:sz="0" w:space="0" w:color="000000"/>
          <w:insideV w:val="nil" w:sz="0" w:space="0" w:color="000000"/>
        </w:tblBorders>
        <w:tblLayout w:type="fixed"/>
        <w:tblLook w:firstColumn="1" w:firstRow="1" w:lastColumn="0" w:lastRow="0" w:noHBand="0" w:noVBand="1" w:val="04A0"/>
      </w:tblPr>
      <w:tblGrid>
        <w:gridCol w:w="4393"/>
        <w:gridCol w:w="1867"/>
        <w:gridCol w:w="1867"/>
        <w:gridCol w:w="1867"/>
        <w:gridCol w:w="1867"/>
        <w:gridCol w:w="1867"/>
      </w:tblGrid>
      <w:tr>
        <w:trPr>
          <w:cantSplit/>
          <w:tblHeader w:val="true"/>
        </w:trPr>
        <w:tc>
          <w:tcPr>
            <w:tcW w:type="dxa" w:w="4393"/>
            <w:tcBorders>
              <w:bottom w:val="single" w:sz="4" w:space="0" w:color="000000"/>
            </w:tcBorders>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sz w:val="16"/>
              </w:rPr>
              <w:t>Historical stage</w:t>
            </w:r>
          </w:p>
        </w:tc>
        <w:tc>
          <w:tcPr>
            <w:tcW w:type="dxa" w:w="1867"/>
            <w:tcBorders>
              <w:bottom w:val="single" w:sz="4" w:space="0" w:color="000000"/>
            </w:tcBorders>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sz w:val="16"/>
              </w:rPr>
              <w:t>Admission stage</w:t>
            </w:r>
          </w:p>
        </w:tc>
        <w:tc>
          <w:tcPr>
            <w:tcW w:type="dxa" w:w="1867"/>
            <w:tcBorders>
              <w:bottom w:val="single" w:sz="4" w:space="0" w:color="000000"/>
            </w:tcBorders>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sz w:val="16"/>
              </w:rPr>
              <w:t>Admissions</w:t>
            </w:r>
          </w:p>
        </w:tc>
        <w:tc>
          <w:tcPr>
            <w:tcW w:type="dxa" w:w="1867"/>
            <w:tcBorders>
              <w:bottom w:val="single" w:sz="4" w:space="0" w:color="000000"/>
            </w:tcBorders>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sz w:val="16"/>
              </w:rPr>
              <w:t>KRT events, n (%)</w:t>
            </w:r>
          </w:p>
        </w:tc>
        <w:tc>
          <w:tcPr>
            <w:tcW w:type="dxa" w:w="1867"/>
            <w:tcBorders>
              <w:bottom w:val="single" w:sz="4" w:space="0" w:color="000000"/>
            </w:tcBorders>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sz w:val="16"/>
              </w:rPr>
              <w:t>Deaths, n (%)</w:t>
            </w:r>
          </w:p>
        </w:tc>
        <w:tc>
          <w:tcPr>
            <w:tcW w:type="dxa" w:w="1867"/>
            <w:tcBorders>
              <w:bottom w:val="single" w:sz="4" w:space="0" w:color="000000"/>
            </w:tcBorders>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sz w:val="16"/>
              </w:rPr>
              <w:t>Composite events, n (%)</w:t>
            </w:r>
          </w:p>
        </w:tc>
      </w:tr>
      <w:tr>
        <w:trPr>
          <w:cantSplit/>
        </w:trPr>
        <w:tc>
          <w:tcPr>
            <w:tcW w:type="dxa" w:w="4393"/>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1</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1</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651</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47 (7.2)</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151 (23.2)</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175 (26.9)</w:t>
            </w:r>
          </w:p>
        </w:tc>
      </w:tr>
      <w:tr>
        <w:trPr>
          <w:cantSplit/>
        </w:trPr>
        <w:tc>
          <w:tcPr>
            <w:tcW w:type="dxa" w:w="4393"/>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1</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2</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30</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7 (23.3)</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7 (23.3)</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14 (46.7)</w:t>
            </w:r>
          </w:p>
        </w:tc>
      </w:tr>
      <w:tr>
        <w:trPr>
          <w:cantSplit/>
        </w:trPr>
        <w:tc>
          <w:tcPr>
            <w:tcW w:type="dxa" w:w="4393"/>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1</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3</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1</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1 (100.0)</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0 (0.0)</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1 (100.0)</w:t>
            </w:r>
          </w:p>
        </w:tc>
      </w:tr>
      <w:tr>
        <w:trPr>
          <w:cantSplit/>
        </w:trPr>
        <w:tc>
          <w:tcPr>
            <w:tcW w:type="dxa" w:w="4393"/>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2</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1</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66</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11 (16.7)</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31 (47.0)</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35 (53.0)</w:t>
            </w:r>
          </w:p>
        </w:tc>
      </w:tr>
      <w:tr>
        <w:trPr>
          <w:cantSplit/>
        </w:trPr>
        <w:tc>
          <w:tcPr>
            <w:tcW w:type="dxa" w:w="4393"/>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2</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2</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37</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13 (35.1)</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17 (45.9)</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23 (62.2)</w:t>
            </w:r>
          </w:p>
        </w:tc>
      </w:tr>
      <w:tr>
        <w:trPr>
          <w:cantSplit/>
        </w:trPr>
        <w:tc>
          <w:tcPr>
            <w:tcW w:type="dxa" w:w="4393"/>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2</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3</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6</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3 (50.0)</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2 (33.3)</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5 (83.3)</w:t>
            </w:r>
          </w:p>
        </w:tc>
      </w:tr>
      <w:tr>
        <w:trPr>
          <w:cantSplit/>
        </w:trPr>
        <w:tc>
          <w:tcPr>
            <w:tcW w:type="dxa" w:w="4393"/>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3</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1</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23</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6 (26.1)</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17 (73.9)</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18 (78.3)</w:t>
            </w:r>
          </w:p>
        </w:tc>
      </w:tr>
      <w:tr>
        <w:trPr>
          <w:cantSplit/>
        </w:trPr>
        <w:tc>
          <w:tcPr>
            <w:tcW w:type="dxa" w:w="4393"/>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3</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2</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10</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3 (30.0)</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5 (50.0)</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7 (70.0)</w:t>
            </w:r>
          </w:p>
        </w:tc>
      </w:tr>
      <w:tr>
        <w:trPr>
          <w:cantSplit/>
        </w:trPr>
        <w:tc>
          <w:tcPr>
            <w:tcW w:type="dxa" w:w="4393"/>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3</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3</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65</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33 (50.8)</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27 (41.5)</w:t>
            </w:r>
          </w:p>
        </w:tc>
        <w:tc>
          <w:tcPr>
            <w:tcW w:type="dxa" w:w="1867"/>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44 (67.7)</w:t>
            </w:r>
          </w:p>
        </w:tc>
      </w:tr>
    </w:tbl>
    <w:p>
      <w:pPr>
        <w:spacing w:after="0"/>
      </w:pPr>
    </w:p>
    <w:p>
      <w:pPr>
        <w:spacing w:before="0" w:after="60" w:line="240" w:lineRule="auto"/>
      </w:pPr>
      <w:r>
        <w:rPr>
          <w:rFonts w:ascii="Times New Roman" w:hAnsi="Times New Roman" w:eastAsia="Times New Roman"/>
          <w:b w:val="0"/>
          <w:sz w:val="19"/>
        </w:rPr>
        <w:t>Values are descriptive post hoc counts among the 889 admissions meeting AKI criteria at the same time point under both denominators. KRT and death were counted during the hospitalization under study and within 28 days after the creatinine criteria were first met. Admissions with both events contribute to both component columns, so KRT and death counts do not sum to the composite count. KRT, kidney replacement therapy.</w:t>
      </w:r>
    </w:p>
    <w:p>
      <w:pPr>
        <w:keepNext/>
        <w:pageBreakBefore/>
        <w:spacing w:before="40" w:after="80"/>
        <w:ind w:left="0" w:right="0" w:firstLine="0"/>
      </w:pPr>
      <w:r>
        <w:rPr>
          <w:rFonts w:ascii="Times New Roman" w:hAnsi="Times New Roman" w:eastAsia="Times New Roman"/>
          <w:b/>
          <w:sz w:val="22"/>
        </w:rPr>
        <w:t>Table S12. Stage Reclassification by Documented CKD Status in the 889 Paired MIMIC-IV Admissions</w:t>
      </w:r>
    </w:p>
    <w:tbl>
      <w:tblPr>
        <w:tblW w:type="dxa" w:w="13728"/>
        <w:jc w:val="left"/>
        <w:tblInd w:w="120" w:type="dxa"/>
        <w:tblBorders>
          <w:top w:val="single" w:sz="4" w:space="0" w:color="000000"/>
          <w:left w:val="nil" w:sz="0" w:space="0" w:color="000000"/>
          <w:bottom w:val="single" w:sz="4" w:space="0" w:color="000000"/>
          <w:right w:val="nil" w:sz="0" w:space="0" w:color="000000"/>
          <w:insideH w:val="nil" w:sz="0" w:space="0" w:color="000000"/>
          <w:insideV w:val="nil" w:sz="0" w:space="0" w:color="000000"/>
        </w:tblBorders>
        <w:tblLayout w:type="fixed"/>
        <w:tblLook w:firstColumn="1" w:firstRow="1" w:lastColumn="0" w:lastRow="0" w:noHBand="0" w:noVBand="1" w:val="04A0"/>
      </w:tblPr>
      <w:tblGrid>
        <w:gridCol w:w="1716"/>
        <w:gridCol w:w="1716"/>
        <w:gridCol w:w="1716"/>
        <w:gridCol w:w="1716"/>
        <w:gridCol w:w="1716"/>
        <w:gridCol w:w="1716"/>
        <w:gridCol w:w="1716"/>
        <w:gridCol w:w="1716"/>
      </w:tblGrid>
      <w:tr>
        <w:trPr>
          <w:cantSplit/>
          <w:tblHeader w:val="true"/>
        </w:trPr>
        <w:tc>
          <w:tcPr>
            <w:tcW w:type="dxa" w:w="1716"/>
            <w:tcBorders>
              <w:bottom w:val="single" w:sz="4" w:space="0" w:color="000000"/>
            </w:tcBorders>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sz w:val="16"/>
              </w:rPr>
              <w:t>Group</w:t>
            </w:r>
          </w:p>
        </w:tc>
        <w:tc>
          <w:tcPr>
            <w:tcW w:type="dxa" w:w="1716"/>
            <w:tcBorders>
              <w:bottom w:val="single" w:sz="4" w:space="0" w:color="000000"/>
            </w:tcBorders>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sz w:val="16"/>
              </w:rPr>
              <w:t>Admissions (patients)</w:t>
            </w:r>
          </w:p>
        </w:tc>
        <w:tc>
          <w:tcPr>
            <w:tcW w:type="dxa" w:w="1716"/>
            <w:tcBorders>
              <w:bottom w:val="single" w:sz="4" w:space="0" w:color="000000"/>
            </w:tcBorders>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sz w:val="16"/>
              </w:rPr>
              <w:t>KRT events</w:t>
            </w:r>
          </w:p>
        </w:tc>
        <w:tc>
          <w:tcPr>
            <w:tcW w:type="dxa" w:w="1716"/>
            <w:tcBorders>
              <w:bottom w:val="single" w:sz="4" w:space="0" w:color="000000"/>
            </w:tcBorders>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sz w:val="16"/>
              </w:rPr>
              <w:t>Deaths</w:t>
            </w:r>
          </w:p>
        </w:tc>
        <w:tc>
          <w:tcPr>
            <w:tcW w:type="dxa" w:w="1716"/>
            <w:tcBorders>
              <w:bottom w:val="single" w:sz="4" w:space="0" w:color="000000"/>
            </w:tcBorders>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sz w:val="16"/>
              </w:rPr>
              <w:t>Composite events, n (%)</w:t>
            </w:r>
          </w:p>
        </w:tc>
        <w:tc>
          <w:tcPr>
            <w:tcW w:type="dxa" w:w="1716"/>
            <w:tcBorders>
              <w:bottom w:val="single" w:sz="4" w:space="0" w:color="000000"/>
            </w:tcBorders>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sz w:val="16"/>
              </w:rPr>
              <w:t>Reclassified, n (%)</w:t>
            </w:r>
          </w:p>
        </w:tc>
        <w:tc>
          <w:tcPr>
            <w:tcW w:type="dxa" w:w="1716"/>
            <w:tcBorders>
              <w:bottom w:val="single" w:sz="4" w:space="0" w:color="000000"/>
            </w:tcBorders>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sz w:val="16"/>
              </w:rPr>
              <w:t>Downgraded, n (%)</w:t>
            </w:r>
          </w:p>
        </w:tc>
        <w:tc>
          <w:tcPr>
            <w:tcW w:type="dxa" w:w="1716"/>
            <w:tcBorders>
              <w:bottom w:val="single" w:sz="4" w:space="0" w:color="000000"/>
            </w:tcBorders>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sz w:val="16"/>
              </w:rPr>
              <w:t>Upgraded, n (%)</w:t>
            </w:r>
          </w:p>
        </w:tc>
      </w:tr>
      <w:tr>
        <w:trPr>
          <w:cantSplit/>
        </w:trPr>
        <w:tc>
          <w:tcPr>
            <w:tcW w:type="dxa" w:w="1716"/>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Documented CKD</w:t>
            </w:r>
          </w:p>
        </w:tc>
        <w:tc>
          <w:tcPr>
            <w:tcW w:type="dxa" w:w="1716"/>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227 (217)</w:t>
            </w:r>
          </w:p>
        </w:tc>
        <w:tc>
          <w:tcPr>
            <w:tcW w:type="dxa" w:w="1716"/>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40</w:t>
            </w:r>
          </w:p>
        </w:tc>
        <w:tc>
          <w:tcPr>
            <w:tcW w:type="dxa" w:w="1716"/>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63</w:t>
            </w:r>
          </w:p>
        </w:tc>
        <w:tc>
          <w:tcPr>
            <w:tcW w:type="dxa" w:w="1716"/>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85 (37.4)</w:t>
            </w:r>
          </w:p>
        </w:tc>
        <w:tc>
          <w:tcPr>
            <w:tcW w:type="dxa" w:w="1716"/>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26 (11.5)</w:t>
            </w:r>
          </w:p>
        </w:tc>
        <w:tc>
          <w:tcPr>
            <w:tcW w:type="dxa" w:w="1716"/>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21 (9.3)</w:t>
            </w:r>
          </w:p>
        </w:tc>
        <w:tc>
          <w:tcPr>
            <w:tcW w:type="dxa" w:w="1716"/>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5 (2.2)</w:t>
            </w:r>
          </w:p>
        </w:tc>
      </w:tr>
      <w:tr>
        <w:trPr>
          <w:cantSplit/>
        </w:trPr>
        <w:tc>
          <w:tcPr>
            <w:tcW w:type="dxa" w:w="1716"/>
            <w:tcMar>
              <w:top w:w="70" w:type="dxa"/>
              <w:start w:w="110" w:type="dxa"/>
              <w:bottom w:w="70" w:type="dxa"/>
              <w:end w:w="110" w:type="dxa"/>
            </w:tcMar>
            <w:vAlign w:val="center"/>
          </w:tcPr>
          <w:p>
            <w:pPr>
              <w:spacing w:before="0" w:after="0" w:line="240" w:lineRule="auto"/>
              <w:jc w:val="left"/>
            </w:pPr>
            <w:r>
              <w:rPr>
                <w:rFonts w:ascii="Times New Roman" w:hAnsi="Times New Roman" w:eastAsia="Times New Roman"/>
                <w:b w:val="0"/>
                <w:sz w:val="16"/>
              </w:rPr>
              <w:t>No documented CKD</w:t>
            </w:r>
          </w:p>
        </w:tc>
        <w:tc>
          <w:tcPr>
            <w:tcW w:type="dxa" w:w="1716"/>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662 (625)</w:t>
            </w:r>
          </w:p>
        </w:tc>
        <w:tc>
          <w:tcPr>
            <w:tcW w:type="dxa" w:w="1716"/>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84</w:t>
            </w:r>
          </w:p>
        </w:tc>
        <w:tc>
          <w:tcPr>
            <w:tcW w:type="dxa" w:w="1716"/>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194</w:t>
            </w:r>
          </w:p>
        </w:tc>
        <w:tc>
          <w:tcPr>
            <w:tcW w:type="dxa" w:w="1716"/>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237 (35.8)</w:t>
            </w:r>
          </w:p>
        </w:tc>
        <w:tc>
          <w:tcPr>
            <w:tcW w:type="dxa" w:w="1716"/>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110 (16.6)</w:t>
            </w:r>
          </w:p>
        </w:tc>
        <w:tc>
          <w:tcPr>
            <w:tcW w:type="dxa" w:w="1716"/>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78 (11.8)</w:t>
            </w:r>
          </w:p>
        </w:tc>
        <w:tc>
          <w:tcPr>
            <w:tcW w:type="dxa" w:w="1716"/>
            <w:tcMar>
              <w:top w:w="70" w:type="dxa"/>
              <w:start w:w="110" w:type="dxa"/>
              <w:bottom w:w="70" w:type="dxa"/>
              <w:end w:w="110" w:type="dxa"/>
            </w:tcMar>
            <w:vAlign w:val="center"/>
          </w:tcPr>
          <w:p>
            <w:pPr>
              <w:spacing w:before="0" w:after="0" w:line="240" w:lineRule="auto"/>
              <w:jc w:val="center"/>
            </w:pPr>
            <w:r>
              <w:rPr>
                <w:rFonts w:ascii="Times New Roman" w:hAnsi="Times New Roman" w:eastAsia="Times New Roman"/>
                <w:b w:val="0"/>
                <w:sz w:val="16"/>
              </w:rPr>
              <w:t>32 (4.8)</w:t>
            </w:r>
          </w:p>
        </w:tc>
      </w:tr>
    </w:tbl>
    <w:p>
      <w:pPr>
        <w:spacing w:after="0"/>
      </w:pPr>
    </w:p>
    <w:p>
      <w:pPr>
        <w:spacing w:before="0" w:after="60" w:line="240" w:lineRule="auto"/>
      </w:pPr>
      <w:r>
        <w:rPr>
          <w:rFonts w:ascii="Times New Roman" w:hAnsi="Times New Roman" w:eastAsia="Times New Roman"/>
          <w:b w:val="0"/>
          <w:sz w:val="19"/>
        </w:rPr>
        <w:t>Documented CKD was flagged from a non-end-stage CKD diagnosis code in the MIMIC-IV admission record (ICD-9-CM 585.</w:t>
      </w:r>
      <w:r>
        <w:rPr>
          <w:rFonts w:ascii="Times New Roman" w:hAnsi="Times New Roman" w:eastAsia="Times New Roman"/>
          <w:b w:val="0"/>
          <w:i/>
          <w:sz w:val="19"/>
        </w:rPr>
        <w:t xml:space="preserve"> or ICD-10-CM N18.</w:t>
      </w:r>
      <w:r>
        <w:rPr>
          <w:rFonts w:ascii="Times New Roman" w:hAnsi="Times New Roman" w:eastAsia="Times New Roman"/>
          <w:b w:val="0"/>
          <w:sz w:val="19"/>
        </w:rPr>
        <w:t>, excluding 585.6 and N18.6). This was a descriptive post hoc analysis. Absence of a CKD code does not establish absence of CKD and was not interpreted as pure AKI. KRT and death were counted during the hospitalization under study and within 28 days after the creatinine criteria were first met. CKD, chronic kidney disease; KRT, kidney replacement therapy.</w:t>
      </w:r>
    </w:p>
    <w:p>
      <w:pPr>
        <w:keepNext/>
        <w:pageBreakBefore/>
        <w:spacing w:before="120" w:after="80"/>
        <w:ind w:left="0" w:right="0" w:firstLine="0"/>
      </w:pPr>
      <w:r>
        <w:rPr>
          <w:rFonts w:ascii="Times New Roman" w:hAnsi="Times New Roman" w:eastAsia="Times New Roman"/>
          <w:b/>
          <w:sz w:val="22"/>
        </w:rPr>
        <w:t>Supplementary Figure S1. Calibration of the Random-Forest Composite-Outcome Model</w:t>
      </w:r>
    </w:p>
    <w:p>
      <w:pPr>
        <w:keepNext/>
        <w:spacing w:before="40" w:after="80"/>
        <w:jc w:val="center"/>
      </w:pPr>
      <w:r>
        <w:drawing>
          <wp:inline xmlns:a="http://schemas.openxmlformats.org/drawingml/2006/main" xmlns:pic="http://schemas.openxmlformats.org/drawingml/2006/picture">
            <wp:extent cx="8046720" cy="3725333"/>
            <wp:docPr id="1" name="Picture 1" descr="Calibration plots for the internal MIMIC-IV test set and external eICU-CRD cohort"/>
            <wp:cNvGraphicFramePr>
              <a:graphicFrameLocks noChangeAspect="1"/>
            </wp:cNvGraphicFramePr>
            <a:graphic>
              <a:graphicData uri="http://schemas.openxmlformats.org/drawingml/2006/picture">
                <pic:pic>
                  <pic:nvPicPr>
                    <pic:cNvPr id="0" name="supplementary_figure_s1_calibration.png"/>
                    <pic:cNvPicPr/>
                  </pic:nvPicPr>
                  <pic:blipFill>
                    <a:blip r:embed="rId10"/>
                    <a:stretch>
                      <a:fillRect/>
                    </a:stretch>
                  </pic:blipFill>
                  <pic:spPr>
                    <a:xfrm>
                      <a:off x="0" y="0"/>
                      <a:ext cx="8046720" cy="3725333"/>
                    </a:xfrm>
                    <a:prstGeom prst="rect"/>
                  </pic:spPr>
                </pic:pic>
              </a:graphicData>
            </a:graphic>
          </wp:inline>
        </w:drawing>
      </w:r>
    </w:p>
    <w:p>
      <w:pPr>
        <w:spacing w:before="0" w:after="60" w:line="240" w:lineRule="auto"/>
      </w:pPr>
      <w:r>
        <w:rPr>
          <w:rFonts w:ascii="Times New Roman" w:hAnsi="Times New Roman" w:eastAsia="Times New Roman"/>
          <w:b w:val="0"/>
          <w:sz w:val="19"/>
        </w:rPr>
        <w:t>Panel A shows the held-out MIMIC-IV test set (n=759; 312 events), and Panel B shows the external eICU-CRD cohort (n=785; 295 events). Points show the observed event proportion against the mean predicted probability in groups formed from 10 equal-count divisions of predicted risk. Tied predicted values resulted in fewer than 10 distinct plotted groups. Vertical bars are 95% cluster-bootstrap intervals for the observed proportions, based on 2000 patient-level resamples for Panel A and hospital-level resamples for Panel B. The original equal-count group assignments were held fixed during resampling. Lines connect the grouped estimates for visual guidance, and the diagonal denotes ideal calibration.</w:t>
      </w:r>
    </w:p>
    <w:p>
      <w:pPr>
        <w:spacing w:before="0" w:after="60" w:line="240" w:lineRule="auto"/>
      </w:pPr>
      <w:r>
        <w:rPr>
          <w:rFonts w:ascii="Times New Roman" w:hAnsi="Times New Roman" w:eastAsia="Times New Roman"/>
          <w:b w:val="0"/>
          <w:sz w:val="19"/>
        </w:rPr>
        <w:t>The model predicted kidney replacement therapy or death during the hospitalization under study and within 28 days after the creatinine criteria were first met. Calibration slope, intercept, and Brier score were 1.092, 0.125, and 0.175 in the internal test set and 1.047, 0.081, and 0.194 in the external cohort, respectively. Their cluster-bootstrap intervals are reported in Table S8.</w:t>
      </w:r>
    </w:p>
    <w:sectPr w:rsidR="00FC693F" w:rsidRPr="0006063C" w:rsidSect="00034616">
      <w:footerReference w:type="default" r:id="rId9"/>
      <w:pgSz w:w="15840" w:h="12240" w:orient="landscape"/>
      <w:pgMar w:top="936" w:right="936" w:bottom="936" w:left="936" w:header="706" w:footer="70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60" w:line="240" w:lineRule="auto"/>
    </w:pPr>
    <w:rPr>
      <w:rFonts w:ascii="Times New Roman" w:hAnsi="Times New Roman" w:eastAsia="Times New Roman"/>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itle>Supplementary methods, tables, and figure</dc:title>
  <dc:subject>Submission to BMC Nephrology</dc:subject>
  <dc:creator>Min Sun; Ziqi Li; Yao Hu</dc:creator>
  <cp:keywords/>
  <cp:lastModifiedBy>Min Sun; Ziqi Li; Yao Hu</cp:lastModifiedBy>
  <cp:revision>1</cp:revision>
  <dcterms:created xsi:type="dcterms:W3CDTF">2026-08-04T00:00:00Z</dcterms:created>
  <dcterms:modified xsi:type="dcterms:W3CDTF">2026-08-04T00:00:00Z</dcterms:modified>
  <cp:category/>
</cp:coreProperties>
</file>