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80D43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Table S4</w:t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Sensitivity analyses restricted to high-quality studies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379"/>
        <w:gridCol w:w="711"/>
        <w:gridCol w:w="1569"/>
        <w:gridCol w:w="626"/>
        <w:gridCol w:w="977"/>
        <w:gridCol w:w="1611"/>
        <w:gridCol w:w="438"/>
      </w:tblGrid>
      <w:tr w14:paraId="57E5C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1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69A2EEE">
            <w:pPr>
              <w:keepNext/>
              <w:tabs>
                <w:tab w:val="left" w:pos="234"/>
              </w:tabs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b/>
                <w:bCs/>
                <w:sz w:val="21"/>
                <w:szCs w:val="21"/>
              </w:rPr>
              <w:t>Associated factors</w:t>
            </w:r>
          </w:p>
        </w:tc>
        <w:tc>
          <w:tcPr>
            <w:tcW w:w="809" w:type="pct"/>
            <w:tcBorders>
              <w:top w:val="single" w:color="auto" w:sz="8" w:space="0"/>
              <w:left w:val="nil"/>
              <w:right w:val="nil"/>
            </w:tcBorders>
            <w:vAlign w:val="center"/>
          </w:tcPr>
          <w:p w14:paraId="1470EF8E">
            <w:pPr>
              <w:keepNext/>
              <w:tabs>
                <w:tab w:val="left" w:pos="234"/>
              </w:tabs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/>
                <w:bCs/>
                <w:sz w:val="21"/>
                <w:szCs w:val="21"/>
              </w:rPr>
              <w:t>Variable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  <w:szCs w:val="21"/>
                <w:lang w:val="en-US" w:eastAsia="zh-CN"/>
              </w:rPr>
              <w:t xml:space="preserve"> Type</w:t>
            </w:r>
          </w:p>
        </w:tc>
        <w:tc>
          <w:tcPr>
            <w:tcW w:w="417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1B7389D">
            <w:pPr>
              <w:keepNext/>
              <w:tabs>
                <w:tab w:val="left" w:pos="234"/>
              </w:tabs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b/>
                <w:bCs/>
                <w:sz w:val="21"/>
                <w:szCs w:val="21"/>
              </w:rPr>
              <w:t>Prima</w:t>
            </w:r>
            <w:r>
              <w:rPr>
                <w:rFonts w:hint="eastAsia" w:ascii="Times New Roman" w:hAnsi="Times New Roman" w:eastAsia="宋体"/>
                <w:b/>
                <w:bCs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/>
                <w:b/>
                <w:bCs/>
                <w:sz w:val="21"/>
                <w:szCs w:val="21"/>
              </w:rPr>
              <w:t xml:space="preserve">y </w:t>
            </w:r>
            <w:r>
              <w:rPr>
                <w:rFonts w:hint="default" w:ascii="Times New Roman" w:hAnsi="Times New Roman" w:eastAsia="宋体"/>
                <w:b/>
                <w:bCs/>
                <w:i/>
                <w:iCs/>
                <w:sz w:val="21"/>
                <w:szCs w:val="21"/>
              </w:rPr>
              <w:t>n</w:t>
            </w:r>
          </w:p>
        </w:tc>
        <w:tc>
          <w:tcPr>
            <w:tcW w:w="920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761449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  <w:szCs w:val="21"/>
              </w:rPr>
            </w:pPr>
            <w:r>
              <w:rPr>
                <w:rFonts w:ascii="Times New Roman" w:hAnsi="Times New Roman" w:eastAsia="宋体"/>
                <w:b/>
                <w:bCs/>
                <w:sz w:val="21"/>
                <w:szCs w:val="21"/>
              </w:rPr>
              <w:t xml:space="preserve">Pooled </w:t>
            </w:r>
            <w:r>
              <w:rPr>
                <w:rFonts w:ascii="Times New Roman" w:hAnsi="Times New Roman" w:eastAsia="宋体"/>
                <w:b/>
                <w:bCs/>
                <w:i/>
                <w:iCs/>
                <w:sz w:val="21"/>
                <w:szCs w:val="21"/>
              </w:rPr>
              <w:t>OR</w:t>
            </w:r>
            <w:r>
              <w:rPr>
                <w:rFonts w:ascii="Times New Roman" w:hAnsi="Times New Roman" w:eastAsia="宋体"/>
                <w:b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/>
                <w:b/>
                <w:bCs/>
                <w:i/>
                <w:iCs/>
                <w:sz w:val="21"/>
                <w:szCs w:val="21"/>
              </w:rPr>
              <w:t>95%CI</w:t>
            </w:r>
            <w:r>
              <w:rPr>
                <w:rFonts w:ascii="Times New Roman" w:hAnsi="Times New Roman" w:eastAsia="宋体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36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3234FB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  <w:szCs w:val="21"/>
              </w:rPr>
            </w:pPr>
            <w:r>
              <w:rPr>
                <w:rFonts w:ascii="Times New Roman" w:hAnsi="Times New Roman" w:eastAsia="宋体"/>
                <w:b/>
                <w:bCs/>
                <w:i/>
                <w:iCs/>
                <w:sz w:val="21"/>
                <w:szCs w:val="21"/>
              </w:rPr>
              <w:t>I</w:t>
            </w:r>
            <w:r>
              <w:rPr>
                <w:rFonts w:hint="eastAsia" w:ascii="Times New Roman" w:hAnsi="Times New Roman" w:eastAsia="宋体"/>
                <w:b/>
                <w:bCs/>
                <w:i/>
                <w:iCs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ascii="Times New Roman" w:hAnsi="Times New Roman" w:eastAsia="宋体" w:cs="Segoe UI"/>
                <w:b/>
                <w:bCs/>
                <w:sz w:val="21"/>
                <w:szCs w:val="21"/>
                <w:shd w:val="clear" w:color="auto" w:fill="FFFFFF"/>
                <w:lang w:eastAsia="zh-CN"/>
              </w:rPr>
              <w:t>/%</w:t>
            </w:r>
          </w:p>
        </w:tc>
        <w:tc>
          <w:tcPr>
            <w:tcW w:w="573" w:type="pct"/>
            <w:tcBorders>
              <w:top w:val="single" w:color="auto" w:sz="8" w:space="0"/>
              <w:left w:val="nil"/>
              <w:right w:val="nil"/>
            </w:tcBorders>
            <w:vAlign w:val="center"/>
          </w:tcPr>
          <w:p w14:paraId="2078C25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b/>
                <w:bCs/>
                <w:sz w:val="21"/>
                <w:szCs w:val="21"/>
              </w:rPr>
              <w:t xml:space="preserve">High-quality </w:t>
            </w:r>
            <w:r>
              <w:rPr>
                <w:rFonts w:hint="default" w:ascii="Times New Roman" w:hAnsi="Times New Roman" w:eastAsia="宋体"/>
                <w:b/>
                <w:bCs/>
                <w:i/>
                <w:iCs/>
                <w:sz w:val="21"/>
                <w:szCs w:val="21"/>
              </w:rPr>
              <w:t>n</w:t>
            </w:r>
          </w:p>
        </w:tc>
        <w:tc>
          <w:tcPr>
            <w:tcW w:w="945" w:type="pct"/>
            <w:tcBorders>
              <w:top w:val="single" w:color="auto" w:sz="8" w:space="0"/>
              <w:left w:val="nil"/>
              <w:right w:val="nil"/>
            </w:tcBorders>
            <w:vAlign w:val="center"/>
          </w:tcPr>
          <w:p w14:paraId="16D025D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b/>
                <w:bCs/>
                <w:sz w:val="21"/>
                <w:szCs w:val="21"/>
              </w:rPr>
              <w:t>High-quality OR</w:t>
            </w:r>
          </w:p>
        </w:tc>
        <w:tc>
          <w:tcPr>
            <w:tcW w:w="256" w:type="pct"/>
            <w:tcBorders>
              <w:top w:val="single" w:color="auto" w:sz="8" w:space="0"/>
              <w:left w:val="nil"/>
              <w:right w:val="nil"/>
            </w:tcBorders>
            <w:vAlign w:val="center"/>
          </w:tcPr>
          <w:p w14:paraId="4D3F97C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/>
                <w:bCs/>
                <w:i/>
                <w:iCs/>
                <w:sz w:val="21"/>
                <w:szCs w:val="21"/>
              </w:rPr>
              <w:t>I</w:t>
            </w:r>
            <w:r>
              <w:rPr>
                <w:rFonts w:hint="eastAsia" w:ascii="Times New Roman" w:hAnsi="Times New Roman" w:eastAsia="宋体"/>
                <w:b/>
                <w:bCs/>
                <w:i/>
                <w:iCs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ascii="Times New Roman" w:hAnsi="Times New Roman" w:eastAsia="宋体" w:cs="Segoe UI"/>
                <w:b/>
                <w:bCs/>
                <w:sz w:val="21"/>
                <w:szCs w:val="21"/>
                <w:shd w:val="clear" w:color="auto" w:fill="FFFFFF"/>
                <w:lang w:eastAsia="zh-CN"/>
              </w:rPr>
              <w:t>/%</w:t>
            </w:r>
          </w:p>
        </w:tc>
      </w:tr>
      <w:tr w14:paraId="724D8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E10BBD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Serum phosphorus</w:t>
            </w:r>
          </w:p>
        </w:tc>
        <w:tc>
          <w:tcPr>
            <w:tcW w:w="809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F0717D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continuous</w:t>
            </w:r>
          </w:p>
        </w:tc>
        <w:tc>
          <w:tcPr>
            <w:tcW w:w="417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D90BAF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20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E8E51D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03</w:t>
            </w:r>
            <w:r>
              <w:rPr>
                <w:rFonts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(1.</w:t>
            </w: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44</w:t>
            </w:r>
            <w:r>
              <w:rPr>
                <w:rFonts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.8</w:t>
            </w: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367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01EAC6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69</w:t>
            </w: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.6</w:t>
            </w:r>
          </w:p>
        </w:tc>
        <w:tc>
          <w:tcPr>
            <w:tcW w:w="573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60D215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45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432EE8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1.95(1.32,2.88)</w:t>
            </w:r>
          </w:p>
        </w:tc>
        <w:tc>
          <w:tcPr>
            <w:tcW w:w="256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031903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74</w:t>
            </w:r>
          </w:p>
        </w:tc>
      </w:tr>
      <w:tr w14:paraId="4457F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34F1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/>
                <w:color w:val="auto"/>
                <w:sz w:val="21"/>
                <w:szCs w:val="21"/>
              </w:rPr>
              <w:t>PTH / iPTH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24FB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dichotomised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98FB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39CA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2.08(1.35,3.22)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0844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52.9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408B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6C2D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2.63(1.36,5.10)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E58C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56</w:t>
            </w:r>
          </w:p>
        </w:tc>
      </w:tr>
      <w:tr w14:paraId="1CBA3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AA67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/>
                <w:color w:val="auto"/>
                <w:sz w:val="21"/>
                <w:szCs w:val="21"/>
              </w:rPr>
              <w:t>CRP/hs-CRP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6239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dichotomised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FA56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946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2.18(0.92,5.16)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BBE2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84.6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412A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97C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4.12(2.38,7.12)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E63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7512A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3949F1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/>
                <w:color w:val="auto"/>
                <w:sz w:val="21"/>
                <w:szCs w:val="21"/>
              </w:rPr>
              <w:t>Serum calcium</w:t>
            </w:r>
          </w:p>
        </w:tc>
        <w:tc>
          <w:tcPr>
            <w:tcW w:w="809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9A0ADD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continuous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EAD16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9055E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1.10(0.37,3.27)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DBAA8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92.0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FEF853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45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8303DA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0.76(0.26,2.22)</w:t>
            </w:r>
          </w:p>
        </w:tc>
        <w:tc>
          <w:tcPr>
            <w:tcW w:w="256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9F8E3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lang w:val="en-US" w:eastAsia="zh-CN"/>
              </w:rPr>
              <w:t>95</w:t>
            </w:r>
          </w:p>
        </w:tc>
      </w:tr>
    </w:tbl>
    <w:p w14:paraId="0A11915F">
      <w:pPr>
        <w:widowControl/>
        <w:spacing w:before="120" w:beforeLines="50" w:after="120" w:afterLines="50"/>
        <w:jc w:val="left"/>
        <w:rPr>
          <w:rFonts w:hint="eastAsia" w:ascii="Times New Roman" w:hAnsi="Times New Roman" w:eastAsia="Segoe UI" w:cs="Segoe UI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Segoe UI" w:cs="Segoe UI"/>
          <w:b/>
          <w:bCs/>
          <w:kern w:val="0"/>
          <w:sz w:val="24"/>
          <w:shd w:val="clear" w:color="auto" w:fill="FFFFFF"/>
          <w:lang w:val="en-US" w:eastAsia="zh-CN"/>
        </w:rPr>
        <w:t>Note</w:t>
      </w:r>
      <w:r>
        <w:rPr>
          <w:rFonts w:hint="eastAsia" w:ascii="Times New Roman" w:hAnsi="Times New Roman" w:eastAsia="Segoe UI" w:cs="Segoe UI"/>
          <w:kern w:val="0"/>
          <w:sz w:val="24"/>
          <w:shd w:val="clear" w:color="auto" w:fill="FFFFFF"/>
          <w:lang w:val="en-US" w:eastAsia="zh-CN"/>
        </w:rPr>
        <w:t xml:space="preserve">: Sensitivity analyses were restricted to studies classified as high quality and were conducted within the same variable-type stratum as the primary analysis. A pooled estimate was calculated only when at least two comparable high-quality studies remained. </w:t>
      </w:r>
      <w:r>
        <w:rPr>
          <w:rFonts w:hint="eastAsia" w:ascii="Times New Roman" w:hAnsi="Times New Roman" w:eastAsia="Segoe UI" w:cs="Segoe UI"/>
          <w:i/>
          <w:iCs/>
          <w:kern w:val="0"/>
          <w:sz w:val="24"/>
          <w:shd w:val="clear" w:color="auto" w:fill="FFFFFF"/>
          <w:lang w:val="en-US" w:eastAsia="zh-CN"/>
        </w:rPr>
        <w:t>OR</w:t>
      </w:r>
      <w:r>
        <w:rPr>
          <w:rFonts w:hint="eastAsia" w:ascii="Times New Roman" w:hAnsi="Times New Roman" w:eastAsia="Segoe UI" w:cs="Segoe UI"/>
          <w:kern w:val="0"/>
          <w:sz w:val="24"/>
          <w:shd w:val="clear" w:color="auto" w:fill="FFFFFF"/>
          <w:lang w:val="en-US" w:eastAsia="zh-CN"/>
        </w:rPr>
        <w:t xml:space="preserve">, odds ratio; </w:t>
      </w:r>
      <w:r>
        <w:rPr>
          <w:rFonts w:hint="eastAsia" w:ascii="Times New Roman" w:hAnsi="Times New Roman" w:eastAsia="Segoe UI" w:cs="Segoe UI"/>
          <w:i/>
          <w:iCs/>
          <w:kern w:val="0"/>
          <w:sz w:val="24"/>
          <w:shd w:val="clear" w:color="auto" w:fill="FFFFFF"/>
          <w:lang w:val="en-US" w:eastAsia="zh-CN"/>
        </w:rPr>
        <w:t>CI</w:t>
      </w:r>
      <w:r>
        <w:rPr>
          <w:rFonts w:hint="eastAsia" w:ascii="Times New Roman" w:hAnsi="Times New Roman" w:eastAsia="Segoe UI" w:cs="Segoe UI"/>
          <w:kern w:val="0"/>
          <w:sz w:val="24"/>
          <w:shd w:val="clear" w:color="auto" w:fill="FFFFFF"/>
          <w:lang w:val="en-US" w:eastAsia="zh-CN"/>
        </w:rPr>
        <w:t>, confidence interval.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393216"/>
    <w:rsid w:val="11026E77"/>
    <w:rsid w:val="2377537C"/>
    <w:rsid w:val="40393216"/>
    <w:rsid w:val="51BD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384</Characters>
  <Lines>0</Lines>
  <Paragraphs>0</Paragraphs>
  <TotalTime>1</TotalTime>
  <ScaleCrop>false</ScaleCrop>
  <LinksUpToDate>false</LinksUpToDate>
  <CharactersWithSpaces>401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2026-08-16T17:22:00Z</dcterms:created>
  <dc:creator>窒息的高锰酸钾</dc:creator>
  <cp:lastModifiedBy>窒息的高锰酸钾</cp:lastModifiedBy>
  <dcterms:modified xsi:type="dcterms:W3CDTF">2026-08-17T05:54:10Z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51D229EAF68F4F339A9FC0C103389C9E_11</vt:lpwstr>
  </property>
  <property fmtid="{D5CDD505-2E9C-101B-9397-08002B2CF9AE}" pid="4" name="KSOTemplateDocerSaveRecord">
    <vt:lpwstr>eyJoZGlkIjoiOGVkYmVlZDk5NzI0Mjg5YzdhNzg1NDNjMzFlZGU0NzkiLCJ1c2VySWQiOiIzNTQ0Nzc3OTYifQ==</vt:lpwstr>
  </property>
</Properties>
</file>