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FE140" w14:textId="7F53BE3B" w:rsidR="00FE0112" w:rsidRDefault="008E1A53" w:rsidP="008E1A53">
      <w:pPr>
        <w:jc w:val="center"/>
        <w:rPr>
          <w:b/>
          <w:bCs/>
          <w:sz w:val="24"/>
          <w:szCs w:val="24"/>
          <w:lang w:val="en-US"/>
        </w:rPr>
      </w:pPr>
      <w:r w:rsidRPr="008E1A53">
        <w:rPr>
          <w:b/>
          <w:bCs/>
          <w:sz w:val="24"/>
          <w:szCs w:val="24"/>
          <w:lang w:val="en-US"/>
        </w:rPr>
        <w:t>Supplementary Table</w:t>
      </w:r>
      <w:r>
        <w:rPr>
          <w:b/>
          <w:bCs/>
          <w:sz w:val="24"/>
          <w:szCs w:val="24"/>
          <w:lang w:val="en-US"/>
        </w:rPr>
        <w:t>s</w:t>
      </w:r>
      <w:r w:rsidR="002059C9">
        <w:rPr>
          <w:b/>
          <w:bCs/>
          <w:sz w:val="24"/>
          <w:szCs w:val="24"/>
          <w:lang w:val="en-US"/>
        </w:rPr>
        <w:t xml:space="preserve"> S1-S3</w:t>
      </w:r>
    </w:p>
    <w:p w14:paraId="56E4177C" w14:textId="77777777" w:rsidR="001B0EE9" w:rsidRDefault="001B0EE9" w:rsidP="00FE0112">
      <w:pPr>
        <w:rPr>
          <w:b/>
          <w:bCs/>
          <w:sz w:val="24"/>
          <w:szCs w:val="24"/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8"/>
        <w:gridCol w:w="2234"/>
        <w:gridCol w:w="2711"/>
        <w:gridCol w:w="907"/>
      </w:tblGrid>
      <w:tr w:rsidR="008E1A53" w:rsidRPr="00AA15B4" w14:paraId="7AEE78DC" w14:textId="77777777" w:rsidTr="00E744D6">
        <w:trPr>
          <w:tblHeader/>
          <w:tblCellSpacing w:w="15" w:type="dxa"/>
        </w:trPr>
        <w:tc>
          <w:tcPr>
            <w:tcW w:w="0" w:type="auto"/>
            <w:gridSpan w:val="4"/>
            <w:vAlign w:val="center"/>
          </w:tcPr>
          <w:p w14:paraId="0BFB3AEF" w14:textId="77777777" w:rsidR="0026220B" w:rsidRPr="00AA15B4" w:rsidRDefault="0026220B" w:rsidP="008E1A53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  <w:p w14:paraId="1F4D7E2E" w14:textId="3759D2DD" w:rsidR="008E1A53" w:rsidRPr="00AA15B4" w:rsidRDefault="008E1A53" w:rsidP="008E1A53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AA15B4">
              <w:rPr>
                <w:b/>
                <w:bCs/>
                <w:sz w:val="20"/>
                <w:szCs w:val="20"/>
                <w:lang w:val="en-US"/>
              </w:rPr>
              <w:t xml:space="preserve">Supplementary Table S1 </w:t>
            </w:r>
            <w:r w:rsidRPr="00AA15B4">
              <w:rPr>
                <w:sz w:val="20"/>
                <w:szCs w:val="20"/>
                <w:lang w:val="en-US"/>
              </w:rPr>
              <w:t>Baseline characteristics according to follow-up ascertainment</w:t>
            </w:r>
          </w:p>
        </w:tc>
      </w:tr>
      <w:tr w:rsidR="008E1A53" w:rsidRPr="00AA15B4" w14:paraId="1571731A" w14:textId="77777777" w:rsidTr="009332CE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FE059EA" w14:textId="77777777" w:rsidR="008E1A53" w:rsidRPr="00AA15B4" w:rsidRDefault="008E1A53" w:rsidP="008E1A5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AA15B4">
              <w:rPr>
                <w:b/>
                <w:bCs/>
                <w:sz w:val="20"/>
                <w:szCs w:val="20"/>
                <w:lang w:val="en-US"/>
              </w:rPr>
              <w:t>Characteristic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E667EF" w14:textId="77777777" w:rsidR="008E1A53" w:rsidRPr="00AA15B4" w:rsidRDefault="008E1A53" w:rsidP="008E1A5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AA15B4">
              <w:rPr>
                <w:b/>
                <w:bCs/>
                <w:sz w:val="20"/>
                <w:szCs w:val="20"/>
                <w:lang w:val="en-US"/>
              </w:rPr>
              <w:t>Confirmed follow-up (n = 122)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2E1478" w14:textId="77777777" w:rsidR="008E1A53" w:rsidRPr="00AA15B4" w:rsidRDefault="008E1A53" w:rsidP="008E1A5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AA15B4">
              <w:rPr>
                <w:b/>
                <w:bCs/>
                <w:sz w:val="20"/>
                <w:szCs w:val="20"/>
                <w:lang w:val="en-US"/>
              </w:rPr>
              <w:t>Untraceable during follow-up (n = 36)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8D3EE80" w14:textId="59730908" w:rsidR="008E1A53" w:rsidRPr="00AA15B4" w:rsidRDefault="008E1A53" w:rsidP="008E1A5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AA15B4">
              <w:rPr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  <w:r w:rsidR="001B3EF2" w:rsidRPr="00AA15B4">
              <w:rPr>
                <w:b/>
                <w:bCs/>
                <w:sz w:val="20"/>
                <w:szCs w:val="20"/>
                <w:lang w:val="en-US"/>
              </w:rPr>
              <w:t>-</w:t>
            </w:r>
            <w:r w:rsidRPr="00AA15B4">
              <w:rPr>
                <w:b/>
                <w:bCs/>
                <w:sz w:val="20"/>
                <w:szCs w:val="20"/>
                <w:lang w:val="en-US"/>
              </w:rPr>
              <w:t>value</w:t>
            </w:r>
          </w:p>
        </w:tc>
      </w:tr>
      <w:tr w:rsidR="008E1A53" w:rsidRPr="00AA15B4" w14:paraId="1A6C9B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5974AD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Age, years, median (IQR)</w:t>
            </w:r>
          </w:p>
        </w:tc>
        <w:tc>
          <w:tcPr>
            <w:tcW w:w="0" w:type="auto"/>
            <w:vAlign w:val="center"/>
            <w:hideMark/>
          </w:tcPr>
          <w:p w14:paraId="4EDDEE95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58 (44–69)</w:t>
            </w:r>
          </w:p>
        </w:tc>
        <w:tc>
          <w:tcPr>
            <w:tcW w:w="0" w:type="auto"/>
            <w:vAlign w:val="center"/>
            <w:hideMark/>
          </w:tcPr>
          <w:p w14:paraId="3316ACE3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46 (21–53)</w:t>
            </w:r>
          </w:p>
        </w:tc>
        <w:tc>
          <w:tcPr>
            <w:tcW w:w="0" w:type="auto"/>
            <w:vAlign w:val="center"/>
            <w:hideMark/>
          </w:tcPr>
          <w:p w14:paraId="07F34361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&lt;0.001</w:t>
            </w:r>
          </w:p>
        </w:tc>
      </w:tr>
      <w:tr w:rsidR="008E1A53" w:rsidRPr="00AA15B4" w14:paraId="1FAE8A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997792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Male sex, n (%)</w:t>
            </w:r>
          </w:p>
        </w:tc>
        <w:tc>
          <w:tcPr>
            <w:tcW w:w="0" w:type="auto"/>
            <w:vAlign w:val="center"/>
            <w:hideMark/>
          </w:tcPr>
          <w:p w14:paraId="418D1114" w14:textId="60D8A4E4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76 (62.3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BD4FB77" w14:textId="723A9631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28 (77.8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4BFDDD9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0.09</w:t>
            </w:r>
          </w:p>
        </w:tc>
      </w:tr>
      <w:tr w:rsidR="008E1A53" w:rsidRPr="00AA15B4" w14:paraId="5D1A17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07F557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Dialysis duration before conflict, years, median (IQR)</w:t>
            </w:r>
          </w:p>
        </w:tc>
        <w:tc>
          <w:tcPr>
            <w:tcW w:w="0" w:type="auto"/>
            <w:vAlign w:val="center"/>
            <w:hideMark/>
          </w:tcPr>
          <w:p w14:paraId="7A5BB157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4.1 (2.2–7.2)</w:t>
            </w:r>
          </w:p>
        </w:tc>
        <w:tc>
          <w:tcPr>
            <w:tcW w:w="0" w:type="auto"/>
            <w:vAlign w:val="center"/>
            <w:hideMark/>
          </w:tcPr>
          <w:p w14:paraId="2AAF534A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2.7 (1.2–4.5)</w:t>
            </w:r>
          </w:p>
        </w:tc>
        <w:tc>
          <w:tcPr>
            <w:tcW w:w="0" w:type="auto"/>
            <w:vAlign w:val="center"/>
            <w:hideMark/>
          </w:tcPr>
          <w:p w14:paraId="231AFAF4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&lt;0.001</w:t>
            </w:r>
          </w:p>
        </w:tc>
      </w:tr>
      <w:tr w:rsidR="008E1A53" w:rsidRPr="00AA15B4" w14:paraId="3CBE4D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5EC1D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Diabetes mellitus, n (%)</w:t>
            </w:r>
          </w:p>
        </w:tc>
        <w:tc>
          <w:tcPr>
            <w:tcW w:w="0" w:type="auto"/>
            <w:vAlign w:val="center"/>
            <w:hideMark/>
          </w:tcPr>
          <w:p w14:paraId="773FEC59" w14:textId="4CA0CE0F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71 (58.2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A5B0E09" w14:textId="500E03D1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8 (22.2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2366B47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&lt;0.001</w:t>
            </w:r>
          </w:p>
        </w:tc>
      </w:tr>
      <w:tr w:rsidR="008E1A53" w:rsidRPr="00AA15B4" w14:paraId="470C12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BE3E00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Hypertension, n (%)</w:t>
            </w:r>
          </w:p>
        </w:tc>
        <w:tc>
          <w:tcPr>
            <w:tcW w:w="0" w:type="auto"/>
            <w:vAlign w:val="center"/>
            <w:hideMark/>
          </w:tcPr>
          <w:p w14:paraId="7C5D659B" w14:textId="7C026604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83 (68.0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60FE2D2" w14:textId="44B5581F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26 (72.2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A7D6157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0.63</w:t>
            </w:r>
          </w:p>
        </w:tc>
      </w:tr>
      <w:tr w:rsidR="008E1A53" w:rsidRPr="00AA15B4" w14:paraId="176651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263F88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Cardiovascular disease, n (%)</w:t>
            </w:r>
          </w:p>
        </w:tc>
        <w:tc>
          <w:tcPr>
            <w:tcW w:w="0" w:type="auto"/>
            <w:vAlign w:val="center"/>
            <w:hideMark/>
          </w:tcPr>
          <w:p w14:paraId="1760030D" w14:textId="03108F9C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36 (29.5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961B781" w14:textId="2D61F35E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4 (11.1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4C9A908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0.03</w:t>
            </w:r>
          </w:p>
        </w:tc>
      </w:tr>
      <w:tr w:rsidR="008E1A53" w:rsidRPr="00AA15B4" w14:paraId="5435D9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46F630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Arteriovenous fistula, n (%)</w:t>
            </w:r>
          </w:p>
        </w:tc>
        <w:tc>
          <w:tcPr>
            <w:tcW w:w="0" w:type="auto"/>
            <w:vAlign w:val="center"/>
            <w:hideMark/>
          </w:tcPr>
          <w:p w14:paraId="7C5F5A4A" w14:textId="31D01B94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65 (53.3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117B454" w14:textId="21C230A0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12 (33.3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56DE6A3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0.04</w:t>
            </w:r>
          </w:p>
        </w:tc>
      </w:tr>
      <w:tr w:rsidR="008E1A53" w:rsidRPr="00AA15B4" w14:paraId="0F8B1D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DC4484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Tunneled cuffed catheter, n (%)</w:t>
            </w:r>
          </w:p>
        </w:tc>
        <w:tc>
          <w:tcPr>
            <w:tcW w:w="0" w:type="auto"/>
            <w:vAlign w:val="center"/>
            <w:hideMark/>
          </w:tcPr>
          <w:p w14:paraId="0D3D54BF" w14:textId="17BED21D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37 (30.3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4E8E03C" w14:textId="0E8F51BE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15 (41.7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4EEFDCA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0.20</w:t>
            </w:r>
          </w:p>
        </w:tc>
      </w:tr>
      <w:tr w:rsidR="008E1A53" w:rsidRPr="00AA15B4" w14:paraId="22C11E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003F69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Temporary non-tunneled catheter, n (%)</w:t>
            </w:r>
          </w:p>
        </w:tc>
        <w:tc>
          <w:tcPr>
            <w:tcW w:w="0" w:type="auto"/>
            <w:vAlign w:val="center"/>
            <w:hideMark/>
          </w:tcPr>
          <w:p w14:paraId="0F8D8CFE" w14:textId="446EB876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20 (16.4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466AAB0" w14:textId="2B3FAA23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9 (25.0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1AF078B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0.24</w:t>
            </w:r>
          </w:p>
        </w:tc>
      </w:tr>
      <w:tr w:rsidR="008E1A53" w:rsidRPr="00AA15B4" w14:paraId="109826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217F4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Thrice-weekly hemodialysis before conflict, n (%)</w:t>
            </w:r>
          </w:p>
        </w:tc>
        <w:tc>
          <w:tcPr>
            <w:tcW w:w="0" w:type="auto"/>
            <w:vAlign w:val="center"/>
            <w:hideMark/>
          </w:tcPr>
          <w:p w14:paraId="621DCE52" w14:textId="66A76619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100 (82.0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C810219" w14:textId="3F04C81D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24 (66.7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C3A388B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0.05</w:t>
            </w:r>
          </w:p>
        </w:tc>
      </w:tr>
      <w:tr w:rsidR="008E1A53" w:rsidRPr="00AA15B4" w14:paraId="163A59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A4ACF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Regular ESA use before conflict, n (%)</w:t>
            </w:r>
          </w:p>
        </w:tc>
        <w:tc>
          <w:tcPr>
            <w:tcW w:w="0" w:type="auto"/>
            <w:vAlign w:val="center"/>
            <w:hideMark/>
          </w:tcPr>
          <w:p w14:paraId="63B4B293" w14:textId="357DE41E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91 (74.6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633A744" w14:textId="39A515BC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19 (52.8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6A4AAD4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0.01</w:t>
            </w:r>
          </w:p>
        </w:tc>
      </w:tr>
      <w:tr w:rsidR="008E1A53" w:rsidRPr="00AA15B4" w14:paraId="1A095CBC" w14:textId="77777777" w:rsidTr="008E1A53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78E8FA5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Regular laboratory monitoring before conflict, n (%)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3299253" w14:textId="0D3FA80A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107 (87.7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CDF246A" w14:textId="5E1E39D5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24 (66.7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784BB11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0.004</w:t>
            </w:r>
          </w:p>
        </w:tc>
      </w:tr>
      <w:tr w:rsidR="008E1A53" w:rsidRPr="00AA15B4" w14:paraId="43B19290" w14:textId="77777777" w:rsidTr="003F257B">
        <w:trPr>
          <w:tblCellSpacing w:w="15" w:type="dxa"/>
        </w:trPr>
        <w:tc>
          <w:tcPr>
            <w:tcW w:w="0" w:type="auto"/>
            <w:gridSpan w:val="4"/>
            <w:vAlign w:val="center"/>
          </w:tcPr>
          <w:p w14:paraId="3BFF1411" w14:textId="4F657654" w:rsidR="008E1A53" w:rsidRPr="00AA15B4" w:rsidRDefault="00D94682" w:rsidP="00D94682">
            <w:pPr>
              <w:jc w:val="both"/>
              <w:rPr>
                <w:sz w:val="20"/>
                <w:szCs w:val="20"/>
                <w:lang w:val="en-US"/>
              </w:rPr>
            </w:pPr>
            <w:r w:rsidRPr="00D94682">
              <w:rPr>
                <w:sz w:val="20"/>
                <w:szCs w:val="20"/>
              </w:rPr>
              <w:t>Data are presented as median (interquartile range) or number (%), as appropriate. IQR = interquartile range; ESA = erythropoiesis-stimulating agent. P values were calculated using the Mann–Whitney U test for continuous variables and the chi-square or Fisher's exact test for categorical variables, as appropriate</w:t>
            </w:r>
            <w:r w:rsidR="001D4D9A" w:rsidRPr="00AA15B4">
              <w:rPr>
                <w:sz w:val="20"/>
                <w:szCs w:val="20"/>
              </w:rPr>
              <w:t>.</w:t>
            </w:r>
          </w:p>
        </w:tc>
      </w:tr>
    </w:tbl>
    <w:p w14:paraId="32B29FB3" w14:textId="7E977555" w:rsidR="008E1A53" w:rsidRPr="008E1A53" w:rsidRDefault="008E1A53" w:rsidP="008E1A53">
      <w:pPr>
        <w:rPr>
          <w:lang w:val="en-US"/>
        </w:rPr>
      </w:pPr>
    </w:p>
    <w:p w14:paraId="0B3CDBC2" w14:textId="4816EDEE" w:rsidR="008E1A53" w:rsidRDefault="008E1A53" w:rsidP="008E1A53">
      <w:pPr>
        <w:rPr>
          <w:lang w:val="en-US"/>
        </w:rPr>
      </w:pPr>
    </w:p>
    <w:p w14:paraId="287423D5" w14:textId="77777777" w:rsidR="008E1A53" w:rsidRDefault="008E1A53" w:rsidP="008E1A53">
      <w:pPr>
        <w:rPr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3"/>
        <w:gridCol w:w="2752"/>
        <w:gridCol w:w="2725"/>
      </w:tblGrid>
      <w:tr w:rsidR="008E1A53" w:rsidRPr="00AA15B4" w14:paraId="0B4B784A" w14:textId="77777777" w:rsidTr="005C27B0">
        <w:trPr>
          <w:tblHeader/>
          <w:tblCellSpacing w:w="15" w:type="dxa"/>
        </w:trPr>
        <w:tc>
          <w:tcPr>
            <w:tcW w:w="0" w:type="auto"/>
            <w:gridSpan w:val="3"/>
            <w:vAlign w:val="center"/>
          </w:tcPr>
          <w:p w14:paraId="1C65DFE8" w14:textId="407B47D4" w:rsidR="008E1A53" w:rsidRPr="00AA15B4" w:rsidRDefault="008E1A53" w:rsidP="008E1A53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AA15B4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Supplementary Table S2 </w:t>
            </w:r>
            <w:r w:rsidRPr="00AA15B4">
              <w:rPr>
                <w:sz w:val="20"/>
                <w:szCs w:val="20"/>
                <w:lang w:val="en-US"/>
              </w:rPr>
              <w:t xml:space="preserve">Verification source for </w:t>
            </w:r>
            <w:proofErr w:type="gramStart"/>
            <w:r w:rsidRPr="00AA15B4">
              <w:rPr>
                <w:sz w:val="20"/>
                <w:szCs w:val="20"/>
                <w:lang w:val="en-US"/>
              </w:rPr>
              <w:t>access</w:t>
            </w:r>
            <w:proofErr w:type="gramEnd"/>
            <w:r w:rsidRPr="00AA15B4">
              <w:rPr>
                <w:sz w:val="20"/>
                <w:szCs w:val="20"/>
                <w:lang w:val="en-US"/>
              </w:rPr>
              <w:t xml:space="preserve"> instability events and infection-related deaths</w:t>
            </w:r>
          </w:p>
        </w:tc>
      </w:tr>
      <w:tr w:rsidR="008E1A53" w:rsidRPr="00AA15B4" w14:paraId="373EF5D1" w14:textId="77777777" w:rsidTr="008E1A53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05DF9F8" w14:textId="77777777" w:rsidR="008E1A53" w:rsidRPr="00AA15B4" w:rsidRDefault="008E1A53" w:rsidP="008E1A5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AA15B4">
              <w:rPr>
                <w:b/>
                <w:bCs/>
                <w:sz w:val="20"/>
                <w:szCs w:val="20"/>
                <w:lang w:val="en-US"/>
              </w:rPr>
              <w:t>Verification source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04B8512" w14:textId="77777777" w:rsidR="008E1A53" w:rsidRPr="00AA15B4" w:rsidRDefault="008E1A53" w:rsidP="008E1A5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AA15B4">
              <w:rPr>
                <w:b/>
                <w:bCs/>
                <w:sz w:val="20"/>
                <w:szCs w:val="20"/>
                <w:lang w:val="en-US"/>
              </w:rPr>
              <w:t>Access instability events (n = 49), n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3CE58C" w14:textId="77777777" w:rsidR="008E1A53" w:rsidRPr="00AA15B4" w:rsidRDefault="008E1A53" w:rsidP="008E1A5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AA15B4">
              <w:rPr>
                <w:b/>
                <w:bCs/>
                <w:sz w:val="20"/>
                <w:szCs w:val="20"/>
                <w:lang w:val="en-US"/>
              </w:rPr>
              <w:t>Infection-related deaths (n = 20), n (%)</w:t>
            </w:r>
          </w:p>
        </w:tc>
      </w:tr>
      <w:tr w:rsidR="008E1A53" w:rsidRPr="00AA15B4" w14:paraId="70C0A0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69111F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Clinical record or dialysis-unit documentation</w:t>
            </w:r>
          </w:p>
        </w:tc>
        <w:tc>
          <w:tcPr>
            <w:tcW w:w="0" w:type="auto"/>
            <w:vAlign w:val="center"/>
            <w:hideMark/>
          </w:tcPr>
          <w:p w14:paraId="2AC27C99" w14:textId="489D950B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31 (63.3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232C51D" w14:textId="606B99B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11 (55.0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</w:tr>
      <w:tr w:rsidR="008E1A53" w:rsidRPr="00AA15B4" w14:paraId="01807B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DE478F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Treating physician or receiving dialysis unit confirmation</w:t>
            </w:r>
          </w:p>
        </w:tc>
        <w:tc>
          <w:tcPr>
            <w:tcW w:w="0" w:type="auto"/>
            <w:vAlign w:val="center"/>
            <w:hideMark/>
          </w:tcPr>
          <w:p w14:paraId="726BFD0E" w14:textId="45F8CB5B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10 (20.4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3D8068F" w14:textId="1AF4EFB4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5 (25.0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</w:tr>
      <w:tr w:rsidR="008E1A53" w:rsidRPr="00AA15B4" w14:paraId="76CD1D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028EBE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Caregiver report with compatible clinical course</w:t>
            </w:r>
          </w:p>
        </w:tc>
        <w:tc>
          <w:tcPr>
            <w:tcW w:w="0" w:type="auto"/>
            <w:vAlign w:val="center"/>
            <w:hideMark/>
          </w:tcPr>
          <w:p w14:paraId="322AF29B" w14:textId="2CFECC85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8 (16.3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4A9F29C" w14:textId="419C8749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4 (20.0</w:t>
            </w:r>
            <w:r w:rsidR="00046066" w:rsidRPr="00AA15B4">
              <w:rPr>
                <w:sz w:val="20"/>
                <w:szCs w:val="20"/>
                <w:lang w:val="en-US"/>
              </w:rPr>
              <w:t>%</w:t>
            </w:r>
            <w:r w:rsidRPr="00AA15B4">
              <w:rPr>
                <w:sz w:val="20"/>
                <w:szCs w:val="20"/>
                <w:lang w:val="en-US"/>
              </w:rPr>
              <w:t>)</w:t>
            </w:r>
          </w:p>
        </w:tc>
      </w:tr>
      <w:tr w:rsidR="008E1A53" w:rsidRPr="00AA15B4" w14:paraId="39F650A2" w14:textId="77777777" w:rsidTr="008E1A53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5ED738C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Caregiver report only without supporting clinical pathway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176A330" w14:textId="650CA614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0</w:t>
            </w:r>
            <w:r w:rsidR="00046066" w:rsidRPr="00AA15B4">
              <w:rPr>
                <w:sz w:val="20"/>
                <w:szCs w:val="20"/>
                <w:lang w:val="en-US"/>
              </w:rPr>
              <w:t xml:space="preserve"> (0.0%)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F5F66C4" w14:textId="63A5FCB1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0</w:t>
            </w:r>
            <w:r w:rsidR="00046066" w:rsidRPr="00AA15B4">
              <w:rPr>
                <w:sz w:val="20"/>
                <w:szCs w:val="20"/>
                <w:lang w:val="en-US"/>
              </w:rPr>
              <w:t xml:space="preserve"> (0.0%)</w:t>
            </w:r>
          </w:p>
        </w:tc>
      </w:tr>
      <w:tr w:rsidR="008E1A53" w:rsidRPr="00AA15B4" w14:paraId="7F365A5E" w14:textId="77777777" w:rsidTr="000E6FEA">
        <w:trPr>
          <w:tblCellSpacing w:w="15" w:type="dxa"/>
        </w:trPr>
        <w:tc>
          <w:tcPr>
            <w:tcW w:w="0" w:type="auto"/>
            <w:gridSpan w:val="3"/>
            <w:vAlign w:val="center"/>
          </w:tcPr>
          <w:p w14:paraId="3543A5A4" w14:textId="2E8729FD" w:rsidR="008E1A53" w:rsidRPr="00AA15B4" w:rsidRDefault="00D94682" w:rsidP="00D94682">
            <w:pPr>
              <w:jc w:val="both"/>
              <w:rPr>
                <w:sz w:val="20"/>
                <w:szCs w:val="20"/>
                <w:lang w:val="en-US"/>
              </w:rPr>
            </w:pPr>
            <w:r w:rsidRPr="00D94682">
              <w:rPr>
                <w:sz w:val="20"/>
                <w:szCs w:val="20"/>
              </w:rPr>
              <w:t>Data are presented as number (%). Outcome verification was based on the highest available level of supporting information.</w:t>
            </w:r>
          </w:p>
        </w:tc>
      </w:tr>
    </w:tbl>
    <w:p w14:paraId="06124564" w14:textId="3D390BFF" w:rsidR="008E1A53" w:rsidRDefault="008E1A53" w:rsidP="008E1A53">
      <w:pPr>
        <w:rPr>
          <w:lang w:val="en-US"/>
        </w:rPr>
      </w:pPr>
    </w:p>
    <w:p w14:paraId="52F4A4AA" w14:textId="77777777" w:rsidR="001B3EF2" w:rsidRDefault="001B3EF2" w:rsidP="008E1A53">
      <w:pPr>
        <w:rPr>
          <w:lang w:val="en-US"/>
        </w:rPr>
      </w:pPr>
    </w:p>
    <w:p w14:paraId="5B260A78" w14:textId="77777777" w:rsidR="006F37B3" w:rsidRDefault="006F37B3" w:rsidP="008E1A53">
      <w:pPr>
        <w:rPr>
          <w:lang w:val="en-US"/>
        </w:rPr>
      </w:pPr>
    </w:p>
    <w:p w14:paraId="260C050A" w14:textId="77777777" w:rsidR="006F37B3" w:rsidRDefault="006F37B3" w:rsidP="008E1A53">
      <w:pPr>
        <w:rPr>
          <w:lang w:val="en-US"/>
        </w:rPr>
      </w:pPr>
    </w:p>
    <w:p w14:paraId="090B6863" w14:textId="77777777" w:rsidR="006F37B3" w:rsidRDefault="006F37B3" w:rsidP="008E1A53">
      <w:pPr>
        <w:rPr>
          <w:lang w:val="en-US"/>
        </w:rPr>
      </w:pPr>
    </w:p>
    <w:p w14:paraId="25B02A90" w14:textId="77777777" w:rsidR="006F37B3" w:rsidRDefault="006F37B3" w:rsidP="008E1A53">
      <w:pPr>
        <w:rPr>
          <w:lang w:val="en-US"/>
        </w:rPr>
      </w:pPr>
    </w:p>
    <w:p w14:paraId="0EE83D98" w14:textId="77777777" w:rsidR="006F37B3" w:rsidRDefault="006F37B3" w:rsidP="008E1A53">
      <w:pPr>
        <w:rPr>
          <w:lang w:val="en-US"/>
        </w:rPr>
      </w:pPr>
    </w:p>
    <w:p w14:paraId="6822EE5A" w14:textId="77777777" w:rsidR="006F37B3" w:rsidRDefault="006F37B3" w:rsidP="008E1A53">
      <w:pPr>
        <w:rPr>
          <w:lang w:val="en-US"/>
        </w:rPr>
      </w:pPr>
    </w:p>
    <w:p w14:paraId="7CAD6906" w14:textId="77777777" w:rsidR="006F37B3" w:rsidRDefault="006F37B3" w:rsidP="008E1A53">
      <w:pPr>
        <w:rPr>
          <w:lang w:val="en-US"/>
        </w:rPr>
      </w:pPr>
    </w:p>
    <w:p w14:paraId="3F1B55D1" w14:textId="77777777" w:rsidR="006F37B3" w:rsidRDefault="006F37B3" w:rsidP="008E1A53">
      <w:pPr>
        <w:rPr>
          <w:lang w:val="en-US"/>
        </w:rPr>
      </w:pPr>
    </w:p>
    <w:p w14:paraId="2DD16CBF" w14:textId="77777777" w:rsidR="006F37B3" w:rsidRDefault="006F37B3" w:rsidP="008E1A53">
      <w:pPr>
        <w:rPr>
          <w:lang w:val="en-US"/>
        </w:rPr>
      </w:pPr>
    </w:p>
    <w:p w14:paraId="4A96EBA1" w14:textId="77777777" w:rsidR="006F37B3" w:rsidRDefault="006F37B3" w:rsidP="008E1A53">
      <w:pPr>
        <w:rPr>
          <w:lang w:val="en-US"/>
        </w:rPr>
      </w:pPr>
    </w:p>
    <w:p w14:paraId="48BDF95D" w14:textId="77777777" w:rsidR="006F37B3" w:rsidRDefault="006F37B3" w:rsidP="008E1A53">
      <w:pPr>
        <w:rPr>
          <w:lang w:val="en-US"/>
        </w:rPr>
      </w:pPr>
    </w:p>
    <w:p w14:paraId="14096269" w14:textId="77777777" w:rsidR="006F37B3" w:rsidRDefault="006F37B3" w:rsidP="008E1A53">
      <w:pPr>
        <w:rPr>
          <w:lang w:val="en-US"/>
        </w:rPr>
      </w:pPr>
    </w:p>
    <w:p w14:paraId="74D8BCDA" w14:textId="77777777" w:rsidR="006F37B3" w:rsidRDefault="006F37B3" w:rsidP="008E1A53">
      <w:pPr>
        <w:rPr>
          <w:lang w:val="en-US"/>
        </w:rPr>
      </w:pPr>
    </w:p>
    <w:p w14:paraId="45608925" w14:textId="77777777" w:rsidR="006F37B3" w:rsidRDefault="006F37B3" w:rsidP="008E1A53">
      <w:pPr>
        <w:rPr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3"/>
        <w:gridCol w:w="7042"/>
        <w:gridCol w:w="635"/>
      </w:tblGrid>
      <w:tr w:rsidR="008E1A53" w:rsidRPr="00AA15B4" w14:paraId="227C9095" w14:textId="77777777" w:rsidTr="00F548A0">
        <w:trPr>
          <w:tblHeader/>
          <w:tblCellSpacing w:w="15" w:type="dxa"/>
        </w:trPr>
        <w:tc>
          <w:tcPr>
            <w:tcW w:w="0" w:type="auto"/>
            <w:gridSpan w:val="3"/>
            <w:vAlign w:val="center"/>
          </w:tcPr>
          <w:p w14:paraId="2F6DCDCA" w14:textId="7C4E74E2" w:rsidR="008E1A53" w:rsidRPr="00AA15B4" w:rsidRDefault="008E1A53" w:rsidP="008E1A53">
            <w:pPr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AA15B4">
              <w:rPr>
                <w:b/>
                <w:bCs/>
                <w:sz w:val="20"/>
                <w:szCs w:val="20"/>
                <w:lang w:val="en-US"/>
              </w:rPr>
              <w:lastRenderedPageBreak/>
              <w:t xml:space="preserve">Supplementary Table S3 </w:t>
            </w:r>
            <w:r w:rsidRPr="00AA15B4">
              <w:rPr>
                <w:sz w:val="20"/>
                <w:szCs w:val="20"/>
                <w:lang w:val="en-US"/>
              </w:rPr>
              <w:t>Classification algorithm for infection-related mortality</w:t>
            </w:r>
          </w:p>
        </w:tc>
      </w:tr>
      <w:tr w:rsidR="008E1A53" w:rsidRPr="00AA15B4" w14:paraId="667B9C9E" w14:textId="77777777" w:rsidTr="008E1A53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91BB1D" w14:textId="77777777" w:rsidR="008E1A53" w:rsidRPr="00AA15B4" w:rsidRDefault="008E1A53" w:rsidP="008E1A5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AA15B4">
              <w:rPr>
                <w:b/>
                <w:bCs/>
                <w:sz w:val="20"/>
                <w:szCs w:val="20"/>
                <w:lang w:val="en-US"/>
              </w:rPr>
              <w:t>Classification category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C41995" w14:textId="77777777" w:rsidR="008E1A53" w:rsidRPr="00AA15B4" w:rsidRDefault="008E1A53" w:rsidP="008E1A5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AA15B4">
              <w:rPr>
                <w:b/>
                <w:bCs/>
                <w:sz w:val="20"/>
                <w:szCs w:val="20"/>
                <w:lang w:val="en-US"/>
              </w:rPr>
              <w:t>Required criteria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163EFF" w14:textId="77777777" w:rsidR="008E1A53" w:rsidRPr="00AA15B4" w:rsidRDefault="008E1A53" w:rsidP="008E1A5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AA15B4">
              <w:rPr>
                <w:b/>
                <w:bCs/>
                <w:sz w:val="20"/>
                <w:szCs w:val="20"/>
                <w:lang w:val="en-US"/>
              </w:rPr>
              <w:t>Count</w:t>
            </w:r>
          </w:p>
        </w:tc>
      </w:tr>
      <w:tr w:rsidR="008E1A53" w:rsidRPr="00AA15B4" w14:paraId="23D68A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44D77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Confirmed infection-related death</w:t>
            </w:r>
          </w:p>
        </w:tc>
        <w:tc>
          <w:tcPr>
            <w:tcW w:w="0" w:type="auto"/>
            <w:vAlign w:val="center"/>
            <w:hideMark/>
          </w:tcPr>
          <w:p w14:paraId="048C8F92" w14:textId="77777777" w:rsidR="008E1A53" w:rsidRPr="00AA15B4" w:rsidRDefault="008E1A53" w:rsidP="00E97968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Positive blood culture or documented access infection with compatible fatal sepsis course</w:t>
            </w:r>
          </w:p>
        </w:tc>
        <w:tc>
          <w:tcPr>
            <w:tcW w:w="0" w:type="auto"/>
            <w:vAlign w:val="center"/>
            <w:hideMark/>
          </w:tcPr>
          <w:p w14:paraId="1F6C9681" w14:textId="77777777" w:rsidR="008E1A53" w:rsidRPr="00AA15B4" w:rsidRDefault="008E1A53" w:rsidP="00E97968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8</w:t>
            </w:r>
          </w:p>
        </w:tc>
      </w:tr>
      <w:tr w:rsidR="008E1A53" w:rsidRPr="00AA15B4" w14:paraId="57F69F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9621A5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Probable infection-related death</w:t>
            </w:r>
          </w:p>
        </w:tc>
        <w:tc>
          <w:tcPr>
            <w:tcW w:w="0" w:type="auto"/>
            <w:vAlign w:val="center"/>
            <w:hideMark/>
          </w:tcPr>
          <w:p w14:paraId="3295A9BC" w14:textId="307788C0" w:rsidR="008E1A53" w:rsidRPr="00AA15B4" w:rsidRDefault="00E97968" w:rsidP="00E97968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</w:rPr>
              <w:t>Documented sepsis/systemic infection, vascular access considered the most likely source, antimicrobial treatment given or clearly indicated, no alternative cause evident, and supporting information from clinical records, treating physician assessment, dialysis-unit communication, or caregiver report with a compatible clinical course</w:t>
            </w:r>
          </w:p>
        </w:tc>
        <w:tc>
          <w:tcPr>
            <w:tcW w:w="0" w:type="auto"/>
            <w:vAlign w:val="center"/>
            <w:hideMark/>
          </w:tcPr>
          <w:p w14:paraId="329D4F44" w14:textId="77777777" w:rsidR="008E1A53" w:rsidRPr="00AA15B4" w:rsidRDefault="008E1A53" w:rsidP="00E97968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12</w:t>
            </w:r>
          </w:p>
        </w:tc>
      </w:tr>
      <w:tr w:rsidR="008E1A53" w:rsidRPr="00AA15B4" w14:paraId="53F69F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51A307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Indeterminate death</w:t>
            </w:r>
          </w:p>
        </w:tc>
        <w:tc>
          <w:tcPr>
            <w:tcW w:w="0" w:type="auto"/>
            <w:vAlign w:val="center"/>
            <w:hideMark/>
          </w:tcPr>
          <w:p w14:paraId="75E81FDA" w14:textId="77777777" w:rsidR="008E1A53" w:rsidRPr="00AA15B4" w:rsidRDefault="008E1A53" w:rsidP="00E97968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Infection suspected, but vascular access source or clinical sequence uncertain</w:t>
            </w:r>
          </w:p>
        </w:tc>
        <w:tc>
          <w:tcPr>
            <w:tcW w:w="0" w:type="auto"/>
            <w:vAlign w:val="center"/>
            <w:hideMark/>
          </w:tcPr>
          <w:p w14:paraId="651AE601" w14:textId="77777777" w:rsidR="008E1A53" w:rsidRPr="00AA15B4" w:rsidRDefault="008E1A53" w:rsidP="00E97968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5</w:t>
            </w:r>
          </w:p>
        </w:tc>
      </w:tr>
      <w:tr w:rsidR="008E1A53" w:rsidRPr="00AA15B4" w14:paraId="079523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499514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Non-infection-related death</w:t>
            </w:r>
          </w:p>
        </w:tc>
        <w:tc>
          <w:tcPr>
            <w:tcW w:w="0" w:type="auto"/>
            <w:vAlign w:val="center"/>
            <w:hideMark/>
          </w:tcPr>
          <w:p w14:paraId="1CE8E6C7" w14:textId="77777777" w:rsidR="008E1A53" w:rsidRPr="00AA15B4" w:rsidRDefault="008E1A53" w:rsidP="00E97968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Alternative cause evident or no clinical evidence supporting infection-related death</w:t>
            </w:r>
          </w:p>
        </w:tc>
        <w:tc>
          <w:tcPr>
            <w:tcW w:w="0" w:type="auto"/>
            <w:vAlign w:val="center"/>
            <w:hideMark/>
          </w:tcPr>
          <w:p w14:paraId="2DEA10D9" w14:textId="77777777" w:rsidR="008E1A53" w:rsidRPr="00AA15B4" w:rsidRDefault="008E1A53" w:rsidP="00E97968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32</w:t>
            </w:r>
          </w:p>
        </w:tc>
      </w:tr>
      <w:tr w:rsidR="008E1A53" w:rsidRPr="00AA15B4" w14:paraId="32E99CE7" w14:textId="77777777" w:rsidTr="001D4D9A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F7761CF" w14:textId="77777777" w:rsidR="008E1A53" w:rsidRPr="00AA15B4" w:rsidRDefault="008E1A53" w:rsidP="008E1A53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Total deaths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1F04E8B" w14:textId="77777777" w:rsidR="008E1A53" w:rsidRPr="00AA15B4" w:rsidRDefault="008E1A53" w:rsidP="00E97968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All deaths during follow-up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B01E637" w14:textId="77777777" w:rsidR="008E1A53" w:rsidRPr="00AA15B4" w:rsidRDefault="008E1A53" w:rsidP="00E97968">
            <w:pPr>
              <w:rPr>
                <w:sz w:val="20"/>
                <w:szCs w:val="20"/>
                <w:lang w:val="en-US"/>
              </w:rPr>
            </w:pPr>
            <w:r w:rsidRPr="00AA15B4">
              <w:rPr>
                <w:sz w:val="20"/>
                <w:szCs w:val="20"/>
                <w:lang w:val="en-US"/>
              </w:rPr>
              <w:t>57</w:t>
            </w:r>
          </w:p>
        </w:tc>
      </w:tr>
      <w:tr w:rsidR="001B3EF2" w:rsidRPr="00AA15B4" w14:paraId="5898CC1E" w14:textId="77777777" w:rsidTr="001F6639">
        <w:trPr>
          <w:tblCellSpacing w:w="15" w:type="dxa"/>
        </w:trPr>
        <w:tc>
          <w:tcPr>
            <w:tcW w:w="0" w:type="auto"/>
            <w:gridSpan w:val="3"/>
            <w:vAlign w:val="center"/>
          </w:tcPr>
          <w:p w14:paraId="783D0940" w14:textId="192542D9" w:rsidR="001B3EF2" w:rsidRPr="00AA15B4" w:rsidRDefault="00D94682" w:rsidP="00D94682">
            <w:pPr>
              <w:jc w:val="both"/>
              <w:rPr>
                <w:sz w:val="20"/>
                <w:szCs w:val="20"/>
                <w:lang w:val="en-US"/>
              </w:rPr>
            </w:pPr>
            <w:r w:rsidRPr="00D94682">
              <w:rPr>
                <w:sz w:val="20"/>
                <w:szCs w:val="20"/>
              </w:rPr>
              <w:t>Data are presented as number of deaths. Confirmed and probable infection-related deaths were included in the primary infection-related mortality analysis; indeterminate deaths were excluded from the primary classification. Categories are mutually exclusive.</w:t>
            </w:r>
          </w:p>
        </w:tc>
      </w:tr>
    </w:tbl>
    <w:p w14:paraId="5242A32A" w14:textId="77777777" w:rsidR="009C50B6" w:rsidRDefault="009C50B6" w:rsidP="001B3EF2">
      <w:pPr>
        <w:rPr>
          <w:lang w:val="en-US"/>
        </w:rPr>
      </w:pPr>
    </w:p>
    <w:sectPr w:rsidR="009C50B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D6B9D" w14:textId="77777777" w:rsidR="000B7CB6" w:rsidRDefault="000B7CB6" w:rsidP="00362303">
      <w:pPr>
        <w:spacing w:after="0" w:line="240" w:lineRule="auto"/>
      </w:pPr>
      <w:r>
        <w:separator/>
      </w:r>
    </w:p>
  </w:endnote>
  <w:endnote w:type="continuationSeparator" w:id="0">
    <w:p w14:paraId="03E423E9" w14:textId="77777777" w:rsidR="000B7CB6" w:rsidRDefault="000B7CB6" w:rsidP="00362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15947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35A767" w14:textId="6C7BE9E2" w:rsidR="00362303" w:rsidRDefault="003623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4F4639" w14:textId="77777777" w:rsidR="00362303" w:rsidRDefault="003623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5FB7E" w14:textId="77777777" w:rsidR="000B7CB6" w:rsidRDefault="000B7CB6" w:rsidP="00362303">
      <w:pPr>
        <w:spacing w:after="0" w:line="240" w:lineRule="auto"/>
      </w:pPr>
      <w:r>
        <w:separator/>
      </w:r>
    </w:p>
  </w:footnote>
  <w:footnote w:type="continuationSeparator" w:id="0">
    <w:p w14:paraId="271A0BDA" w14:textId="77777777" w:rsidR="000B7CB6" w:rsidRDefault="000B7CB6" w:rsidP="00362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B1906"/>
    <w:multiLevelType w:val="hybridMultilevel"/>
    <w:tmpl w:val="88B045D0"/>
    <w:lvl w:ilvl="0" w:tplc="7250C35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FFFFFF" w:themeColor="background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C6558"/>
    <w:multiLevelType w:val="multilevel"/>
    <w:tmpl w:val="4C048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12840"/>
    <w:multiLevelType w:val="multilevel"/>
    <w:tmpl w:val="C1A8B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06F9C"/>
    <w:multiLevelType w:val="multilevel"/>
    <w:tmpl w:val="7BBA1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72360C"/>
    <w:multiLevelType w:val="multilevel"/>
    <w:tmpl w:val="76785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B846F8"/>
    <w:multiLevelType w:val="multilevel"/>
    <w:tmpl w:val="AE6E6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E13DBB"/>
    <w:multiLevelType w:val="hybridMultilevel"/>
    <w:tmpl w:val="D3DACB06"/>
    <w:lvl w:ilvl="0" w:tplc="7250C35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07075">
    <w:abstractNumId w:val="3"/>
  </w:num>
  <w:num w:numId="2" w16cid:durableId="482157693">
    <w:abstractNumId w:val="5"/>
  </w:num>
  <w:num w:numId="3" w16cid:durableId="468284713">
    <w:abstractNumId w:val="2"/>
  </w:num>
  <w:num w:numId="4" w16cid:durableId="1152258151">
    <w:abstractNumId w:val="6"/>
  </w:num>
  <w:num w:numId="5" w16cid:durableId="1133525767">
    <w:abstractNumId w:val="0"/>
  </w:num>
  <w:num w:numId="6" w16cid:durableId="753092482">
    <w:abstractNumId w:val="4"/>
  </w:num>
  <w:num w:numId="7" w16cid:durableId="166596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8F"/>
    <w:rsid w:val="000151A4"/>
    <w:rsid w:val="00020A77"/>
    <w:rsid w:val="00046066"/>
    <w:rsid w:val="000561CF"/>
    <w:rsid w:val="0007416A"/>
    <w:rsid w:val="0007448F"/>
    <w:rsid w:val="000A321A"/>
    <w:rsid w:val="000B7CB6"/>
    <w:rsid w:val="00122742"/>
    <w:rsid w:val="001466EF"/>
    <w:rsid w:val="001B0EE9"/>
    <w:rsid w:val="001B3EF2"/>
    <w:rsid w:val="001C2C16"/>
    <w:rsid w:val="001D4D9A"/>
    <w:rsid w:val="002059C9"/>
    <w:rsid w:val="00226635"/>
    <w:rsid w:val="0026220B"/>
    <w:rsid w:val="00301C3D"/>
    <w:rsid w:val="003445F2"/>
    <w:rsid w:val="00362303"/>
    <w:rsid w:val="003856A3"/>
    <w:rsid w:val="003C26AC"/>
    <w:rsid w:val="00412C5B"/>
    <w:rsid w:val="0042132D"/>
    <w:rsid w:val="00455AF8"/>
    <w:rsid w:val="005B7211"/>
    <w:rsid w:val="00610658"/>
    <w:rsid w:val="00664530"/>
    <w:rsid w:val="00667638"/>
    <w:rsid w:val="00681D89"/>
    <w:rsid w:val="006A2AED"/>
    <w:rsid w:val="006F37B3"/>
    <w:rsid w:val="00727DDC"/>
    <w:rsid w:val="00732163"/>
    <w:rsid w:val="0074280E"/>
    <w:rsid w:val="007749CA"/>
    <w:rsid w:val="00777D70"/>
    <w:rsid w:val="007F1998"/>
    <w:rsid w:val="00883E64"/>
    <w:rsid w:val="008E1A53"/>
    <w:rsid w:val="009332CE"/>
    <w:rsid w:val="009C1244"/>
    <w:rsid w:val="009C50B6"/>
    <w:rsid w:val="009D0C23"/>
    <w:rsid w:val="009D7857"/>
    <w:rsid w:val="009E5D8F"/>
    <w:rsid w:val="009F2057"/>
    <w:rsid w:val="00A336C5"/>
    <w:rsid w:val="00A93376"/>
    <w:rsid w:val="00AA15B4"/>
    <w:rsid w:val="00AC0E77"/>
    <w:rsid w:val="00B52D93"/>
    <w:rsid w:val="00B53AB4"/>
    <w:rsid w:val="00B67D9F"/>
    <w:rsid w:val="00B839AE"/>
    <w:rsid w:val="00BA4A0B"/>
    <w:rsid w:val="00BC557A"/>
    <w:rsid w:val="00C177A6"/>
    <w:rsid w:val="00C47FD9"/>
    <w:rsid w:val="00CE2930"/>
    <w:rsid w:val="00CF39B3"/>
    <w:rsid w:val="00D06D0F"/>
    <w:rsid w:val="00D94682"/>
    <w:rsid w:val="00DB0C86"/>
    <w:rsid w:val="00DB11DD"/>
    <w:rsid w:val="00DC01EC"/>
    <w:rsid w:val="00DD5D8A"/>
    <w:rsid w:val="00DF0132"/>
    <w:rsid w:val="00DF7484"/>
    <w:rsid w:val="00E408FA"/>
    <w:rsid w:val="00E42F79"/>
    <w:rsid w:val="00E93259"/>
    <w:rsid w:val="00E97968"/>
    <w:rsid w:val="00EC5ABD"/>
    <w:rsid w:val="00EC7BD0"/>
    <w:rsid w:val="00ED713C"/>
    <w:rsid w:val="00ED7266"/>
    <w:rsid w:val="00F2073A"/>
    <w:rsid w:val="00F67820"/>
    <w:rsid w:val="00F81491"/>
    <w:rsid w:val="00F92AC1"/>
    <w:rsid w:val="00F9773B"/>
    <w:rsid w:val="00FE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70C06"/>
  <w15:chartTrackingRefBased/>
  <w15:docId w15:val="{E4873749-CEDF-43F5-9CA1-FB965715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16A"/>
    <w:pPr>
      <w:spacing w:line="259" w:lineRule="auto"/>
    </w:pPr>
    <w:rPr>
      <w:rFonts w:ascii="Aptos" w:hAnsi="Aptos" w:cs="Calibri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5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D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D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D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D8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D8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D8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D8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B53AB4"/>
    <w:pPr>
      <w:spacing w:after="0" w:line="240" w:lineRule="auto"/>
    </w:pPr>
    <w:rPr>
      <w:rFonts w:ascii="Cambria" w:hAnsi="Cambria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E5D8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E5D8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D8F"/>
    <w:rPr>
      <w:rFonts w:eastAsiaTheme="majorEastAsia" w:cstheme="majorBidi"/>
      <w:color w:val="0F4761" w:themeColor="accent1" w:themeShade="BF"/>
      <w:kern w:val="0"/>
      <w:sz w:val="28"/>
      <w:szCs w:val="28"/>
      <w:lang w:val="e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D8F"/>
    <w:rPr>
      <w:rFonts w:eastAsiaTheme="majorEastAsia" w:cstheme="majorBidi"/>
      <w:i/>
      <w:iCs/>
      <w:color w:val="0F4761" w:themeColor="accent1" w:themeShade="BF"/>
      <w:kern w:val="0"/>
      <w:sz w:val="22"/>
      <w:szCs w:val="22"/>
      <w:lang w:val="en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D8F"/>
    <w:rPr>
      <w:rFonts w:eastAsiaTheme="majorEastAsia" w:cstheme="majorBidi"/>
      <w:color w:val="0F4761" w:themeColor="accent1" w:themeShade="BF"/>
      <w:kern w:val="0"/>
      <w:sz w:val="22"/>
      <w:szCs w:val="22"/>
      <w:lang w:val="en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D8F"/>
    <w:rPr>
      <w:rFonts w:eastAsiaTheme="majorEastAsia" w:cstheme="majorBidi"/>
      <w:i/>
      <w:iCs/>
      <w:color w:val="595959" w:themeColor="text1" w:themeTint="A6"/>
      <w:kern w:val="0"/>
      <w:sz w:val="22"/>
      <w:szCs w:val="22"/>
      <w:lang w:val="en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D8F"/>
    <w:rPr>
      <w:rFonts w:eastAsiaTheme="majorEastAsia" w:cstheme="majorBidi"/>
      <w:color w:val="595959" w:themeColor="text1" w:themeTint="A6"/>
      <w:kern w:val="0"/>
      <w:sz w:val="22"/>
      <w:szCs w:val="22"/>
      <w:lang w:val="en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D8F"/>
    <w:rPr>
      <w:rFonts w:eastAsiaTheme="majorEastAsia" w:cstheme="majorBidi"/>
      <w:i/>
      <w:iCs/>
      <w:color w:val="272727" w:themeColor="text1" w:themeTint="D8"/>
      <w:kern w:val="0"/>
      <w:sz w:val="22"/>
      <w:szCs w:val="22"/>
      <w:lang w:val="en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D8F"/>
    <w:rPr>
      <w:rFonts w:eastAsiaTheme="majorEastAsia" w:cstheme="majorBidi"/>
      <w:color w:val="272727" w:themeColor="text1" w:themeTint="D8"/>
      <w:kern w:val="0"/>
      <w:sz w:val="22"/>
      <w:szCs w:val="22"/>
      <w:lang w:val="en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E5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D8F"/>
    <w:rPr>
      <w:rFonts w:asciiTheme="majorHAnsi" w:eastAsiaTheme="majorEastAsia" w:hAnsiTheme="majorHAnsi" w:cstheme="majorBidi"/>
      <w:spacing w:val="-10"/>
      <w:kern w:val="28"/>
      <w:sz w:val="56"/>
      <w:szCs w:val="56"/>
      <w:lang w:val="en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D8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D8F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E5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D8F"/>
    <w:rPr>
      <w:rFonts w:ascii="Aptos" w:hAnsi="Aptos" w:cs="Calibri"/>
      <w:i/>
      <w:iCs/>
      <w:color w:val="404040" w:themeColor="text1" w:themeTint="BF"/>
      <w:kern w:val="0"/>
      <w:sz w:val="22"/>
      <w:szCs w:val="22"/>
      <w:lang w:val="en"/>
      <w14:ligatures w14:val="none"/>
    </w:rPr>
  </w:style>
  <w:style w:type="paragraph" w:styleId="ListParagraph">
    <w:name w:val="List Paragraph"/>
    <w:basedOn w:val="Normal"/>
    <w:uiPriority w:val="34"/>
    <w:qFormat/>
    <w:rsid w:val="009E5D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D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D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D8F"/>
    <w:rPr>
      <w:rFonts w:ascii="Aptos" w:hAnsi="Aptos" w:cs="Calibri"/>
      <w:i/>
      <w:iCs/>
      <w:color w:val="0F4761" w:themeColor="accent1" w:themeShade="BF"/>
      <w:kern w:val="0"/>
      <w:sz w:val="22"/>
      <w:szCs w:val="22"/>
      <w:lang w:val="en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E5D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7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67638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39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39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62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303"/>
    <w:rPr>
      <w:rFonts w:ascii="Aptos" w:hAnsi="Aptos" w:cs="Calibri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62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303"/>
    <w:rPr>
      <w:rFonts w:ascii="Aptos" w:hAnsi="Aptos" w:cs="Calibri"/>
      <w:kern w:val="0"/>
      <w:sz w:val="22"/>
      <w:szCs w:val="22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Mazin Shigidi</dc:creator>
  <cp:keywords/>
  <dc:description/>
  <cp:lastModifiedBy>Mazin Shigidi</cp:lastModifiedBy>
  <cp:revision>39</cp:revision>
  <dcterms:created xsi:type="dcterms:W3CDTF">2026-02-09T14:51:00Z</dcterms:created>
  <dcterms:modified xsi:type="dcterms:W3CDTF">2026-08-14T10:53:00Z</dcterms:modified>
</cp:coreProperties>
</file>