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7A685"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Supplement table 1.</w:t>
      </w:r>
      <w:r w:rsidRPr="00305CCD">
        <w:rPr>
          <w:rFonts w:ascii="Times New Roman" w:eastAsia="等线" w:hAnsi="Times New Roman" w:cs="Times New Roman"/>
          <w:sz w:val="24"/>
          <w14:ligatures w14:val="none"/>
        </w:rPr>
        <w:t xml:space="preserve"> Association between admission serum phosphate levels and acute kidney injury non-recovery</w:t>
      </w:r>
    </w:p>
    <w:p w14:paraId="391C0A64"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bookmarkStart w:id="0" w:name="_Hlk194783629"/>
      <w:r w:rsidRPr="00305CCD">
        <w:rPr>
          <w:rFonts w:ascii="Times New Roman" w:eastAsia="等线" w:hAnsi="Times New Roman" w:cs="Times New Roman"/>
          <w:b/>
          <w:bCs/>
          <w:sz w:val="24"/>
          <w14:ligatures w14:val="none"/>
        </w:rPr>
        <w:t xml:space="preserve">Supplement table 2. </w:t>
      </w:r>
      <w:r w:rsidRPr="00305CCD">
        <w:rPr>
          <w:rFonts w:ascii="Times New Roman" w:eastAsia="等线" w:hAnsi="Times New Roman" w:cs="Times New Roman"/>
          <w:sz w:val="24"/>
          <w14:ligatures w14:val="none"/>
        </w:rPr>
        <w:t xml:space="preserve">Association between different admission serum phosphate categories and in hospital acute kidney injury occurrence </w:t>
      </w:r>
    </w:p>
    <w:bookmarkEnd w:id="0"/>
    <w:p w14:paraId="03C78283"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Supplement table 3.</w:t>
      </w:r>
      <w:r w:rsidRPr="00305CCD">
        <w:rPr>
          <w:rFonts w:ascii="Times New Roman" w:eastAsia="等线" w:hAnsi="Times New Roman" w:cs="Times New Roman"/>
          <w:sz w:val="24"/>
          <w14:ligatures w14:val="none"/>
        </w:rPr>
        <w:t xml:space="preserve"> Association between different admission serum phosphate categories and occurrence of AKI 2-3 stage in the total patients and in patients with acute kidney injury</w:t>
      </w:r>
    </w:p>
    <w:p w14:paraId="17E68973"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Supplement table 4.</w:t>
      </w:r>
      <w:r w:rsidRPr="00305CCD">
        <w:rPr>
          <w:rFonts w:ascii="Times New Roman" w:eastAsia="等线" w:hAnsi="Times New Roman" w:cs="Times New Roman"/>
          <w:sz w:val="24"/>
          <w14:ligatures w14:val="none"/>
        </w:rPr>
        <w:t xml:space="preserve"> Association between different admission serum phosphate categories and in hospital mortality in the total patients and patients with acute kidney injury</w:t>
      </w:r>
    </w:p>
    <w:p w14:paraId="0233BA8D"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Supplement table 5.</w:t>
      </w:r>
      <w:r w:rsidRPr="00305CCD">
        <w:rPr>
          <w:rFonts w:ascii="Times New Roman" w:eastAsia="等线" w:hAnsi="Times New Roman" w:cs="Times New Roman"/>
          <w:sz w:val="24"/>
          <w14:ligatures w14:val="none"/>
        </w:rPr>
        <w:t xml:space="preserve"> Association between different admission serum phosphate categories and  acute kidney injury non-recovery</w:t>
      </w:r>
    </w:p>
    <w:p w14:paraId="1588686D" w14:textId="77777777" w:rsidR="00305CCD" w:rsidRPr="00305CCD" w:rsidRDefault="00305CCD" w:rsidP="00305CCD">
      <w:pPr>
        <w:spacing w:after="0" w:line="360" w:lineRule="auto"/>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 xml:space="preserve">Supplement table 6. </w:t>
      </w:r>
      <w:r w:rsidRPr="00305CCD">
        <w:rPr>
          <w:rFonts w:ascii="Times New Roman" w:eastAsia="等线" w:hAnsi="Times New Roman" w:cs="Times New Roman"/>
          <w:sz w:val="24"/>
          <w14:ligatures w14:val="none"/>
        </w:rPr>
        <w:t>Baseline characteristics after 1:5 propensity score matching</w:t>
      </w:r>
    </w:p>
    <w:p w14:paraId="2D1ACFBA"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Supplement table 7.</w:t>
      </w:r>
      <w:r w:rsidRPr="00305CCD">
        <w:rPr>
          <w:rFonts w:ascii="Times New Roman" w:eastAsia="等线" w:hAnsi="Times New Roman" w:cs="Times New Roman"/>
          <w:sz w:val="24"/>
          <w14:ligatures w14:val="none"/>
        </w:rPr>
        <w:t xml:space="preserve"> Test of interaction between admission serum phosphate and admission estimated glomerular filtration rate</w:t>
      </w:r>
    </w:p>
    <w:p w14:paraId="789FF0E7"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2AE9C20F"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bookmarkStart w:id="1" w:name="_Hlk194783092"/>
      <w:r w:rsidRPr="00305CCD">
        <w:rPr>
          <w:rFonts w:ascii="Times New Roman" w:eastAsia="等线" w:hAnsi="Times New Roman" w:cs="Times New Roman"/>
          <w:b/>
          <w:bCs/>
          <w:sz w:val="24"/>
          <w14:ligatures w14:val="none"/>
        </w:rPr>
        <w:t>Supplement figure 1.</w:t>
      </w:r>
      <w:r w:rsidRPr="00305CCD">
        <w:rPr>
          <w:rFonts w:ascii="Times New Roman" w:eastAsia="等线" w:hAnsi="Times New Roman" w:cs="Times New Roman"/>
          <w:sz w:val="24"/>
          <w14:ligatures w14:val="none"/>
        </w:rPr>
        <w:t xml:space="preserve"> Association between admission serum phosphate level and in hospital acute kidney injury occurrence in patients with </w:t>
      </w:r>
      <w:bookmarkStart w:id="2" w:name="_Hlk195977874"/>
      <w:r w:rsidRPr="00305CCD">
        <w:rPr>
          <w:rFonts w:ascii="Times New Roman" w:eastAsia="等线" w:hAnsi="Times New Roman" w:cs="Times New Roman"/>
          <w:sz w:val="24"/>
          <w14:ligatures w14:val="none"/>
        </w:rPr>
        <w:t>eGFR&lt;30 ml/min/1.73 m</w:t>
      </w:r>
      <w:r w:rsidRPr="00305CCD">
        <w:rPr>
          <w:rFonts w:ascii="Times New Roman" w:eastAsia="等线" w:hAnsi="Times New Roman" w:cs="Times New Roman"/>
          <w:sz w:val="24"/>
          <w:vertAlign w:val="superscript"/>
          <w14:ligatures w14:val="none"/>
        </w:rPr>
        <w:t>2</w:t>
      </w:r>
      <w:r w:rsidRPr="00305CCD">
        <w:rPr>
          <w:rFonts w:ascii="Times New Roman" w:eastAsia="等线" w:hAnsi="Times New Roman" w:cs="Times New Roman"/>
          <w:sz w:val="24"/>
          <w14:ligatures w14:val="none"/>
        </w:rPr>
        <w:t xml:space="preserve"> , eGFR 30-60 ml/min/1.73 m</w:t>
      </w:r>
      <w:r w:rsidRPr="00305CCD">
        <w:rPr>
          <w:rFonts w:ascii="Times New Roman" w:eastAsia="等线" w:hAnsi="Times New Roman" w:cs="Times New Roman"/>
          <w:sz w:val="24"/>
          <w:vertAlign w:val="superscript"/>
          <w14:ligatures w14:val="none"/>
        </w:rPr>
        <w:t xml:space="preserve">2 </w:t>
      </w:r>
      <w:r w:rsidRPr="00305CCD">
        <w:rPr>
          <w:rFonts w:ascii="Times New Roman" w:eastAsia="等线" w:hAnsi="Times New Roman" w:cs="Times New Roman"/>
          <w:sz w:val="24"/>
          <w14:ligatures w14:val="none"/>
        </w:rPr>
        <w:t>,eGFR 60-90 ml/min/1.73 m</w:t>
      </w:r>
      <w:r w:rsidRPr="00305CCD">
        <w:rPr>
          <w:rFonts w:ascii="Times New Roman" w:eastAsia="等线" w:hAnsi="Times New Roman" w:cs="Times New Roman"/>
          <w:sz w:val="24"/>
          <w:vertAlign w:val="superscript"/>
          <w14:ligatures w14:val="none"/>
        </w:rPr>
        <w:t xml:space="preserve">2 </w:t>
      </w:r>
      <w:r w:rsidRPr="00305CCD">
        <w:rPr>
          <w:rFonts w:ascii="Times New Roman" w:eastAsia="等线" w:hAnsi="Times New Roman" w:cs="Times New Roman"/>
          <w:sz w:val="24"/>
          <w14:ligatures w14:val="none"/>
        </w:rPr>
        <w:t>, eGFR</w:t>
      </w:r>
      <w:r w:rsidRPr="00305CCD">
        <w:rPr>
          <w:rFonts w:ascii="Times New Roman" w:eastAsia="等线" w:hAnsi="Times New Roman" w:cs="Times New Roman"/>
          <w:sz w:val="24"/>
          <w14:ligatures w14:val="none"/>
        </w:rPr>
        <w:sym w:font="Symbol" w:char="F0B3"/>
      </w:r>
      <w:r w:rsidRPr="00305CCD">
        <w:rPr>
          <w:rFonts w:ascii="Times New Roman" w:eastAsia="等线" w:hAnsi="Times New Roman" w:cs="Times New Roman"/>
          <w:sz w:val="24"/>
          <w14:ligatures w14:val="none"/>
        </w:rPr>
        <w:t>90 ml/min/1.73 m</w:t>
      </w:r>
      <w:r w:rsidRPr="00305CCD">
        <w:rPr>
          <w:rFonts w:ascii="Times New Roman" w:eastAsia="等线" w:hAnsi="Times New Roman" w:cs="Times New Roman"/>
          <w:sz w:val="24"/>
          <w:vertAlign w:val="superscript"/>
          <w14:ligatures w14:val="none"/>
        </w:rPr>
        <w:t>2</w:t>
      </w:r>
      <w:bookmarkEnd w:id="2"/>
      <w:r w:rsidRPr="00305CCD">
        <w:rPr>
          <w:rFonts w:ascii="Times New Roman" w:eastAsia="等线" w:hAnsi="Times New Roman" w:cs="Times New Roman"/>
          <w:sz w:val="24"/>
          <w14:ligatures w14:val="none"/>
        </w:rPr>
        <w:t xml:space="preserve"> </w:t>
      </w:r>
    </w:p>
    <w:p w14:paraId="64C681E7" w14:textId="77777777" w:rsidR="00305CCD" w:rsidRPr="00305CCD" w:rsidRDefault="00305CCD" w:rsidP="00305CCD">
      <w:pPr>
        <w:spacing w:after="0" w:line="360" w:lineRule="auto"/>
        <w:jc w:val="both"/>
        <w:rPr>
          <w:rFonts w:ascii="Times New Roman" w:eastAsia="等线" w:hAnsi="Times New Roman" w:cs="Times New Roman"/>
          <w:sz w:val="24"/>
          <w:vertAlign w:val="superscript"/>
          <w14:ligatures w14:val="none"/>
        </w:rPr>
      </w:pPr>
      <w:r w:rsidRPr="00305CCD">
        <w:rPr>
          <w:rFonts w:ascii="Times New Roman" w:eastAsia="等线" w:hAnsi="Times New Roman" w:cs="Times New Roman"/>
          <w:b/>
          <w:bCs/>
          <w:sz w:val="24"/>
          <w14:ligatures w14:val="none"/>
        </w:rPr>
        <w:t>Supplement figure 2.</w:t>
      </w:r>
      <w:r w:rsidRPr="00305CCD">
        <w:rPr>
          <w:rFonts w:ascii="Times New Roman" w:eastAsia="等线" w:hAnsi="Times New Roman" w:cs="Times New Roman"/>
          <w:sz w:val="24"/>
          <w14:ligatures w14:val="none"/>
        </w:rPr>
        <w:t xml:space="preserve"> Association between admission serum phosphate level and occurrence of AKI 2-3 stage in patients with eGFR&lt;30 ml/min/1.73 m</w:t>
      </w:r>
      <w:r w:rsidRPr="00305CCD">
        <w:rPr>
          <w:rFonts w:ascii="Times New Roman" w:eastAsia="等线" w:hAnsi="Times New Roman" w:cs="Times New Roman"/>
          <w:sz w:val="24"/>
          <w:vertAlign w:val="superscript"/>
          <w14:ligatures w14:val="none"/>
        </w:rPr>
        <w:t>2</w:t>
      </w:r>
      <w:r w:rsidRPr="00305CCD">
        <w:rPr>
          <w:rFonts w:ascii="Times New Roman" w:eastAsia="等线" w:hAnsi="Times New Roman" w:cs="Times New Roman"/>
          <w:sz w:val="24"/>
          <w14:ligatures w14:val="none"/>
        </w:rPr>
        <w:t xml:space="preserve"> , eGFR 30-60 ml/min/1.73 m</w:t>
      </w:r>
      <w:r w:rsidRPr="00305CCD">
        <w:rPr>
          <w:rFonts w:ascii="Times New Roman" w:eastAsia="等线" w:hAnsi="Times New Roman" w:cs="Times New Roman"/>
          <w:sz w:val="24"/>
          <w:vertAlign w:val="superscript"/>
          <w14:ligatures w14:val="none"/>
        </w:rPr>
        <w:t xml:space="preserve">2 </w:t>
      </w:r>
      <w:r w:rsidRPr="00305CCD">
        <w:rPr>
          <w:rFonts w:ascii="Times New Roman" w:eastAsia="等线" w:hAnsi="Times New Roman" w:cs="Times New Roman"/>
          <w:sz w:val="24"/>
          <w14:ligatures w14:val="none"/>
        </w:rPr>
        <w:t>,eGFR 60-90 ml/min/1.73 m</w:t>
      </w:r>
      <w:r w:rsidRPr="00305CCD">
        <w:rPr>
          <w:rFonts w:ascii="Times New Roman" w:eastAsia="等线" w:hAnsi="Times New Roman" w:cs="Times New Roman"/>
          <w:sz w:val="24"/>
          <w:vertAlign w:val="superscript"/>
          <w14:ligatures w14:val="none"/>
        </w:rPr>
        <w:t xml:space="preserve">2 </w:t>
      </w:r>
      <w:r w:rsidRPr="00305CCD">
        <w:rPr>
          <w:rFonts w:ascii="Times New Roman" w:eastAsia="等线" w:hAnsi="Times New Roman" w:cs="Times New Roman"/>
          <w:sz w:val="24"/>
          <w14:ligatures w14:val="none"/>
        </w:rPr>
        <w:t>, eGFR</w:t>
      </w:r>
      <w:r w:rsidRPr="00305CCD">
        <w:rPr>
          <w:rFonts w:ascii="Times New Roman" w:eastAsia="等线" w:hAnsi="Times New Roman" w:cs="Times New Roman"/>
          <w:sz w:val="24"/>
          <w14:ligatures w14:val="none"/>
        </w:rPr>
        <w:sym w:font="Symbol" w:char="F0B3"/>
      </w:r>
      <w:r w:rsidRPr="00305CCD">
        <w:rPr>
          <w:rFonts w:ascii="Times New Roman" w:eastAsia="等线" w:hAnsi="Times New Roman" w:cs="Times New Roman"/>
          <w:sz w:val="24"/>
          <w14:ligatures w14:val="none"/>
        </w:rPr>
        <w:t>90 ml/min/1.73 m</w:t>
      </w:r>
      <w:r w:rsidRPr="00305CCD">
        <w:rPr>
          <w:rFonts w:ascii="Times New Roman" w:eastAsia="等线" w:hAnsi="Times New Roman" w:cs="Times New Roman"/>
          <w:sz w:val="24"/>
          <w:vertAlign w:val="superscript"/>
          <w14:ligatures w14:val="none"/>
        </w:rPr>
        <w:t>2</w:t>
      </w:r>
    </w:p>
    <w:p w14:paraId="2E726D8F" w14:textId="77777777" w:rsidR="00305CCD" w:rsidRPr="00305CCD" w:rsidRDefault="00305CCD" w:rsidP="00305CCD">
      <w:pPr>
        <w:spacing w:after="0" w:line="360" w:lineRule="auto"/>
        <w:jc w:val="both"/>
        <w:rPr>
          <w:rFonts w:ascii="Times New Roman" w:eastAsia="等线" w:hAnsi="Times New Roman" w:cs="Times New Roman"/>
          <w:sz w:val="24"/>
          <w:vertAlign w:val="superscript"/>
          <w14:ligatures w14:val="none"/>
        </w:rPr>
      </w:pPr>
      <w:r w:rsidRPr="00305CCD">
        <w:rPr>
          <w:rFonts w:ascii="Times New Roman" w:eastAsia="等线" w:hAnsi="Times New Roman" w:cs="Times New Roman"/>
          <w:b/>
          <w:bCs/>
          <w:sz w:val="24"/>
          <w14:ligatures w14:val="none"/>
        </w:rPr>
        <w:t xml:space="preserve">Supplement figure 3. </w:t>
      </w:r>
      <w:r w:rsidRPr="00305CCD">
        <w:rPr>
          <w:rFonts w:ascii="Times New Roman" w:eastAsia="等线" w:hAnsi="Times New Roman" w:cs="Times New Roman"/>
          <w:sz w:val="24"/>
          <w14:ligatures w14:val="none"/>
        </w:rPr>
        <w:t>Association between admission serum phosphate level and in hospital mortality in patients with eGFR&lt;30 ml/min/1.73 m</w:t>
      </w:r>
      <w:r w:rsidRPr="00305CCD">
        <w:rPr>
          <w:rFonts w:ascii="Times New Roman" w:eastAsia="等线" w:hAnsi="Times New Roman" w:cs="Times New Roman"/>
          <w:sz w:val="24"/>
          <w:vertAlign w:val="superscript"/>
          <w14:ligatures w14:val="none"/>
        </w:rPr>
        <w:t>2</w:t>
      </w:r>
      <w:r w:rsidRPr="00305CCD">
        <w:rPr>
          <w:rFonts w:ascii="Times New Roman" w:eastAsia="等线" w:hAnsi="Times New Roman" w:cs="Times New Roman"/>
          <w:sz w:val="24"/>
          <w14:ligatures w14:val="none"/>
        </w:rPr>
        <w:t xml:space="preserve"> , eGFR 30-60 ml/min/1.73 m</w:t>
      </w:r>
      <w:r w:rsidRPr="00305CCD">
        <w:rPr>
          <w:rFonts w:ascii="Times New Roman" w:eastAsia="等线" w:hAnsi="Times New Roman" w:cs="Times New Roman"/>
          <w:sz w:val="24"/>
          <w:vertAlign w:val="superscript"/>
          <w14:ligatures w14:val="none"/>
        </w:rPr>
        <w:t xml:space="preserve">2 </w:t>
      </w:r>
      <w:r w:rsidRPr="00305CCD">
        <w:rPr>
          <w:rFonts w:ascii="Times New Roman" w:eastAsia="等线" w:hAnsi="Times New Roman" w:cs="Times New Roman"/>
          <w:sz w:val="24"/>
          <w14:ligatures w14:val="none"/>
        </w:rPr>
        <w:t>,eGFR 60-90 ml/min/1.73 m</w:t>
      </w:r>
      <w:r w:rsidRPr="00305CCD">
        <w:rPr>
          <w:rFonts w:ascii="Times New Roman" w:eastAsia="等线" w:hAnsi="Times New Roman" w:cs="Times New Roman"/>
          <w:sz w:val="24"/>
          <w:vertAlign w:val="superscript"/>
          <w14:ligatures w14:val="none"/>
        </w:rPr>
        <w:t xml:space="preserve">2 </w:t>
      </w:r>
      <w:r w:rsidRPr="00305CCD">
        <w:rPr>
          <w:rFonts w:ascii="Times New Roman" w:eastAsia="等线" w:hAnsi="Times New Roman" w:cs="Times New Roman"/>
          <w:sz w:val="24"/>
          <w14:ligatures w14:val="none"/>
        </w:rPr>
        <w:t>, eGFR</w:t>
      </w:r>
      <w:r w:rsidRPr="00305CCD">
        <w:rPr>
          <w:rFonts w:ascii="Times New Roman" w:eastAsia="等线" w:hAnsi="Times New Roman" w:cs="Times New Roman"/>
          <w:sz w:val="24"/>
          <w14:ligatures w14:val="none"/>
        </w:rPr>
        <w:sym w:font="Symbol" w:char="F0B3"/>
      </w:r>
      <w:r w:rsidRPr="00305CCD">
        <w:rPr>
          <w:rFonts w:ascii="Times New Roman" w:eastAsia="等线" w:hAnsi="Times New Roman" w:cs="Times New Roman"/>
          <w:sz w:val="24"/>
          <w14:ligatures w14:val="none"/>
        </w:rPr>
        <w:t>90 ml/min/1.73 m</w:t>
      </w:r>
      <w:r w:rsidRPr="00305CCD">
        <w:rPr>
          <w:rFonts w:ascii="Times New Roman" w:eastAsia="等线" w:hAnsi="Times New Roman" w:cs="Times New Roman"/>
          <w:sz w:val="24"/>
          <w:vertAlign w:val="superscript"/>
          <w14:ligatures w14:val="none"/>
        </w:rPr>
        <w:t>2</w:t>
      </w:r>
    </w:p>
    <w:p w14:paraId="76E1DD57" w14:textId="77777777" w:rsidR="00305CCD" w:rsidRPr="00305CCD" w:rsidRDefault="00305CCD" w:rsidP="00305CCD">
      <w:pPr>
        <w:spacing w:after="0" w:line="360" w:lineRule="auto"/>
        <w:jc w:val="both"/>
        <w:rPr>
          <w:rFonts w:ascii="Times New Roman" w:eastAsia="等线" w:hAnsi="Times New Roman" w:cs="Times New Roman"/>
          <w:sz w:val="24"/>
          <w:vertAlign w:val="superscript"/>
          <w14:ligatures w14:val="none"/>
        </w:rPr>
      </w:pPr>
      <w:r w:rsidRPr="00305CCD">
        <w:rPr>
          <w:rFonts w:ascii="Times New Roman" w:eastAsia="等线" w:hAnsi="Times New Roman" w:cs="Times New Roman"/>
          <w:b/>
          <w:bCs/>
          <w:sz w:val="24"/>
          <w14:ligatures w14:val="none"/>
        </w:rPr>
        <w:t>Supplement figure 4.</w:t>
      </w:r>
      <w:r w:rsidRPr="00305CCD">
        <w:rPr>
          <w:rFonts w:ascii="Times New Roman" w:eastAsia="等线" w:hAnsi="Times New Roman" w:cs="Times New Roman"/>
          <w:sz w:val="24"/>
          <w14:ligatures w14:val="none"/>
        </w:rPr>
        <w:t xml:space="preserve"> Association between admission serum phosphate level and acute kidney injury non-recovery with </w:t>
      </w:r>
      <w:bookmarkEnd w:id="1"/>
      <w:r w:rsidRPr="00305CCD">
        <w:rPr>
          <w:rFonts w:ascii="Times New Roman" w:eastAsia="等线" w:hAnsi="Times New Roman" w:cs="Times New Roman"/>
          <w:sz w:val="24"/>
          <w14:ligatures w14:val="none"/>
        </w:rPr>
        <w:t>eGFR&lt;30 ml/min/1.73 m</w:t>
      </w:r>
      <w:r w:rsidRPr="00305CCD">
        <w:rPr>
          <w:rFonts w:ascii="Times New Roman" w:eastAsia="等线" w:hAnsi="Times New Roman" w:cs="Times New Roman"/>
          <w:sz w:val="24"/>
          <w:vertAlign w:val="superscript"/>
          <w14:ligatures w14:val="none"/>
        </w:rPr>
        <w:t>2</w:t>
      </w:r>
      <w:r w:rsidRPr="00305CCD">
        <w:rPr>
          <w:rFonts w:ascii="Times New Roman" w:eastAsia="等线" w:hAnsi="Times New Roman" w:cs="Times New Roman"/>
          <w:sz w:val="24"/>
          <w14:ligatures w14:val="none"/>
        </w:rPr>
        <w:t xml:space="preserve"> , eGFR 30-60 ml/min/1.73 m</w:t>
      </w:r>
      <w:r w:rsidRPr="00305CCD">
        <w:rPr>
          <w:rFonts w:ascii="Times New Roman" w:eastAsia="等线" w:hAnsi="Times New Roman" w:cs="Times New Roman"/>
          <w:sz w:val="24"/>
          <w:vertAlign w:val="superscript"/>
          <w14:ligatures w14:val="none"/>
        </w:rPr>
        <w:t xml:space="preserve">2 </w:t>
      </w:r>
      <w:r w:rsidRPr="00305CCD">
        <w:rPr>
          <w:rFonts w:ascii="Times New Roman" w:eastAsia="等线" w:hAnsi="Times New Roman" w:cs="Times New Roman"/>
          <w:sz w:val="24"/>
          <w14:ligatures w14:val="none"/>
        </w:rPr>
        <w:t>,eGFR 60-90 ml/min/1.73 m</w:t>
      </w:r>
      <w:r w:rsidRPr="00305CCD">
        <w:rPr>
          <w:rFonts w:ascii="Times New Roman" w:eastAsia="等线" w:hAnsi="Times New Roman" w:cs="Times New Roman"/>
          <w:sz w:val="24"/>
          <w:vertAlign w:val="superscript"/>
          <w14:ligatures w14:val="none"/>
        </w:rPr>
        <w:t xml:space="preserve">2 </w:t>
      </w:r>
      <w:r w:rsidRPr="00305CCD">
        <w:rPr>
          <w:rFonts w:ascii="Times New Roman" w:eastAsia="等线" w:hAnsi="Times New Roman" w:cs="Times New Roman"/>
          <w:sz w:val="24"/>
          <w14:ligatures w14:val="none"/>
        </w:rPr>
        <w:t>, eGFR</w:t>
      </w:r>
      <w:r w:rsidRPr="00305CCD">
        <w:rPr>
          <w:rFonts w:ascii="Times New Roman" w:eastAsia="等线" w:hAnsi="Times New Roman" w:cs="Times New Roman"/>
          <w:sz w:val="24"/>
          <w14:ligatures w14:val="none"/>
        </w:rPr>
        <w:sym w:font="Symbol" w:char="F0B3"/>
      </w:r>
      <w:r w:rsidRPr="00305CCD">
        <w:rPr>
          <w:rFonts w:ascii="Times New Roman" w:eastAsia="等线" w:hAnsi="Times New Roman" w:cs="Times New Roman"/>
          <w:sz w:val="24"/>
          <w14:ligatures w14:val="none"/>
        </w:rPr>
        <w:t>90 ml/min/1.73 m</w:t>
      </w:r>
      <w:r w:rsidRPr="00305CCD">
        <w:rPr>
          <w:rFonts w:ascii="Times New Roman" w:eastAsia="等线" w:hAnsi="Times New Roman" w:cs="Times New Roman"/>
          <w:sz w:val="24"/>
          <w:vertAlign w:val="superscript"/>
          <w14:ligatures w14:val="none"/>
        </w:rPr>
        <w:t>2</w:t>
      </w:r>
    </w:p>
    <w:p w14:paraId="51F53D01"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 xml:space="preserve">Supplement figure 5. </w:t>
      </w:r>
      <w:r w:rsidRPr="00305CCD">
        <w:rPr>
          <w:rFonts w:ascii="Times New Roman" w:eastAsia="等线" w:hAnsi="Times New Roman" w:cs="Times New Roman"/>
          <w:sz w:val="24"/>
          <w14:ligatures w14:val="none"/>
        </w:rPr>
        <w:t xml:space="preserve">Association between admission serum phosphate level and in hospital acute kidney injury occurrence in patients without </w:t>
      </w:r>
      <w:r w:rsidRPr="00305CCD">
        <w:rPr>
          <w:rFonts w:ascii="Times New Roman" w:eastAsia="等线" w:hAnsi="Times New Roman" w:cs="Times New Roman"/>
          <w:sz w:val="24"/>
          <w14:ligatures w14:val="none"/>
        </w:rPr>
        <w:lastRenderedPageBreak/>
        <w:t>tubulointerstitial disease</w:t>
      </w:r>
    </w:p>
    <w:p w14:paraId="48322681"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Supplement figure 6.</w:t>
      </w:r>
      <w:r w:rsidRPr="00305CCD">
        <w:rPr>
          <w:rFonts w:ascii="Times New Roman" w:eastAsia="等线" w:hAnsi="Times New Roman" w:cs="Times New Roman"/>
          <w:sz w:val="24"/>
          <w14:ligatures w14:val="none"/>
        </w:rPr>
        <w:t xml:space="preserve"> Association between admission serum phosphate level and occurrence of AKI 2-3 stage in patients without tubulointerstitial disease</w:t>
      </w:r>
    </w:p>
    <w:p w14:paraId="46FC0638"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 xml:space="preserve">Supplement figure 7. </w:t>
      </w:r>
      <w:r w:rsidRPr="00305CCD">
        <w:rPr>
          <w:rFonts w:ascii="Times New Roman" w:eastAsia="等线" w:hAnsi="Times New Roman" w:cs="Times New Roman"/>
          <w:sz w:val="24"/>
          <w14:ligatures w14:val="none"/>
        </w:rPr>
        <w:t>Association between admission serum phosphate level and in hospital mortality in patients without tubulointerstitial disease</w:t>
      </w:r>
    </w:p>
    <w:p w14:paraId="784E91BE" w14:textId="4D8766A3" w:rsidR="00CC053D" w:rsidRDefault="00305CCD" w:rsidP="00305CCD">
      <w:pPr>
        <w:rPr>
          <w:rFonts w:ascii="Times New Roman" w:eastAsia="等线" w:hAnsi="Times New Roman" w:cs="Times New Roman"/>
          <w:sz w:val="24"/>
          <w14:ligatures w14:val="none"/>
        </w:rPr>
      </w:pPr>
      <w:r w:rsidRPr="00305CCD">
        <w:rPr>
          <w:rFonts w:ascii="Times New Roman" w:eastAsia="等线" w:hAnsi="Times New Roman" w:cs="Times New Roman"/>
          <w:b/>
          <w:bCs/>
          <w:sz w:val="24"/>
          <w14:ligatures w14:val="none"/>
        </w:rPr>
        <w:t>Supplement figure 8.</w:t>
      </w:r>
      <w:r w:rsidRPr="00305CCD">
        <w:rPr>
          <w:rFonts w:ascii="Times New Roman" w:eastAsia="等线" w:hAnsi="Times New Roman" w:cs="Times New Roman"/>
          <w:sz w:val="24"/>
          <w14:ligatures w14:val="none"/>
        </w:rPr>
        <w:t xml:space="preserve"> Association between admission serum phosphate level and acute kidney injury non-recovery in patients without tubulointerstitial disease</w:t>
      </w:r>
    </w:p>
    <w:p w14:paraId="58BC9FAA" w14:textId="77777777" w:rsidR="00305CCD" w:rsidRDefault="00305CCD" w:rsidP="00305CCD">
      <w:pPr>
        <w:rPr>
          <w:rFonts w:ascii="Times New Roman" w:eastAsia="等线" w:hAnsi="Times New Roman" w:cs="Times New Roman"/>
          <w:sz w:val="24"/>
          <w14:ligatures w14:val="none"/>
        </w:rPr>
      </w:pPr>
    </w:p>
    <w:p w14:paraId="398F9E37" w14:textId="77777777" w:rsidR="00305CCD" w:rsidRDefault="00305CCD" w:rsidP="00305CCD">
      <w:pPr>
        <w:rPr>
          <w:rFonts w:ascii="Times New Roman" w:eastAsia="等线" w:hAnsi="Times New Roman" w:cs="Times New Roman"/>
          <w:sz w:val="24"/>
          <w14:ligatures w14:val="none"/>
        </w:rPr>
      </w:pPr>
    </w:p>
    <w:p w14:paraId="2FD96541" w14:textId="77777777" w:rsidR="00305CCD" w:rsidRDefault="00305CCD" w:rsidP="00305CCD">
      <w:pPr>
        <w:rPr>
          <w:rFonts w:ascii="Times New Roman" w:eastAsia="等线" w:hAnsi="Times New Roman" w:cs="Times New Roman"/>
          <w:sz w:val="24"/>
          <w14:ligatures w14:val="none"/>
        </w:rPr>
      </w:pPr>
    </w:p>
    <w:p w14:paraId="36B3F632" w14:textId="77777777" w:rsidR="00305CCD" w:rsidRDefault="00305CCD" w:rsidP="00305CCD">
      <w:pPr>
        <w:rPr>
          <w:rFonts w:ascii="Times New Roman" w:eastAsia="等线" w:hAnsi="Times New Roman" w:cs="Times New Roman"/>
          <w:sz w:val="24"/>
          <w14:ligatures w14:val="none"/>
        </w:rPr>
      </w:pPr>
    </w:p>
    <w:p w14:paraId="4FDB5C80" w14:textId="77777777" w:rsidR="00305CCD" w:rsidRDefault="00305CCD" w:rsidP="00305CCD">
      <w:pPr>
        <w:rPr>
          <w:rFonts w:ascii="Times New Roman" w:eastAsia="等线" w:hAnsi="Times New Roman" w:cs="Times New Roman"/>
          <w:sz w:val="24"/>
          <w14:ligatures w14:val="none"/>
        </w:rPr>
      </w:pPr>
    </w:p>
    <w:p w14:paraId="0324E77C" w14:textId="77777777" w:rsidR="00305CCD" w:rsidRDefault="00305CCD" w:rsidP="00305CCD">
      <w:pPr>
        <w:rPr>
          <w:rFonts w:ascii="Times New Roman" w:eastAsia="等线" w:hAnsi="Times New Roman" w:cs="Times New Roman"/>
          <w:sz w:val="24"/>
          <w14:ligatures w14:val="none"/>
        </w:rPr>
      </w:pPr>
    </w:p>
    <w:p w14:paraId="2AFA1E9D" w14:textId="77777777" w:rsidR="00305CCD" w:rsidRDefault="00305CCD" w:rsidP="00305CCD">
      <w:pPr>
        <w:rPr>
          <w:rFonts w:ascii="Times New Roman" w:eastAsia="等线" w:hAnsi="Times New Roman" w:cs="Times New Roman"/>
          <w:sz w:val="24"/>
          <w14:ligatures w14:val="none"/>
        </w:rPr>
      </w:pPr>
    </w:p>
    <w:p w14:paraId="22641CA2" w14:textId="77777777" w:rsidR="00305CCD" w:rsidRDefault="00305CCD" w:rsidP="00305CCD">
      <w:pPr>
        <w:rPr>
          <w:rFonts w:ascii="Times New Roman" w:eastAsia="等线" w:hAnsi="Times New Roman" w:cs="Times New Roman"/>
          <w:sz w:val="24"/>
          <w14:ligatures w14:val="none"/>
        </w:rPr>
      </w:pPr>
    </w:p>
    <w:p w14:paraId="430109A5" w14:textId="77777777" w:rsidR="00305CCD" w:rsidRDefault="00305CCD" w:rsidP="00305CCD">
      <w:pPr>
        <w:rPr>
          <w:rFonts w:ascii="Times New Roman" w:eastAsia="等线" w:hAnsi="Times New Roman" w:cs="Times New Roman"/>
          <w:sz w:val="24"/>
          <w14:ligatures w14:val="none"/>
        </w:rPr>
      </w:pPr>
    </w:p>
    <w:p w14:paraId="1F9FDEC8" w14:textId="77777777" w:rsidR="00305CCD" w:rsidRDefault="00305CCD" w:rsidP="00305CCD">
      <w:pPr>
        <w:rPr>
          <w:rFonts w:ascii="Times New Roman" w:eastAsia="等线" w:hAnsi="Times New Roman" w:cs="Times New Roman"/>
          <w:sz w:val="24"/>
          <w14:ligatures w14:val="none"/>
        </w:rPr>
      </w:pPr>
    </w:p>
    <w:p w14:paraId="5017CAE6" w14:textId="77777777" w:rsidR="00305CCD" w:rsidRDefault="00305CCD" w:rsidP="00305CCD">
      <w:pPr>
        <w:rPr>
          <w:rFonts w:ascii="Times New Roman" w:eastAsia="等线" w:hAnsi="Times New Roman" w:cs="Times New Roman"/>
          <w:sz w:val="24"/>
          <w14:ligatures w14:val="none"/>
        </w:rPr>
      </w:pPr>
    </w:p>
    <w:p w14:paraId="292506BF" w14:textId="77777777" w:rsidR="00305CCD" w:rsidRDefault="00305CCD" w:rsidP="00305CCD">
      <w:pPr>
        <w:rPr>
          <w:rFonts w:ascii="Times New Roman" w:eastAsia="等线" w:hAnsi="Times New Roman" w:cs="Times New Roman"/>
          <w:sz w:val="24"/>
          <w14:ligatures w14:val="none"/>
        </w:rPr>
      </w:pPr>
    </w:p>
    <w:p w14:paraId="3B6612BB" w14:textId="77777777" w:rsidR="00305CCD" w:rsidRDefault="00305CCD" w:rsidP="00305CCD">
      <w:pPr>
        <w:rPr>
          <w:rFonts w:ascii="Times New Roman" w:eastAsia="等线" w:hAnsi="Times New Roman" w:cs="Times New Roman"/>
          <w:sz w:val="24"/>
          <w14:ligatures w14:val="none"/>
        </w:rPr>
      </w:pPr>
    </w:p>
    <w:p w14:paraId="74E235BD" w14:textId="77777777" w:rsidR="00305CCD" w:rsidRDefault="00305CCD" w:rsidP="00305CCD">
      <w:pPr>
        <w:rPr>
          <w:rFonts w:ascii="Times New Roman" w:eastAsia="等线" w:hAnsi="Times New Roman" w:cs="Times New Roman"/>
          <w:sz w:val="24"/>
          <w14:ligatures w14:val="none"/>
        </w:rPr>
      </w:pPr>
    </w:p>
    <w:p w14:paraId="6C729E88" w14:textId="77777777" w:rsidR="00305CCD" w:rsidRDefault="00305CCD" w:rsidP="00305CCD">
      <w:pPr>
        <w:rPr>
          <w:rFonts w:ascii="Times New Roman" w:eastAsia="等线" w:hAnsi="Times New Roman" w:cs="Times New Roman"/>
          <w:sz w:val="24"/>
          <w14:ligatures w14:val="none"/>
        </w:rPr>
      </w:pPr>
    </w:p>
    <w:p w14:paraId="0DDC050D" w14:textId="77777777" w:rsidR="00305CCD" w:rsidRDefault="00305CCD" w:rsidP="00305CCD">
      <w:pPr>
        <w:rPr>
          <w:rFonts w:ascii="Times New Roman" w:eastAsia="等线" w:hAnsi="Times New Roman" w:cs="Times New Roman"/>
          <w:sz w:val="24"/>
          <w14:ligatures w14:val="none"/>
        </w:rPr>
      </w:pPr>
    </w:p>
    <w:p w14:paraId="284AD366" w14:textId="77777777" w:rsidR="00305CCD" w:rsidRDefault="00305CCD" w:rsidP="00305CCD">
      <w:pPr>
        <w:rPr>
          <w:rFonts w:ascii="Times New Roman" w:eastAsia="等线" w:hAnsi="Times New Roman" w:cs="Times New Roman"/>
          <w:sz w:val="24"/>
          <w14:ligatures w14:val="none"/>
        </w:rPr>
      </w:pPr>
    </w:p>
    <w:p w14:paraId="6DE91426" w14:textId="77777777" w:rsidR="00305CCD" w:rsidRDefault="00305CCD" w:rsidP="00305CCD">
      <w:pPr>
        <w:rPr>
          <w:rFonts w:ascii="Times New Roman" w:eastAsia="等线" w:hAnsi="Times New Roman" w:cs="Times New Roman"/>
          <w:sz w:val="24"/>
          <w14:ligatures w14:val="none"/>
        </w:rPr>
      </w:pPr>
    </w:p>
    <w:p w14:paraId="7E6551F5" w14:textId="77777777" w:rsidR="00305CCD" w:rsidRDefault="00305CCD" w:rsidP="00305CCD">
      <w:pPr>
        <w:rPr>
          <w:rFonts w:ascii="Times New Roman" w:eastAsia="等线" w:hAnsi="Times New Roman" w:cs="Times New Roman"/>
          <w:sz w:val="24"/>
          <w14:ligatures w14:val="none"/>
        </w:rPr>
      </w:pPr>
    </w:p>
    <w:p w14:paraId="550709D4" w14:textId="77777777" w:rsidR="00305CCD" w:rsidRDefault="00305CCD" w:rsidP="00305CCD">
      <w:pPr>
        <w:rPr>
          <w:rFonts w:ascii="Times New Roman" w:eastAsia="等线" w:hAnsi="Times New Roman" w:cs="Times New Roman"/>
          <w:sz w:val="24"/>
          <w14:ligatures w14:val="none"/>
        </w:rPr>
      </w:pPr>
    </w:p>
    <w:p w14:paraId="4497BF04" w14:textId="77777777" w:rsidR="00305CCD" w:rsidRDefault="00305CCD" w:rsidP="00305CCD">
      <w:pPr>
        <w:rPr>
          <w:rFonts w:ascii="Times New Roman" w:eastAsia="等线" w:hAnsi="Times New Roman" w:cs="Times New Roman"/>
          <w:sz w:val="24"/>
          <w14:ligatures w14:val="none"/>
        </w:rPr>
      </w:pPr>
    </w:p>
    <w:p w14:paraId="7B6272EA" w14:textId="77777777" w:rsidR="00305CCD" w:rsidRPr="00305CCD" w:rsidRDefault="00305CCD" w:rsidP="00305CCD">
      <w:pPr>
        <w:spacing w:after="0" w:line="360" w:lineRule="auto"/>
        <w:jc w:val="center"/>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t xml:space="preserve">Supplement table 1. </w:t>
      </w:r>
      <w:r w:rsidRPr="00305CCD">
        <w:rPr>
          <w:rFonts w:ascii="Times New Roman" w:eastAsia="等线" w:hAnsi="Times New Roman" w:cs="Times New Roman"/>
          <w:sz w:val="21"/>
          <w:szCs w:val="21"/>
          <w14:ligatures w14:val="none"/>
        </w:rPr>
        <w:t>Association between admission serum phosphate levels and acute kidney injury non-recovery</w:t>
      </w:r>
    </w:p>
    <w:tbl>
      <w:tblPr>
        <w:tblStyle w:val="af2"/>
        <w:tblW w:w="1189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1511"/>
        <w:gridCol w:w="1610"/>
        <w:gridCol w:w="1511"/>
        <w:gridCol w:w="1511"/>
        <w:gridCol w:w="1728"/>
        <w:gridCol w:w="1728"/>
      </w:tblGrid>
      <w:tr w:rsidR="00305CCD" w:rsidRPr="00305CCD" w14:paraId="20BC2D54" w14:textId="77777777" w:rsidTr="00554E82">
        <w:trPr>
          <w:trHeight w:val="310"/>
          <w:jc w:val="center"/>
        </w:trPr>
        <w:tc>
          <w:tcPr>
            <w:tcW w:w="2300" w:type="dxa"/>
            <w:vMerge w:val="restart"/>
            <w:tcBorders>
              <w:top w:val="single" w:sz="4" w:space="0" w:color="auto"/>
            </w:tcBorders>
          </w:tcPr>
          <w:p w14:paraId="0ADF7538"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Admission serum phosphate level(mmol/L)</w:t>
            </w:r>
          </w:p>
        </w:tc>
        <w:tc>
          <w:tcPr>
            <w:tcW w:w="4632" w:type="dxa"/>
            <w:gridSpan w:val="3"/>
            <w:tcBorders>
              <w:top w:val="single" w:sz="4" w:space="0" w:color="auto"/>
              <w:bottom w:val="single" w:sz="4" w:space="0" w:color="auto"/>
            </w:tcBorders>
          </w:tcPr>
          <w:p w14:paraId="39A0A2B6" w14:textId="77777777" w:rsidR="00305CCD" w:rsidRPr="00305CCD" w:rsidRDefault="00305CCD" w:rsidP="00305CCD">
            <w:pPr>
              <w:spacing w:line="360" w:lineRule="auto"/>
              <w:jc w:val="center"/>
              <w:rPr>
                <w:rFonts w:ascii="Times New Roman" w:eastAsia="等线" w:hAnsi="Times New Roman" w:cs="Times New Roman"/>
                <w:szCs w:val="21"/>
              </w:rPr>
            </w:pPr>
            <w:r w:rsidRPr="00305CCD">
              <w:rPr>
                <w:rFonts w:ascii="Times New Roman" w:eastAsia="等线" w:hAnsi="Times New Roman" w:cs="Times New Roman"/>
                <w:szCs w:val="21"/>
              </w:rPr>
              <w:t>Univariate analysis</w:t>
            </w:r>
          </w:p>
        </w:tc>
        <w:tc>
          <w:tcPr>
            <w:tcW w:w="4967" w:type="dxa"/>
            <w:gridSpan w:val="3"/>
            <w:tcBorders>
              <w:top w:val="single" w:sz="4" w:space="0" w:color="auto"/>
              <w:bottom w:val="single" w:sz="4" w:space="0" w:color="auto"/>
            </w:tcBorders>
          </w:tcPr>
          <w:p w14:paraId="628EF0E3" w14:textId="77777777" w:rsidR="00305CCD" w:rsidRPr="00305CCD" w:rsidRDefault="00305CCD" w:rsidP="00305CCD">
            <w:pPr>
              <w:spacing w:line="360" w:lineRule="auto"/>
              <w:jc w:val="center"/>
              <w:rPr>
                <w:rFonts w:ascii="Times New Roman" w:eastAsia="等线" w:hAnsi="Times New Roman" w:cs="Times New Roman"/>
                <w:szCs w:val="21"/>
              </w:rPr>
            </w:pPr>
            <w:r w:rsidRPr="00305CCD">
              <w:rPr>
                <w:rFonts w:ascii="Times New Roman" w:eastAsia="等线" w:hAnsi="Times New Roman" w:cs="Times New Roman"/>
                <w:szCs w:val="21"/>
              </w:rPr>
              <w:t>Multivariate analysis</w:t>
            </w:r>
          </w:p>
        </w:tc>
      </w:tr>
      <w:tr w:rsidR="00305CCD" w:rsidRPr="00305CCD" w14:paraId="3867E094" w14:textId="77777777" w:rsidTr="00554E82">
        <w:trPr>
          <w:trHeight w:val="310"/>
          <w:jc w:val="center"/>
        </w:trPr>
        <w:tc>
          <w:tcPr>
            <w:tcW w:w="2300" w:type="dxa"/>
            <w:vMerge/>
            <w:tcBorders>
              <w:bottom w:val="single" w:sz="4" w:space="0" w:color="auto"/>
            </w:tcBorders>
          </w:tcPr>
          <w:p w14:paraId="6E23A277"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p>
        </w:tc>
        <w:tc>
          <w:tcPr>
            <w:tcW w:w="1511" w:type="dxa"/>
            <w:tcBorders>
              <w:top w:val="single" w:sz="4" w:space="0" w:color="auto"/>
              <w:bottom w:val="single" w:sz="4" w:space="0" w:color="auto"/>
            </w:tcBorders>
          </w:tcPr>
          <w:p w14:paraId="681C9CD9"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szCs w:val="21"/>
              </w:rPr>
              <w:t>OR(95%CI)</w:t>
            </w:r>
          </w:p>
        </w:tc>
        <w:tc>
          <w:tcPr>
            <w:tcW w:w="1610" w:type="dxa"/>
            <w:tcBorders>
              <w:top w:val="single" w:sz="4" w:space="0" w:color="auto"/>
              <w:bottom w:val="single" w:sz="4" w:space="0" w:color="auto"/>
            </w:tcBorders>
          </w:tcPr>
          <w:p w14:paraId="2CBA2725"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szCs w:val="21"/>
              </w:rPr>
              <w:t>P</w:t>
            </w:r>
          </w:p>
        </w:tc>
        <w:tc>
          <w:tcPr>
            <w:tcW w:w="1511" w:type="dxa"/>
            <w:tcBorders>
              <w:top w:val="single" w:sz="4" w:space="0" w:color="auto"/>
              <w:bottom w:val="single" w:sz="4" w:space="0" w:color="auto"/>
            </w:tcBorders>
          </w:tcPr>
          <w:p w14:paraId="7C7C8902" w14:textId="77777777" w:rsidR="00305CCD" w:rsidRPr="00305CCD" w:rsidRDefault="00305CCD" w:rsidP="00305CCD">
            <w:pPr>
              <w:spacing w:line="360" w:lineRule="auto"/>
              <w:jc w:val="center"/>
              <w:rPr>
                <w:rFonts w:ascii="Times New Roman" w:eastAsia="等线" w:hAnsi="Times New Roman" w:cs="Times New Roman"/>
                <w:szCs w:val="21"/>
              </w:rPr>
            </w:pPr>
            <w:proofErr w:type="spellStart"/>
            <w:r w:rsidRPr="00305CCD">
              <w:rPr>
                <w:rFonts w:ascii="Times New Roman" w:eastAsia="等线" w:hAnsi="Times New Roman" w:cs="Times New Roman"/>
                <w:szCs w:val="21"/>
              </w:rPr>
              <w:t>P.adjust</w:t>
            </w:r>
            <w:proofErr w:type="spellEnd"/>
          </w:p>
        </w:tc>
        <w:tc>
          <w:tcPr>
            <w:tcW w:w="1511" w:type="dxa"/>
            <w:tcBorders>
              <w:top w:val="single" w:sz="4" w:space="0" w:color="auto"/>
              <w:bottom w:val="single" w:sz="4" w:space="0" w:color="auto"/>
            </w:tcBorders>
          </w:tcPr>
          <w:p w14:paraId="50A1185F" w14:textId="77777777" w:rsidR="00305CCD" w:rsidRPr="00305CCD" w:rsidRDefault="00305CCD" w:rsidP="00305CCD">
            <w:pPr>
              <w:spacing w:line="360" w:lineRule="auto"/>
              <w:jc w:val="right"/>
              <w:rPr>
                <w:rFonts w:ascii="Times New Roman" w:eastAsia="等线" w:hAnsi="Times New Roman" w:cs="Times New Roman"/>
                <w:szCs w:val="21"/>
              </w:rPr>
            </w:pPr>
            <w:r w:rsidRPr="00305CCD">
              <w:rPr>
                <w:rFonts w:ascii="Times New Roman" w:eastAsia="等线" w:hAnsi="Times New Roman" w:cs="Times New Roman"/>
                <w:szCs w:val="21"/>
              </w:rPr>
              <w:t>OR(95%CI)</w:t>
            </w:r>
          </w:p>
        </w:tc>
        <w:tc>
          <w:tcPr>
            <w:tcW w:w="1728" w:type="dxa"/>
            <w:tcBorders>
              <w:top w:val="single" w:sz="4" w:space="0" w:color="auto"/>
              <w:bottom w:val="single" w:sz="4" w:space="0" w:color="auto"/>
            </w:tcBorders>
          </w:tcPr>
          <w:p w14:paraId="4F30DE16" w14:textId="77777777" w:rsidR="00305CCD" w:rsidRPr="00305CCD" w:rsidRDefault="00305CCD" w:rsidP="00305CCD">
            <w:pPr>
              <w:spacing w:line="360" w:lineRule="auto"/>
              <w:jc w:val="center"/>
              <w:rPr>
                <w:rFonts w:ascii="Times New Roman" w:eastAsia="等线" w:hAnsi="Times New Roman" w:cs="Times New Roman"/>
                <w:szCs w:val="21"/>
              </w:rPr>
            </w:pPr>
            <w:r w:rsidRPr="00305CCD">
              <w:rPr>
                <w:rFonts w:ascii="Times New Roman" w:eastAsia="等线" w:hAnsi="Times New Roman" w:cs="Times New Roman"/>
                <w:szCs w:val="21"/>
              </w:rPr>
              <w:t>P</w:t>
            </w:r>
          </w:p>
        </w:tc>
        <w:tc>
          <w:tcPr>
            <w:tcW w:w="1728" w:type="dxa"/>
            <w:tcBorders>
              <w:top w:val="single" w:sz="4" w:space="0" w:color="auto"/>
              <w:bottom w:val="single" w:sz="4" w:space="0" w:color="auto"/>
            </w:tcBorders>
          </w:tcPr>
          <w:p w14:paraId="20C4C936" w14:textId="77777777" w:rsidR="00305CCD" w:rsidRPr="00305CCD" w:rsidRDefault="00305CCD" w:rsidP="00305CCD">
            <w:pPr>
              <w:spacing w:line="360" w:lineRule="auto"/>
              <w:jc w:val="center"/>
              <w:rPr>
                <w:rFonts w:ascii="Times New Roman" w:eastAsia="等线" w:hAnsi="Times New Roman" w:cs="Times New Roman"/>
                <w:szCs w:val="21"/>
              </w:rPr>
            </w:pPr>
            <w:proofErr w:type="spellStart"/>
            <w:r w:rsidRPr="00305CCD">
              <w:rPr>
                <w:rFonts w:ascii="Times New Roman" w:eastAsia="等线" w:hAnsi="Times New Roman" w:cs="Times New Roman"/>
                <w:szCs w:val="21"/>
              </w:rPr>
              <w:t>P.adjust</w:t>
            </w:r>
            <w:proofErr w:type="spellEnd"/>
          </w:p>
        </w:tc>
      </w:tr>
      <w:tr w:rsidR="00305CCD" w:rsidRPr="00305CCD" w14:paraId="0BA332D3" w14:textId="77777777" w:rsidTr="00554E82">
        <w:trPr>
          <w:trHeight w:val="310"/>
          <w:jc w:val="center"/>
        </w:trPr>
        <w:tc>
          <w:tcPr>
            <w:tcW w:w="2300" w:type="dxa"/>
            <w:tcBorders>
              <w:top w:val="single" w:sz="4" w:space="0" w:color="auto"/>
            </w:tcBorders>
          </w:tcPr>
          <w:p w14:paraId="041F5DF1"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&lt;0.81</w:t>
            </w:r>
          </w:p>
        </w:tc>
        <w:tc>
          <w:tcPr>
            <w:tcW w:w="1511" w:type="dxa"/>
          </w:tcPr>
          <w:p w14:paraId="4263A7AA"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微软雅黑" w:hAnsi="Times New Roman" w:cs="Times New Roman"/>
                <w:szCs w:val="21"/>
              </w:rPr>
              <w:t>1.12[0.91,1.40]</w:t>
            </w:r>
          </w:p>
        </w:tc>
        <w:tc>
          <w:tcPr>
            <w:tcW w:w="1610" w:type="dxa"/>
            <w:tcBorders>
              <w:top w:val="single" w:sz="4" w:space="0" w:color="auto"/>
              <w:left w:val="nil"/>
              <w:bottom w:val="nil"/>
              <w:right w:val="nil"/>
            </w:tcBorders>
            <w:vAlign w:val="center"/>
          </w:tcPr>
          <w:p w14:paraId="0423F8AE"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color w:val="000000"/>
                <w:szCs w:val="21"/>
              </w:rPr>
              <w:t>0.291</w:t>
            </w:r>
          </w:p>
        </w:tc>
        <w:tc>
          <w:tcPr>
            <w:tcW w:w="1511" w:type="dxa"/>
          </w:tcPr>
          <w:p w14:paraId="7307EF78"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1.000</w:t>
            </w:r>
          </w:p>
        </w:tc>
        <w:tc>
          <w:tcPr>
            <w:tcW w:w="1511" w:type="dxa"/>
          </w:tcPr>
          <w:p w14:paraId="127ABAA5"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1.48[1.18,1.87]</w:t>
            </w:r>
          </w:p>
        </w:tc>
        <w:tc>
          <w:tcPr>
            <w:tcW w:w="1728" w:type="dxa"/>
          </w:tcPr>
          <w:p w14:paraId="0956FCB9"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0.001</w:t>
            </w:r>
          </w:p>
        </w:tc>
        <w:tc>
          <w:tcPr>
            <w:tcW w:w="1728" w:type="dxa"/>
          </w:tcPr>
          <w:p w14:paraId="692A0232"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0.006</w:t>
            </w:r>
          </w:p>
        </w:tc>
      </w:tr>
      <w:tr w:rsidR="00305CCD" w:rsidRPr="00305CCD" w14:paraId="65E88355" w14:textId="77777777" w:rsidTr="00554E82">
        <w:trPr>
          <w:trHeight w:val="310"/>
          <w:jc w:val="center"/>
        </w:trPr>
        <w:tc>
          <w:tcPr>
            <w:tcW w:w="2300" w:type="dxa"/>
          </w:tcPr>
          <w:p w14:paraId="0EE18965"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0.81-&lt;0.97</w:t>
            </w:r>
          </w:p>
        </w:tc>
        <w:tc>
          <w:tcPr>
            <w:tcW w:w="1511" w:type="dxa"/>
          </w:tcPr>
          <w:p w14:paraId="7D6098C4"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微软雅黑" w:hAnsi="Times New Roman" w:cs="Times New Roman"/>
                <w:szCs w:val="21"/>
              </w:rPr>
              <w:t>0.91[0.75,1.10]</w:t>
            </w:r>
          </w:p>
        </w:tc>
        <w:tc>
          <w:tcPr>
            <w:tcW w:w="1610" w:type="dxa"/>
            <w:tcBorders>
              <w:top w:val="nil"/>
              <w:left w:val="nil"/>
              <w:bottom w:val="nil"/>
              <w:right w:val="nil"/>
            </w:tcBorders>
            <w:vAlign w:val="center"/>
          </w:tcPr>
          <w:p w14:paraId="7DD1966E"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color w:val="000000"/>
                <w:szCs w:val="21"/>
              </w:rPr>
              <w:t>0.340</w:t>
            </w:r>
          </w:p>
        </w:tc>
        <w:tc>
          <w:tcPr>
            <w:tcW w:w="1511" w:type="dxa"/>
          </w:tcPr>
          <w:p w14:paraId="6C84E448"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1.000</w:t>
            </w:r>
          </w:p>
        </w:tc>
        <w:tc>
          <w:tcPr>
            <w:tcW w:w="1511" w:type="dxa"/>
          </w:tcPr>
          <w:p w14:paraId="413694C5"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0.97[0.79,1.18]</w:t>
            </w:r>
          </w:p>
        </w:tc>
        <w:tc>
          <w:tcPr>
            <w:tcW w:w="1728" w:type="dxa"/>
          </w:tcPr>
          <w:p w14:paraId="65F611B8"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0.746</w:t>
            </w:r>
          </w:p>
        </w:tc>
        <w:tc>
          <w:tcPr>
            <w:tcW w:w="1728" w:type="dxa"/>
          </w:tcPr>
          <w:p w14:paraId="2C12BCFA"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1.000</w:t>
            </w:r>
          </w:p>
        </w:tc>
      </w:tr>
      <w:tr w:rsidR="00305CCD" w:rsidRPr="00305CCD" w14:paraId="0C9D7B0C" w14:textId="77777777" w:rsidTr="00554E82">
        <w:trPr>
          <w:trHeight w:val="310"/>
          <w:jc w:val="center"/>
        </w:trPr>
        <w:tc>
          <w:tcPr>
            <w:tcW w:w="2300" w:type="dxa"/>
          </w:tcPr>
          <w:p w14:paraId="24033CC8"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0.97-&lt;1.13</w:t>
            </w:r>
          </w:p>
        </w:tc>
        <w:tc>
          <w:tcPr>
            <w:tcW w:w="1511" w:type="dxa"/>
          </w:tcPr>
          <w:p w14:paraId="2B3F8386"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微软雅黑" w:hAnsi="Times New Roman" w:cs="Times New Roman"/>
                <w:szCs w:val="21"/>
              </w:rPr>
              <w:t>1.05[0.91,1.23]</w:t>
            </w:r>
          </w:p>
        </w:tc>
        <w:tc>
          <w:tcPr>
            <w:tcW w:w="1610" w:type="dxa"/>
            <w:tcBorders>
              <w:top w:val="nil"/>
              <w:left w:val="nil"/>
              <w:bottom w:val="nil"/>
              <w:right w:val="nil"/>
            </w:tcBorders>
            <w:vAlign w:val="center"/>
          </w:tcPr>
          <w:p w14:paraId="3EA56E5E"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color w:val="000000"/>
                <w:szCs w:val="21"/>
              </w:rPr>
              <w:t>0.486</w:t>
            </w:r>
          </w:p>
        </w:tc>
        <w:tc>
          <w:tcPr>
            <w:tcW w:w="1511" w:type="dxa"/>
          </w:tcPr>
          <w:p w14:paraId="6B87D8F3"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1.000</w:t>
            </w:r>
          </w:p>
        </w:tc>
        <w:tc>
          <w:tcPr>
            <w:tcW w:w="1511" w:type="dxa"/>
          </w:tcPr>
          <w:p w14:paraId="559AC315"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1.07[0.92,1.26]</w:t>
            </w:r>
          </w:p>
        </w:tc>
        <w:tc>
          <w:tcPr>
            <w:tcW w:w="1728" w:type="dxa"/>
          </w:tcPr>
          <w:p w14:paraId="2D3AF08B"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0.383</w:t>
            </w:r>
          </w:p>
        </w:tc>
        <w:tc>
          <w:tcPr>
            <w:tcW w:w="1728" w:type="dxa"/>
          </w:tcPr>
          <w:p w14:paraId="492ADE43"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1.000</w:t>
            </w:r>
          </w:p>
        </w:tc>
      </w:tr>
      <w:tr w:rsidR="00305CCD" w:rsidRPr="00305CCD" w14:paraId="2C662832" w14:textId="77777777" w:rsidTr="00554E82">
        <w:trPr>
          <w:trHeight w:val="310"/>
          <w:jc w:val="center"/>
        </w:trPr>
        <w:tc>
          <w:tcPr>
            <w:tcW w:w="2300" w:type="dxa"/>
          </w:tcPr>
          <w:p w14:paraId="10863283"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1.13-&lt;1.29</w:t>
            </w:r>
          </w:p>
        </w:tc>
        <w:tc>
          <w:tcPr>
            <w:tcW w:w="1511" w:type="dxa"/>
          </w:tcPr>
          <w:p w14:paraId="074C7315"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微软雅黑" w:hAnsi="Times New Roman" w:cs="Times New Roman"/>
                <w:szCs w:val="21"/>
              </w:rPr>
              <w:t>REF</w:t>
            </w:r>
          </w:p>
        </w:tc>
        <w:tc>
          <w:tcPr>
            <w:tcW w:w="1610" w:type="dxa"/>
            <w:tcBorders>
              <w:top w:val="nil"/>
              <w:left w:val="nil"/>
              <w:bottom w:val="nil"/>
              <w:right w:val="nil"/>
            </w:tcBorders>
            <w:vAlign w:val="center"/>
          </w:tcPr>
          <w:p w14:paraId="1AE7958B"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color w:val="000000"/>
                <w:szCs w:val="21"/>
              </w:rPr>
              <w:t>REF</w:t>
            </w:r>
          </w:p>
        </w:tc>
        <w:tc>
          <w:tcPr>
            <w:tcW w:w="1511" w:type="dxa"/>
          </w:tcPr>
          <w:p w14:paraId="4160AFB7"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REF</w:t>
            </w:r>
          </w:p>
        </w:tc>
        <w:tc>
          <w:tcPr>
            <w:tcW w:w="1511" w:type="dxa"/>
          </w:tcPr>
          <w:p w14:paraId="3541DE7E"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REF</w:t>
            </w:r>
          </w:p>
        </w:tc>
        <w:tc>
          <w:tcPr>
            <w:tcW w:w="1728" w:type="dxa"/>
          </w:tcPr>
          <w:p w14:paraId="3B01478A"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REF</w:t>
            </w:r>
          </w:p>
        </w:tc>
        <w:tc>
          <w:tcPr>
            <w:tcW w:w="1728" w:type="dxa"/>
          </w:tcPr>
          <w:p w14:paraId="3B2242B7"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REF</w:t>
            </w:r>
          </w:p>
        </w:tc>
      </w:tr>
      <w:tr w:rsidR="00305CCD" w:rsidRPr="00305CCD" w14:paraId="46475D18" w14:textId="77777777" w:rsidTr="00554E82">
        <w:trPr>
          <w:trHeight w:val="310"/>
          <w:jc w:val="center"/>
        </w:trPr>
        <w:tc>
          <w:tcPr>
            <w:tcW w:w="2300" w:type="dxa"/>
          </w:tcPr>
          <w:p w14:paraId="6620C51A"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1.29-&lt;1.45</w:t>
            </w:r>
          </w:p>
        </w:tc>
        <w:tc>
          <w:tcPr>
            <w:tcW w:w="1511" w:type="dxa"/>
          </w:tcPr>
          <w:p w14:paraId="12366677"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微软雅黑" w:hAnsi="Times New Roman" w:cs="Times New Roman"/>
                <w:szCs w:val="21"/>
              </w:rPr>
              <w:t>0.84[0.72,0.98]</w:t>
            </w:r>
          </w:p>
        </w:tc>
        <w:tc>
          <w:tcPr>
            <w:tcW w:w="1610" w:type="dxa"/>
            <w:tcBorders>
              <w:top w:val="nil"/>
              <w:left w:val="nil"/>
              <w:bottom w:val="nil"/>
              <w:right w:val="nil"/>
            </w:tcBorders>
            <w:vAlign w:val="center"/>
          </w:tcPr>
          <w:p w14:paraId="4C05ABE9"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color w:val="000000"/>
                <w:szCs w:val="21"/>
              </w:rPr>
              <w:t>0.030</w:t>
            </w:r>
          </w:p>
        </w:tc>
        <w:tc>
          <w:tcPr>
            <w:tcW w:w="1511" w:type="dxa"/>
          </w:tcPr>
          <w:p w14:paraId="10A0EAD4"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0.181</w:t>
            </w:r>
          </w:p>
        </w:tc>
        <w:tc>
          <w:tcPr>
            <w:tcW w:w="1511" w:type="dxa"/>
          </w:tcPr>
          <w:p w14:paraId="085D910C" w14:textId="77777777" w:rsidR="00305CCD" w:rsidRPr="00305CCD" w:rsidRDefault="00305CCD" w:rsidP="00305CCD">
            <w:pPr>
              <w:spacing w:line="360" w:lineRule="auto"/>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0.92[0.78,1.10]</w:t>
            </w:r>
          </w:p>
        </w:tc>
        <w:tc>
          <w:tcPr>
            <w:tcW w:w="1728" w:type="dxa"/>
          </w:tcPr>
          <w:p w14:paraId="08923E86"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0.367</w:t>
            </w:r>
          </w:p>
        </w:tc>
        <w:tc>
          <w:tcPr>
            <w:tcW w:w="1728" w:type="dxa"/>
          </w:tcPr>
          <w:p w14:paraId="6D7540E4"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1.000</w:t>
            </w:r>
          </w:p>
        </w:tc>
      </w:tr>
      <w:tr w:rsidR="00305CCD" w:rsidRPr="00305CCD" w14:paraId="289C8AFC" w14:textId="77777777" w:rsidTr="00554E82">
        <w:trPr>
          <w:trHeight w:val="310"/>
          <w:jc w:val="center"/>
        </w:trPr>
        <w:tc>
          <w:tcPr>
            <w:tcW w:w="2300" w:type="dxa"/>
          </w:tcPr>
          <w:p w14:paraId="3ACB3BB5"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lastRenderedPageBreak/>
              <w:t>1.45-&lt;1.78</w:t>
            </w:r>
          </w:p>
        </w:tc>
        <w:tc>
          <w:tcPr>
            <w:tcW w:w="1511" w:type="dxa"/>
          </w:tcPr>
          <w:p w14:paraId="21BE6E5D"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微软雅黑" w:hAnsi="Times New Roman" w:cs="Times New Roman"/>
                <w:szCs w:val="21"/>
              </w:rPr>
              <w:t>0.58[0.48,0.70]</w:t>
            </w:r>
          </w:p>
        </w:tc>
        <w:tc>
          <w:tcPr>
            <w:tcW w:w="1610" w:type="dxa"/>
            <w:tcBorders>
              <w:top w:val="nil"/>
              <w:left w:val="nil"/>
              <w:bottom w:val="nil"/>
              <w:right w:val="nil"/>
            </w:tcBorders>
            <w:vAlign w:val="center"/>
          </w:tcPr>
          <w:p w14:paraId="219CB6EF"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color w:val="000000"/>
                <w:szCs w:val="21"/>
              </w:rPr>
              <w:t>&lt;0.001</w:t>
            </w:r>
          </w:p>
        </w:tc>
        <w:tc>
          <w:tcPr>
            <w:tcW w:w="1511" w:type="dxa"/>
          </w:tcPr>
          <w:p w14:paraId="1422BDCD"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&lt;0.001</w:t>
            </w:r>
          </w:p>
        </w:tc>
        <w:tc>
          <w:tcPr>
            <w:tcW w:w="1511" w:type="dxa"/>
          </w:tcPr>
          <w:p w14:paraId="13D8262F"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0.73[0.59,0.89]</w:t>
            </w:r>
          </w:p>
        </w:tc>
        <w:tc>
          <w:tcPr>
            <w:tcW w:w="1728" w:type="dxa"/>
          </w:tcPr>
          <w:p w14:paraId="663DA234"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0.002</w:t>
            </w:r>
          </w:p>
        </w:tc>
        <w:tc>
          <w:tcPr>
            <w:tcW w:w="1728" w:type="dxa"/>
          </w:tcPr>
          <w:p w14:paraId="65848984"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0.011</w:t>
            </w:r>
          </w:p>
        </w:tc>
      </w:tr>
      <w:tr w:rsidR="00305CCD" w:rsidRPr="00305CCD" w14:paraId="2641AC56" w14:textId="77777777" w:rsidTr="00554E82">
        <w:trPr>
          <w:trHeight w:val="310"/>
          <w:jc w:val="center"/>
        </w:trPr>
        <w:tc>
          <w:tcPr>
            <w:tcW w:w="2300" w:type="dxa"/>
          </w:tcPr>
          <w:p w14:paraId="188CACF5"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≥1.78</w:t>
            </w:r>
          </w:p>
        </w:tc>
        <w:tc>
          <w:tcPr>
            <w:tcW w:w="1511" w:type="dxa"/>
          </w:tcPr>
          <w:p w14:paraId="67D3EA73"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微软雅黑" w:hAnsi="Times New Roman" w:cs="Times New Roman"/>
                <w:szCs w:val="21"/>
              </w:rPr>
              <w:t>0.27[0.17,0.40]</w:t>
            </w:r>
          </w:p>
        </w:tc>
        <w:tc>
          <w:tcPr>
            <w:tcW w:w="1610" w:type="dxa"/>
            <w:tcBorders>
              <w:top w:val="nil"/>
              <w:left w:val="nil"/>
              <w:bottom w:val="single" w:sz="4" w:space="0" w:color="auto"/>
              <w:right w:val="nil"/>
            </w:tcBorders>
            <w:vAlign w:val="center"/>
          </w:tcPr>
          <w:p w14:paraId="47D62780"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color w:val="000000"/>
                <w:szCs w:val="21"/>
              </w:rPr>
              <w:t>&lt;0.001</w:t>
            </w:r>
          </w:p>
        </w:tc>
        <w:tc>
          <w:tcPr>
            <w:tcW w:w="1511" w:type="dxa"/>
          </w:tcPr>
          <w:p w14:paraId="7DB63EA6"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&lt;0.001</w:t>
            </w:r>
          </w:p>
        </w:tc>
        <w:tc>
          <w:tcPr>
            <w:tcW w:w="1511" w:type="dxa"/>
          </w:tcPr>
          <w:p w14:paraId="538E6EC0"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0.59[0.37,0.92]</w:t>
            </w:r>
          </w:p>
        </w:tc>
        <w:tc>
          <w:tcPr>
            <w:tcW w:w="1728" w:type="dxa"/>
          </w:tcPr>
          <w:p w14:paraId="1A3B8CC0"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0.022</w:t>
            </w:r>
          </w:p>
        </w:tc>
        <w:tc>
          <w:tcPr>
            <w:tcW w:w="1728" w:type="dxa"/>
          </w:tcPr>
          <w:p w14:paraId="799362C9"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0.130</w:t>
            </w:r>
          </w:p>
        </w:tc>
      </w:tr>
    </w:tbl>
    <w:p w14:paraId="407D27B3" w14:textId="77777777" w:rsidR="00305CCD" w:rsidRPr="00305CCD" w:rsidRDefault="00305CCD" w:rsidP="00305CCD">
      <w:pPr>
        <w:spacing w:after="0" w:line="360" w:lineRule="auto"/>
        <w:jc w:val="both"/>
        <w:rPr>
          <w:rFonts w:ascii="Times New Roman" w:eastAsia="等线" w:hAnsi="Times New Roman" w:cs="Times New Roman"/>
          <w:sz w:val="20"/>
          <w:szCs w:val="20"/>
          <w14:ligatures w14:val="none"/>
        </w:rPr>
      </w:pPr>
    </w:p>
    <w:p w14:paraId="1C68CA4F" w14:textId="77777777" w:rsidR="00305CCD" w:rsidRPr="00305CCD" w:rsidRDefault="00305CCD" w:rsidP="00305CCD">
      <w:pPr>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Adjusted for heart failure, malignant solid tumor, eGFR, urea nitrogen, diuretic, aminoglycoside antibiotics, antifungal drugs, proton pump inhibitors (PPI), uric acid-lowering medication, contrast agent, lipid-lowering drugs, vasoactive drugs, β-lactam antibiotics.</w:t>
      </w:r>
    </w:p>
    <w:p w14:paraId="7B25E8BA" w14:textId="77777777" w:rsidR="00305CCD" w:rsidRPr="00305CCD" w:rsidRDefault="00305CCD" w:rsidP="00305CCD">
      <w:pPr>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OR: odds ratio, CI: confidence interval, REF: reference, eGFR: estimated glomerular filtration rate</w:t>
      </w:r>
    </w:p>
    <w:p w14:paraId="785E11F7"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等线" w:eastAsia="等线" w:hAnsi="等线" w:cs="Times New Roman"/>
          <w:sz w:val="21"/>
          <w:szCs w:val="22"/>
          <w14:ligatures w14:val="none"/>
        </w:rPr>
        <w:br w:type="page"/>
      </w:r>
    </w:p>
    <w:p w14:paraId="4BE42E3C" w14:textId="77777777" w:rsidR="00305CCD" w:rsidRPr="00305CCD" w:rsidRDefault="00305CCD" w:rsidP="00305CCD">
      <w:pPr>
        <w:spacing w:after="0" w:line="360" w:lineRule="auto"/>
        <w:jc w:val="center"/>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lastRenderedPageBreak/>
        <w:t xml:space="preserve">Supplement table 2. </w:t>
      </w:r>
      <w:r w:rsidRPr="00305CCD">
        <w:rPr>
          <w:rFonts w:ascii="Times New Roman" w:eastAsia="等线" w:hAnsi="Times New Roman" w:cs="Times New Roman"/>
          <w:sz w:val="21"/>
          <w:szCs w:val="21"/>
          <w14:ligatures w14:val="none"/>
        </w:rPr>
        <w:t>Association between different admission serum phosphate categories and in hospital acute kidney injury occurrence</w:t>
      </w:r>
    </w:p>
    <w:tbl>
      <w:tblPr>
        <w:tblStyle w:val="af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9"/>
        <w:gridCol w:w="1516"/>
        <w:gridCol w:w="1072"/>
        <w:gridCol w:w="833"/>
        <w:gridCol w:w="1701"/>
        <w:gridCol w:w="992"/>
        <w:gridCol w:w="1134"/>
      </w:tblGrid>
      <w:tr w:rsidR="00305CCD" w:rsidRPr="00305CCD" w14:paraId="775E71BC" w14:textId="77777777" w:rsidTr="00554E82">
        <w:trPr>
          <w:trHeight w:val="310"/>
          <w:jc w:val="center"/>
        </w:trPr>
        <w:tc>
          <w:tcPr>
            <w:tcW w:w="0" w:type="auto"/>
            <w:vMerge w:val="restart"/>
            <w:tcBorders>
              <w:top w:val="single" w:sz="4" w:space="0" w:color="auto"/>
            </w:tcBorders>
          </w:tcPr>
          <w:p w14:paraId="0BCE973B"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Admission serum phosphate level(mmol/L)</w:t>
            </w:r>
          </w:p>
        </w:tc>
        <w:tc>
          <w:tcPr>
            <w:tcW w:w="3247" w:type="dxa"/>
            <w:gridSpan w:val="3"/>
            <w:tcBorders>
              <w:top w:val="single" w:sz="4" w:space="0" w:color="auto"/>
              <w:bottom w:val="single" w:sz="4" w:space="0" w:color="auto"/>
            </w:tcBorders>
          </w:tcPr>
          <w:p w14:paraId="0F8C6756"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Univariate analysis</w:t>
            </w:r>
          </w:p>
        </w:tc>
        <w:tc>
          <w:tcPr>
            <w:tcW w:w="3827" w:type="dxa"/>
            <w:gridSpan w:val="3"/>
            <w:tcBorders>
              <w:top w:val="single" w:sz="4" w:space="0" w:color="auto"/>
              <w:bottom w:val="single" w:sz="4" w:space="0" w:color="auto"/>
            </w:tcBorders>
          </w:tcPr>
          <w:p w14:paraId="18650ADD"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Multivariate analysis</w:t>
            </w:r>
          </w:p>
        </w:tc>
      </w:tr>
      <w:tr w:rsidR="00305CCD" w:rsidRPr="00305CCD" w14:paraId="2DDE4A79" w14:textId="77777777" w:rsidTr="00554E82">
        <w:trPr>
          <w:trHeight w:val="310"/>
          <w:jc w:val="center"/>
        </w:trPr>
        <w:tc>
          <w:tcPr>
            <w:tcW w:w="0" w:type="auto"/>
            <w:vMerge/>
            <w:tcBorders>
              <w:bottom w:val="single" w:sz="4" w:space="0" w:color="auto"/>
            </w:tcBorders>
          </w:tcPr>
          <w:p w14:paraId="7D3E3500" w14:textId="77777777" w:rsidR="00305CCD" w:rsidRPr="00305CCD" w:rsidRDefault="00305CCD" w:rsidP="00305CCD">
            <w:pPr>
              <w:spacing w:line="360" w:lineRule="auto"/>
              <w:jc w:val="center"/>
              <w:rPr>
                <w:rFonts w:ascii="Times New Roman" w:eastAsia="等线" w:hAnsi="Times New Roman" w:cs="Times New Roman"/>
                <w:sz w:val="20"/>
                <w:szCs w:val="20"/>
              </w:rPr>
            </w:pPr>
          </w:p>
        </w:tc>
        <w:tc>
          <w:tcPr>
            <w:tcW w:w="0" w:type="auto"/>
            <w:tcBorders>
              <w:top w:val="single" w:sz="4" w:space="0" w:color="auto"/>
              <w:bottom w:val="single" w:sz="4" w:space="0" w:color="auto"/>
            </w:tcBorders>
          </w:tcPr>
          <w:p w14:paraId="56843D01"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OR (95%CI)</w:t>
            </w:r>
          </w:p>
        </w:tc>
        <w:tc>
          <w:tcPr>
            <w:tcW w:w="1072" w:type="dxa"/>
            <w:tcBorders>
              <w:top w:val="single" w:sz="4" w:space="0" w:color="auto"/>
              <w:bottom w:val="single" w:sz="4" w:space="0" w:color="auto"/>
            </w:tcBorders>
          </w:tcPr>
          <w:p w14:paraId="2A2540E2"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P</w:t>
            </w:r>
          </w:p>
        </w:tc>
        <w:tc>
          <w:tcPr>
            <w:tcW w:w="709" w:type="dxa"/>
            <w:tcBorders>
              <w:top w:val="single" w:sz="4" w:space="0" w:color="auto"/>
              <w:bottom w:val="single" w:sz="4" w:space="0" w:color="auto"/>
            </w:tcBorders>
          </w:tcPr>
          <w:p w14:paraId="7236D8B1" w14:textId="77777777" w:rsidR="00305CCD" w:rsidRPr="00305CCD" w:rsidRDefault="00305CCD" w:rsidP="00305CCD">
            <w:pPr>
              <w:spacing w:line="360" w:lineRule="auto"/>
              <w:jc w:val="center"/>
              <w:rPr>
                <w:rFonts w:ascii="Times New Roman" w:eastAsia="等线" w:hAnsi="Times New Roman" w:cs="Times New Roman"/>
                <w:sz w:val="20"/>
                <w:szCs w:val="20"/>
              </w:rPr>
            </w:pPr>
            <w:proofErr w:type="spellStart"/>
            <w:r w:rsidRPr="00305CCD">
              <w:rPr>
                <w:rFonts w:ascii="Times New Roman" w:eastAsia="等线" w:hAnsi="Times New Roman" w:cs="Times New Roman"/>
                <w:sz w:val="20"/>
                <w:szCs w:val="20"/>
              </w:rPr>
              <w:t>P.adjust</w:t>
            </w:r>
            <w:proofErr w:type="spellEnd"/>
          </w:p>
        </w:tc>
        <w:tc>
          <w:tcPr>
            <w:tcW w:w="1701" w:type="dxa"/>
            <w:tcBorders>
              <w:top w:val="single" w:sz="4" w:space="0" w:color="auto"/>
              <w:bottom w:val="single" w:sz="4" w:space="0" w:color="auto"/>
            </w:tcBorders>
          </w:tcPr>
          <w:p w14:paraId="3D240027"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OR (95%CI)</w:t>
            </w:r>
          </w:p>
        </w:tc>
        <w:tc>
          <w:tcPr>
            <w:tcW w:w="992" w:type="dxa"/>
            <w:tcBorders>
              <w:top w:val="single" w:sz="4" w:space="0" w:color="auto"/>
              <w:bottom w:val="single" w:sz="4" w:space="0" w:color="auto"/>
            </w:tcBorders>
          </w:tcPr>
          <w:p w14:paraId="2926A9C4"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P</w:t>
            </w:r>
          </w:p>
        </w:tc>
        <w:tc>
          <w:tcPr>
            <w:tcW w:w="1134" w:type="dxa"/>
            <w:tcBorders>
              <w:top w:val="single" w:sz="4" w:space="0" w:color="auto"/>
              <w:bottom w:val="single" w:sz="4" w:space="0" w:color="auto"/>
            </w:tcBorders>
          </w:tcPr>
          <w:p w14:paraId="4B4B96A0" w14:textId="77777777" w:rsidR="00305CCD" w:rsidRPr="00305CCD" w:rsidRDefault="00305CCD" w:rsidP="00305CCD">
            <w:pPr>
              <w:spacing w:line="360" w:lineRule="auto"/>
              <w:jc w:val="center"/>
              <w:rPr>
                <w:rFonts w:ascii="Times New Roman" w:eastAsia="等线" w:hAnsi="Times New Roman" w:cs="Times New Roman"/>
                <w:sz w:val="20"/>
                <w:szCs w:val="20"/>
              </w:rPr>
            </w:pPr>
            <w:proofErr w:type="spellStart"/>
            <w:r w:rsidRPr="00305CCD">
              <w:rPr>
                <w:rFonts w:ascii="Times New Roman" w:eastAsia="等线" w:hAnsi="Times New Roman" w:cs="Times New Roman"/>
                <w:sz w:val="20"/>
                <w:szCs w:val="20"/>
              </w:rPr>
              <w:t>P.adjust</w:t>
            </w:r>
            <w:proofErr w:type="spellEnd"/>
          </w:p>
        </w:tc>
      </w:tr>
      <w:tr w:rsidR="00305CCD" w:rsidRPr="00305CCD" w14:paraId="3F99F4FB" w14:textId="77777777" w:rsidTr="00554E82">
        <w:trPr>
          <w:trHeight w:val="310"/>
          <w:jc w:val="center"/>
        </w:trPr>
        <w:tc>
          <w:tcPr>
            <w:tcW w:w="0" w:type="auto"/>
            <w:tcBorders>
              <w:top w:val="single" w:sz="4" w:space="0" w:color="auto"/>
            </w:tcBorders>
          </w:tcPr>
          <w:p w14:paraId="43DBCF56"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&lt;0.81</w:t>
            </w:r>
          </w:p>
        </w:tc>
        <w:tc>
          <w:tcPr>
            <w:tcW w:w="0" w:type="auto"/>
          </w:tcPr>
          <w:p w14:paraId="62ADE5BD"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1.76 [1.58-1.97]</w:t>
            </w:r>
          </w:p>
        </w:tc>
        <w:tc>
          <w:tcPr>
            <w:tcW w:w="1072" w:type="dxa"/>
          </w:tcPr>
          <w:p w14:paraId="44537926"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&lt;0.001</w:t>
            </w:r>
          </w:p>
        </w:tc>
        <w:tc>
          <w:tcPr>
            <w:tcW w:w="709" w:type="dxa"/>
          </w:tcPr>
          <w:p w14:paraId="515B7973" w14:textId="77777777" w:rsidR="00305CCD" w:rsidRPr="00305CCD" w:rsidRDefault="00305CCD" w:rsidP="00305CCD">
            <w:pPr>
              <w:spacing w:line="360" w:lineRule="auto"/>
              <w:jc w:val="center"/>
              <w:rPr>
                <w:rFonts w:ascii="Times New Roman" w:eastAsia="微软雅黑" w:hAnsi="Times New Roman" w:cs="Times New Roman"/>
                <w:sz w:val="20"/>
                <w:szCs w:val="20"/>
              </w:rPr>
            </w:pPr>
            <w:r w:rsidRPr="00305CCD">
              <w:rPr>
                <w:rFonts w:ascii="Times New Roman" w:eastAsia="微软雅黑" w:hAnsi="Times New Roman" w:cs="Times New Roman"/>
                <w:sz w:val="20"/>
                <w:szCs w:val="20"/>
              </w:rPr>
              <w:t>&lt;0.001</w:t>
            </w:r>
          </w:p>
        </w:tc>
        <w:tc>
          <w:tcPr>
            <w:tcW w:w="1701" w:type="dxa"/>
          </w:tcPr>
          <w:p w14:paraId="3D4F1807"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微软雅黑" w:hAnsi="Times New Roman" w:cs="Times New Roman"/>
                <w:sz w:val="20"/>
                <w:szCs w:val="20"/>
              </w:rPr>
              <w:t>1.32 [1.16-1.50]</w:t>
            </w:r>
          </w:p>
        </w:tc>
        <w:tc>
          <w:tcPr>
            <w:tcW w:w="992" w:type="dxa"/>
            <w:tcBorders>
              <w:top w:val="single" w:sz="4" w:space="0" w:color="auto"/>
              <w:left w:val="nil"/>
              <w:bottom w:val="nil"/>
              <w:right w:val="nil"/>
            </w:tcBorders>
            <w:vAlign w:val="center"/>
          </w:tcPr>
          <w:p w14:paraId="1E59A9EC"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color w:val="000000"/>
                <w:sz w:val="20"/>
                <w:szCs w:val="20"/>
              </w:rPr>
              <w:t>&lt;0.001</w:t>
            </w:r>
          </w:p>
        </w:tc>
        <w:tc>
          <w:tcPr>
            <w:tcW w:w="1134" w:type="dxa"/>
            <w:tcBorders>
              <w:top w:val="single" w:sz="4" w:space="0" w:color="auto"/>
              <w:left w:val="nil"/>
              <w:bottom w:val="nil"/>
              <w:right w:val="nil"/>
            </w:tcBorders>
          </w:tcPr>
          <w:p w14:paraId="70D8935B"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&lt;0.001</w:t>
            </w:r>
          </w:p>
        </w:tc>
      </w:tr>
      <w:tr w:rsidR="00305CCD" w:rsidRPr="00305CCD" w14:paraId="58DF7EE7" w14:textId="77777777" w:rsidTr="00554E82">
        <w:trPr>
          <w:trHeight w:val="310"/>
          <w:jc w:val="center"/>
        </w:trPr>
        <w:tc>
          <w:tcPr>
            <w:tcW w:w="0" w:type="auto"/>
            <w:tcBorders>
              <w:bottom w:val="nil"/>
            </w:tcBorders>
          </w:tcPr>
          <w:p w14:paraId="105822D2"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0.81-1.45</w:t>
            </w:r>
          </w:p>
        </w:tc>
        <w:tc>
          <w:tcPr>
            <w:tcW w:w="0" w:type="auto"/>
          </w:tcPr>
          <w:p w14:paraId="203C7967"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REF</w:t>
            </w:r>
          </w:p>
        </w:tc>
        <w:tc>
          <w:tcPr>
            <w:tcW w:w="1072" w:type="dxa"/>
          </w:tcPr>
          <w:p w14:paraId="4B0A3737"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REF</w:t>
            </w:r>
          </w:p>
        </w:tc>
        <w:tc>
          <w:tcPr>
            <w:tcW w:w="709" w:type="dxa"/>
          </w:tcPr>
          <w:p w14:paraId="61F507CE" w14:textId="77777777" w:rsidR="00305CCD" w:rsidRPr="00305CCD" w:rsidRDefault="00305CCD" w:rsidP="00305CCD">
            <w:pPr>
              <w:spacing w:line="360" w:lineRule="auto"/>
              <w:jc w:val="center"/>
              <w:rPr>
                <w:rFonts w:ascii="Times New Roman" w:eastAsia="微软雅黑" w:hAnsi="Times New Roman" w:cs="Times New Roman"/>
                <w:sz w:val="20"/>
                <w:szCs w:val="20"/>
              </w:rPr>
            </w:pPr>
            <w:r w:rsidRPr="00305CCD">
              <w:rPr>
                <w:rFonts w:ascii="Times New Roman" w:eastAsia="微软雅黑" w:hAnsi="Times New Roman" w:cs="Times New Roman"/>
                <w:sz w:val="20"/>
                <w:szCs w:val="20"/>
              </w:rPr>
              <w:t>REF</w:t>
            </w:r>
          </w:p>
        </w:tc>
        <w:tc>
          <w:tcPr>
            <w:tcW w:w="1701" w:type="dxa"/>
            <w:tcBorders>
              <w:bottom w:val="nil"/>
            </w:tcBorders>
          </w:tcPr>
          <w:p w14:paraId="103946FA"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微软雅黑" w:hAnsi="Times New Roman" w:cs="Times New Roman"/>
                <w:sz w:val="20"/>
                <w:szCs w:val="20"/>
              </w:rPr>
              <w:t>REF</w:t>
            </w:r>
          </w:p>
        </w:tc>
        <w:tc>
          <w:tcPr>
            <w:tcW w:w="992" w:type="dxa"/>
            <w:tcBorders>
              <w:top w:val="nil"/>
              <w:left w:val="nil"/>
              <w:bottom w:val="nil"/>
              <w:right w:val="nil"/>
            </w:tcBorders>
            <w:vAlign w:val="center"/>
          </w:tcPr>
          <w:p w14:paraId="00648FD5"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color w:val="000000"/>
                <w:sz w:val="20"/>
                <w:szCs w:val="20"/>
              </w:rPr>
              <w:t>REF</w:t>
            </w:r>
          </w:p>
        </w:tc>
        <w:tc>
          <w:tcPr>
            <w:tcW w:w="1134" w:type="dxa"/>
            <w:tcBorders>
              <w:top w:val="nil"/>
              <w:left w:val="nil"/>
              <w:bottom w:val="nil"/>
              <w:right w:val="nil"/>
            </w:tcBorders>
          </w:tcPr>
          <w:p w14:paraId="2CEE9BE6"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REF</w:t>
            </w:r>
          </w:p>
        </w:tc>
      </w:tr>
      <w:tr w:rsidR="00305CCD" w:rsidRPr="00305CCD" w14:paraId="41AD4D8D" w14:textId="77777777" w:rsidTr="00554E82">
        <w:trPr>
          <w:trHeight w:val="310"/>
          <w:jc w:val="center"/>
        </w:trPr>
        <w:tc>
          <w:tcPr>
            <w:tcW w:w="0" w:type="auto"/>
            <w:tcBorders>
              <w:top w:val="nil"/>
              <w:bottom w:val="single" w:sz="4" w:space="0" w:color="auto"/>
            </w:tcBorders>
          </w:tcPr>
          <w:p w14:paraId="11143C90"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&gt;1.45</w:t>
            </w:r>
          </w:p>
        </w:tc>
        <w:tc>
          <w:tcPr>
            <w:tcW w:w="0" w:type="auto"/>
          </w:tcPr>
          <w:p w14:paraId="50640F38"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1.59[1.45-1.74]</w:t>
            </w:r>
          </w:p>
        </w:tc>
        <w:tc>
          <w:tcPr>
            <w:tcW w:w="1072" w:type="dxa"/>
          </w:tcPr>
          <w:p w14:paraId="29A8A5F2"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&lt;0.001</w:t>
            </w:r>
          </w:p>
        </w:tc>
        <w:tc>
          <w:tcPr>
            <w:tcW w:w="709" w:type="dxa"/>
          </w:tcPr>
          <w:p w14:paraId="45F2FD25" w14:textId="77777777" w:rsidR="00305CCD" w:rsidRPr="00305CCD" w:rsidRDefault="00305CCD" w:rsidP="00305CCD">
            <w:pPr>
              <w:spacing w:line="360" w:lineRule="auto"/>
              <w:jc w:val="center"/>
              <w:rPr>
                <w:rFonts w:ascii="Times New Roman" w:eastAsia="微软雅黑" w:hAnsi="Times New Roman" w:cs="Times New Roman"/>
                <w:sz w:val="20"/>
                <w:szCs w:val="20"/>
              </w:rPr>
            </w:pPr>
            <w:r w:rsidRPr="00305CCD">
              <w:rPr>
                <w:rFonts w:ascii="Times New Roman" w:eastAsia="微软雅黑" w:hAnsi="Times New Roman" w:cs="Times New Roman"/>
                <w:sz w:val="20"/>
                <w:szCs w:val="20"/>
              </w:rPr>
              <w:t>&lt;0.001</w:t>
            </w:r>
          </w:p>
        </w:tc>
        <w:tc>
          <w:tcPr>
            <w:tcW w:w="1701" w:type="dxa"/>
            <w:tcBorders>
              <w:top w:val="nil"/>
              <w:bottom w:val="single" w:sz="4" w:space="0" w:color="auto"/>
            </w:tcBorders>
          </w:tcPr>
          <w:p w14:paraId="15E6522E"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微软雅黑" w:hAnsi="Times New Roman" w:cs="Times New Roman"/>
                <w:sz w:val="20"/>
                <w:szCs w:val="20"/>
              </w:rPr>
              <w:t>1.15 [1.03-1.27]</w:t>
            </w:r>
          </w:p>
        </w:tc>
        <w:tc>
          <w:tcPr>
            <w:tcW w:w="992" w:type="dxa"/>
            <w:tcBorders>
              <w:top w:val="nil"/>
              <w:left w:val="nil"/>
              <w:bottom w:val="single" w:sz="4" w:space="0" w:color="auto"/>
              <w:right w:val="nil"/>
            </w:tcBorders>
            <w:vAlign w:val="center"/>
          </w:tcPr>
          <w:p w14:paraId="3FEB6B1A"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color w:val="000000"/>
                <w:sz w:val="20"/>
                <w:szCs w:val="20"/>
              </w:rPr>
              <w:t>0.011</w:t>
            </w:r>
          </w:p>
        </w:tc>
        <w:tc>
          <w:tcPr>
            <w:tcW w:w="1134" w:type="dxa"/>
            <w:tcBorders>
              <w:top w:val="nil"/>
              <w:left w:val="nil"/>
              <w:bottom w:val="single" w:sz="4" w:space="0" w:color="auto"/>
              <w:right w:val="nil"/>
            </w:tcBorders>
          </w:tcPr>
          <w:p w14:paraId="4578ADB8"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0.021</w:t>
            </w:r>
          </w:p>
        </w:tc>
      </w:tr>
    </w:tbl>
    <w:p w14:paraId="3084EEAB" w14:textId="77777777" w:rsidR="00305CCD" w:rsidRPr="00305CCD" w:rsidRDefault="00305CCD" w:rsidP="00305CCD">
      <w:pPr>
        <w:widowControl/>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Adjusted for age ,gender, surgery department, intensive care unit,</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1"/>
          <w:szCs w:val="21"/>
          <w14:ligatures w14:val="none"/>
        </w:rPr>
        <w:t>hypertension, diabetes, heart failure, malignant solid tumor,</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1"/>
          <w:szCs w:val="21"/>
          <w14:ligatures w14:val="none"/>
        </w:rPr>
        <w:t>cirrhosis or liver failure, cerebrovascular disease, eGFR , hemoglobin, platelet, urea nitrogen, total carbon dioxide, uric acid, albumin, blood glucose, international normalized ratio, diuretic, intra-aortic balloon pump(IABP), invasive ventilator, aminoglycoside antibiotics, glycopeptide antibiotics, antifungal drugs, glucocorticoid, immunosuppressants, lipid-lowering drugs, vasoactive drugs, β-lactam antibiotics</w:t>
      </w:r>
    </w:p>
    <w:p w14:paraId="76C4E4CB" w14:textId="77777777" w:rsidR="00305CCD" w:rsidRPr="00305CCD" w:rsidRDefault="00305CCD" w:rsidP="00305CCD">
      <w:pPr>
        <w:widowControl/>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 xml:space="preserve">OR: odds ratio, CI: confidence interval, REF: reference, eGFR: estimated glomerular filtration rate </w:t>
      </w:r>
    </w:p>
    <w:p w14:paraId="7A8A354E" w14:textId="77777777" w:rsidR="00305CCD" w:rsidRPr="00305CCD" w:rsidRDefault="00305CCD" w:rsidP="00305CCD">
      <w:pPr>
        <w:widowControl/>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br w:type="page"/>
      </w:r>
    </w:p>
    <w:p w14:paraId="232BF164" w14:textId="77777777" w:rsidR="00305CCD" w:rsidRPr="00305CCD" w:rsidRDefault="00305CCD" w:rsidP="00305CCD">
      <w:pPr>
        <w:spacing w:after="0" w:line="360" w:lineRule="auto"/>
        <w:jc w:val="both"/>
        <w:rPr>
          <w:rFonts w:ascii="Times New Roman" w:eastAsia="等线" w:hAnsi="Times New Roman" w:cs="Times New Roman"/>
          <w:b/>
          <w:bCs/>
          <w:sz w:val="24"/>
          <w14:ligatures w14:val="none"/>
        </w:rPr>
        <w:sectPr w:rsidR="00305CCD" w:rsidRPr="00305CCD" w:rsidSect="00305CCD">
          <w:pgSz w:w="16838" w:h="11906" w:orient="landscape"/>
          <w:pgMar w:top="1440" w:right="1440" w:bottom="1440" w:left="1440" w:header="851" w:footer="992" w:gutter="0"/>
          <w:cols w:space="425"/>
          <w:docGrid w:type="lines" w:linePitch="312"/>
        </w:sectPr>
      </w:pPr>
    </w:p>
    <w:p w14:paraId="67D84D23"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lastRenderedPageBreak/>
        <w:t>Supplement table 3.</w:t>
      </w:r>
      <w:r w:rsidRPr="00305CCD">
        <w:rPr>
          <w:rFonts w:ascii="Times New Roman" w:eastAsia="等线" w:hAnsi="Times New Roman" w:cs="Times New Roman"/>
          <w:sz w:val="21"/>
          <w:szCs w:val="21"/>
          <w14:ligatures w14:val="none"/>
        </w:rPr>
        <w:t xml:space="preserve"> Association between different admission serum phosphate categories and occurrence of AKI 2-3 stage in the total patients and in patients with acute kidney injury</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2"/>
        <w:gridCol w:w="1536"/>
        <w:gridCol w:w="807"/>
        <w:gridCol w:w="864"/>
        <w:gridCol w:w="1511"/>
        <w:gridCol w:w="807"/>
        <w:gridCol w:w="864"/>
        <w:gridCol w:w="1511"/>
        <w:gridCol w:w="807"/>
        <w:gridCol w:w="864"/>
        <w:gridCol w:w="1511"/>
        <w:gridCol w:w="689"/>
        <w:gridCol w:w="865"/>
      </w:tblGrid>
      <w:tr w:rsidR="00305CCD" w:rsidRPr="00305CCD" w14:paraId="13564A3D" w14:textId="77777777" w:rsidTr="00554E82">
        <w:trPr>
          <w:trHeight w:val="310"/>
          <w:jc w:val="center"/>
        </w:trPr>
        <w:tc>
          <w:tcPr>
            <w:tcW w:w="1404" w:type="dxa"/>
            <w:vMerge w:val="restart"/>
            <w:tcBorders>
              <w:top w:val="single" w:sz="4" w:space="0" w:color="auto"/>
            </w:tcBorders>
            <w:vAlign w:val="center"/>
          </w:tcPr>
          <w:p w14:paraId="70142050"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Admission serum phosphate (mmol/L)</w:t>
            </w:r>
          </w:p>
        </w:tc>
        <w:tc>
          <w:tcPr>
            <w:tcW w:w="3217" w:type="dxa"/>
            <w:gridSpan w:val="3"/>
            <w:tcBorders>
              <w:top w:val="single" w:sz="4" w:space="0" w:color="auto"/>
              <w:bottom w:val="single" w:sz="4" w:space="0" w:color="auto"/>
            </w:tcBorders>
            <w:vAlign w:val="center"/>
          </w:tcPr>
          <w:p w14:paraId="4F288CC8"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Univariate analysis </w:t>
            </w:r>
            <w:r w:rsidRPr="00305CCD">
              <w:rPr>
                <w:rFonts w:ascii="Times New Roman" w:eastAsia="等线" w:hAnsi="Times New Roman" w:cs="Times New Roman"/>
                <w:szCs w:val="20"/>
                <w:vertAlign w:val="superscript"/>
              </w:rPr>
              <w:t>a</w:t>
            </w:r>
          </w:p>
        </w:tc>
        <w:tc>
          <w:tcPr>
            <w:tcW w:w="3090" w:type="dxa"/>
            <w:gridSpan w:val="3"/>
            <w:tcBorders>
              <w:top w:val="single" w:sz="4" w:space="0" w:color="auto"/>
              <w:bottom w:val="single" w:sz="4" w:space="0" w:color="auto"/>
            </w:tcBorders>
            <w:vAlign w:val="center"/>
          </w:tcPr>
          <w:p w14:paraId="61ADA7E6"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Multivariate analysis </w:t>
            </w:r>
            <w:proofErr w:type="spellStart"/>
            <w:r w:rsidRPr="00305CCD">
              <w:rPr>
                <w:rFonts w:ascii="Times New Roman" w:eastAsia="等线" w:hAnsi="Times New Roman" w:cs="Times New Roman"/>
                <w:szCs w:val="20"/>
                <w:vertAlign w:val="superscript"/>
              </w:rPr>
              <w:t>a,b</w:t>
            </w:r>
            <w:proofErr w:type="spellEnd"/>
          </w:p>
        </w:tc>
        <w:tc>
          <w:tcPr>
            <w:tcW w:w="3182" w:type="dxa"/>
            <w:gridSpan w:val="3"/>
            <w:tcBorders>
              <w:top w:val="single" w:sz="4" w:space="0" w:color="auto"/>
              <w:bottom w:val="single" w:sz="4" w:space="0" w:color="auto"/>
            </w:tcBorders>
            <w:vAlign w:val="center"/>
          </w:tcPr>
          <w:p w14:paraId="5E0F1B30"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Univariate analysis </w:t>
            </w:r>
            <w:r w:rsidRPr="00305CCD">
              <w:rPr>
                <w:rFonts w:ascii="Times New Roman" w:eastAsia="等线" w:hAnsi="Times New Roman" w:cs="Times New Roman"/>
                <w:szCs w:val="20"/>
                <w:vertAlign w:val="superscript"/>
              </w:rPr>
              <w:t>c</w:t>
            </w:r>
          </w:p>
        </w:tc>
        <w:tc>
          <w:tcPr>
            <w:tcW w:w="3065" w:type="dxa"/>
            <w:gridSpan w:val="3"/>
            <w:tcBorders>
              <w:top w:val="single" w:sz="4" w:space="0" w:color="auto"/>
              <w:bottom w:val="single" w:sz="4" w:space="0" w:color="auto"/>
            </w:tcBorders>
            <w:vAlign w:val="center"/>
          </w:tcPr>
          <w:p w14:paraId="0492EB37"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Multivariate analysis </w:t>
            </w:r>
            <w:proofErr w:type="spellStart"/>
            <w:r w:rsidRPr="00305CCD">
              <w:rPr>
                <w:rFonts w:ascii="Times New Roman" w:eastAsia="等线" w:hAnsi="Times New Roman" w:cs="Times New Roman"/>
                <w:szCs w:val="20"/>
                <w:vertAlign w:val="superscript"/>
              </w:rPr>
              <w:t>c,d</w:t>
            </w:r>
            <w:proofErr w:type="spellEnd"/>
          </w:p>
        </w:tc>
      </w:tr>
      <w:tr w:rsidR="00305CCD" w:rsidRPr="00305CCD" w14:paraId="50F7E2A3" w14:textId="77777777" w:rsidTr="00554E82">
        <w:trPr>
          <w:trHeight w:val="310"/>
          <w:jc w:val="center"/>
        </w:trPr>
        <w:tc>
          <w:tcPr>
            <w:tcW w:w="1404" w:type="dxa"/>
            <w:vMerge/>
            <w:tcBorders>
              <w:bottom w:val="single" w:sz="4" w:space="0" w:color="auto"/>
            </w:tcBorders>
            <w:vAlign w:val="center"/>
          </w:tcPr>
          <w:p w14:paraId="706AD4E8" w14:textId="77777777" w:rsidR="00305CCD" w:rsidRPr="00305CCD" w:rsidRDefault="00305CCD" w:rsidP="00305CCD">
            <w:pPr>
              <w:spacing w:line="360" w:lineRule="auto"/>
              <w:jc w:val="both"/>
              <w:rPr>
                <w:rFonts w:ascii="Times New Roman" w:eastAsia="等线" w:hAnsi="Times New Roman" w:cs="Times New Roman"/>
                <w:szCs w:val="20"/>
              </w:rPr>
            </w:pPr>
          </w:p>
        </w:tc>
        <w:tc>
          <w:tcPr>
            <w:tcW w:w="1546" w:type="dxa"/>
            <w:tcBorders>
              <w:top w:val="single" w:sz="4" w:space="0" w:color="auto"/>
              <w:bottom w:val="single" w:sz="4" w:space="0" w:color="auto"/>
            </w:tcBorders>
            <w:vAlign w:val="center"/>
          </w:tcPr>
          <w:p w14:paraId="4D76C4D0"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OR (95%CI)</w:t>
            </w:r>
          </w:p>
        </w:tc>
        <w:tc>
          <w:tcPr>
            <w:tcW w:w="807" w:type="dxa"/>
            <w:tcBorders>
              <w:top w:val="single" w:sz="4" w:space="0" w:color="auto"/>
              <w:bottom w:val="single" w:sz="4" w:space="0" w:color="auto"/>
            </w:tcBorders>
            <w:vAlign w:val="center"/>
          </w:tcPr>
          <w:p w14:paraId="60693534"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P</w:t>
            </w:r>
          </w:p>
        </w:tc>
        <w:tc>
          <w:tcPr>
            <w:tcW w:w="864" w:type="dxa"/>
            <w:tcBorders>
              <w:top w:val="single" w:sz="4" w:space="0" w:color="auto"/>
              <w:bottom w:val="single" w:sz="4" w:space="0" w:color="auto"/>
            </w:tcBorders>
            <w:vAlign w:val="center"/>
          </w:tcPr>
          <w:p w14:paraId="3F2AFD55" w14:textId="77777777" w:rsidR="00305CCD" w:rsidRPr="00305CCD" w:rsidRDefault="00305CCD" w:rsidP="00305CCD">
            <w:pPr>
              <w:spacing w:line="360" w:lineRule="auto"/>
              <w:jc w:val="both"/>
              <w:rPr>
                <w:rFonts w:ascii="Times New Roman" w:eastAsia="等线" w:hAnsi="Times New Roman" w:cs="Times New Roman"/>
                <w:szCs w:val="20"/>
              </w:rPr>
            </w:pPr>
            <w:proofErr w:type="spellStart"/>
            <w:r w:rsidRPr="00305CCD">
              <w:rPr>
                <w:rFonts w:ascii="Times New Roman" w:eastAsia="等线" w:hAnsi="Times New Roman" w:cs="Times New Roman"/>
                <w:szCs w:val="20"/>
              </w:rPr>
              <w:t>P.adjust</w:t>
            </w:r>
            <w:proofErr w:type="spellEnd"/>
          </w:p>
        </w:tc>
        <w:tc>
          <w:tcPr>
            <w:tcW w:w="1511" w:type="dxa"/>
            <w:tcBorders>
              <w:top w:val="single" w:sz="4" w:space="0" w:color="auto"/>
              <w:bottom w:val="single" w:sz="4" w:space="0" w:color="auto"/>
            </w:tcBorders>
            <w:vAlign w:val="center"/>
          </w:tcPr>
          <w:p w14:paraId="6F457FDD"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  OR (95%CI)</w:t>
            </w:r>
          </w:p>
        </w:tc>
        <w:tc>
          <w:tcPr>
            <w:tcW w:w="715" w:type="dxa"/>
            <w:tcBorders>
              <w:top w:val="single" w:sz="4" w:space="0" w:color="auto"/>
              <w:bottom w:val="single" w:sz="4" w:space="0" w:color="auto"/>
            </w:tcBorders>
            <w:vAlign w:val="center"/>
          </w:tcPr>
          <w:p w14:paraId="58474741"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P</w:t>
            </w:r>
          </w:p>
        </w:tc>
        <w:tc>
          <w:tcPr>
            <w:tcW w:w="864" w:type="dxa"/>
            <w:tcBorders>
              <w:top w:val="single" w:sz="4" w:space="0" w:color="auto"/>
              <w:bottom w:val="single" w:sz="4" w:space="0" w:color="auto"/>
            </w:tcBorders>
            <w:vAlign w:val="center"/>
          </w:tcPr>
          <w:p w14:paraId="41858020" w14:textId="77777777" w:rsidR="00305CCD" w:rsidRPr="00305CCD" w:rsidRDefault="00305CCD" w:rsidP="00305CCD">
            <w:pPr>
              <w:spacing w:line="360" w:lineRule="auto"/>
              <w:jc w:val="both"/>
              <w:rPr>
                <w:rFonts w:ascii="Times New Roman" w:eastAsia="等线" w:hAnsi="Times New Roman" w:cs="Times New Roman"/>
                <w:szCs w:val="20"/>
              </w:rPr>
            </w:pPr>
            <w:proofErr w:type="spellStart"/>
            <w:r w:rsidRPr="00305CCD">
              <w:rPr>
                <w:rFonts w:ascii="Times New Roman" w:eastAsia="等线" w:hAnsi="Times New Roman" w:cs="Times New Roman"/>
                <w:szCs w:val="20"/>
              </w:rPr>
              <w:t>P.adjust</w:t>
            </w:r>
            <w:proofErr w:type="spellEnd"/>
          </w:p>
        </w:tc>
        <w:tc>
          <w:tcPr>
            <w:tcW w:w="1511" w:type="dxa"/>
            <w:tcBorders>
              <w:top w:val="single" w:sz="4" w:space="0" w:color="auto"/>
              <w:bottom w:val="single" w:sz="4" w:space="0" w:color="auto"/>
            </w:tcBorders>
            <w:vAlign w:val="center"/>
          </w:tcPr>
          <w:p w14:paraId="39911A9A"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OR (95%CI)</w:t>
            </w:r>
          </w:p>
        </w:tc>
        <w:tc>
          <w:tcPr>
            <w:tcW w:w="807" w:type="dxa"/>
            <w:tcBorders>
              <w:top w:val="single" w:sz="4" w:space="0" w:color="auto"/>
              <w:bottom w:val="single" w:sz="4" w:space="0" w:color="auto"/>
            </w:tcBorders>
            <w:vAlign w:val="center"/>
          </w:tcPr>
          <w:p w14:paraId="0EB64AA8"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P</w:t>
            </w:r>
          </w:p>
        </w:tc>
        <w:tc>
          <w:tcPr>
            <w:tcW w:w="864" w:type="dxa"/>
            <w:tcBorders>
              <w:top w:val="single" w:sz="4" w:space="0" w:color="auto"/>
              <w:bottom w:val="single" w:sz="4" w:space="0" w:color="auto"/>
            </w:tcBorders>
            <w:vAlign w:val="center"/>
          </w:tcPr>
          <w:p w14:paraId="025AD82A" w14:textId="77777777" w:rsidR="00305CCD" w:rsidRPr="00305CCD" w:rsidRDefault="00305CCD" w:rsidP="00305CCD">
            <w:pPr>
              <w:spacing w:line="360" w:lineRule="auto"/>
              <w:jc w:val="both"/>
              <w:rPr>
                <w:rFonts w:ascii="Times New Roman" w:eastAsia="等线" w:hAnsi="Times New Roman" w:cs="Times New Roman"/>
                <w:szCs w:val="20"/>
              </w:rPr>
            </w:pPr>
            <w:proofErr w:type="spellStart"/>
            <w:r w:rsidRPr="00305CCD">
              <w:rPr>
                <w:rFonts w:ascii="Times New Roman" w:eastAsia="等线" w:hAnsi="Times New Roman" w:cs="Times New Roman"/>
                <w:szCs w:val="20"/>
              </w:rPr>
              <w:t>P.adjust</w:t>
            </w:r>
            <w:proofErr w:type="spellEnd"/>
          </w:p>
        </w:tc>
        <w:tc>
          <w:tcPr>
            <w:tcW w:w="1511" w:type="dxa"/>
            <w:tcBorders>
              <w:top w:val="single" w:sz="4" w:space="0" w:color="auto"/>
              <w:bottom w:val="single" w:sz="4" w:space="0" w:color="auto"/>
            </w:tcBorders>
            <w:vAlign w:val="center"/>
          </w:tcPr>
          <w:p w14:paraId="72238185"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OR (95%CI)</w:t>
            </w:r>
          </w:p>
        </w:tc>
        <w:tc>
          <w:tcPr>
            <w:tcW w:w="689" w:type="dxa"/>
            <w:tcBorders>
              <w:top w:val="single" w:sz="4" w:space="0" w:color="auto"/>
              <w:bottom w:val="single" w:sz="4" w:space="0" w:color="auto"/>
            </w:tcBorders>
            <w:vAlign w:val="center"/>
          </w:tcPr>
          <w:p w14:paraId="572CC959"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P</w:t>
            </w:r>
          </w:p>
        </w:tc>
        <w:tc>
          <w:tcPr>
            <w:tcW w:w="865" w:type="dxa"/>
            <w:tcBorders>
              <w:top w:val="single" w:sz="4" w:space="0" w:color="auto"/>
              <w:bottom w:val="single" w:sz="4" w:space="0" w:color="auto"/>
            </w:tcBorders>
            <w:vAlign w:val="center"/>
          </w:tcPr>
          <w:p w14:paraId="6C3539D0" w14:textId="77777777" w:rsidR="00305CCD" w:rsidRPr="00305CCD" w:rsidRDefault="00305CCD" w:rsidP="00305CCD">
            <w:pPr>
              <w:spacing w:line="360" w:lineRule="auto"/>
              <w:jc w:val="both"/>
              <w:rPr>
                <w:rFonts w:ascii="Times New Roman" w:eastAsia="等线" w:hAnsi="Times New Roman" w:cs="Times New Roman"/>
                <w:szCs w:val="20"/>
              </w:rPr>
            </w:pPr>
            <w:proofErr w:type="spellStart"/>
            <w:r w:rsidRPr="00305CCD">
              <w:rPr>
                <w:rFonts w:ascii="Times New Roman" w:eastAsia="等线" w:hAnsi="Times New Roman" w:cs="Times New Roman"/>
                <w:szCs w:val="20"/>
              </w:rPr>
              <w:t>P.adjust</w:t>
            </w:r>
            <w:proofErr w:type="spellEnd"/>
          </w:p>
        </w:tc>
      </w:tr>
      <w:tr w:rsidR="00305CCD" w:rsidRPr="00305CCD" w14:paraId="445E2550" w14:textId="77777777" w:rsidTr="00554E82">
        <w:trPr>
          <w:trHeight w:val="310"/>
          <w:jc w:val="center"/>
        </w:trPr>
        <w:tc>
          <w:tcPr>
            <w:tcW w:w="1404" w:type="dxa"/>
            <w:tcBorders>
              <w:top w:val="single" w:sz="4" w:space="0" w:color="auto"/>
            </w:tcBorders>
          </w:tcPr>
          <w:p w14:paraId="50BE6DA4"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 w:val="20"/>
                <w:szCs w:val="20"/>
              </w:rPr>
              <w:t>&lt;0.81</w:t>
            </w:r>
          </w:p>
        </w:tc>
        <w:tc>
          <w:tcPr>
            <w:tcW w:w="1546" w:type="dxa"/>
            <w:vAlign w:val="center"/>
          </w:tcPr>
          <w:p w14:paraId="34811208"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微软雅黑" w:hAnsi="Times New Roman" w:cs="Times New Roman"/>
                <w:szCs w:val="20"/>
              </w:rPr>
              <w:t>2.58[2.02,3.25]</w:t>
            </w:r>
          </w:p>
        </w:tc>
        <w:tc>
          <w:tcPr>
            <w:tcW w:w="807" w:type="dxa"/>
            <w:tcBorders>
              <w:top w:val="nil"/>
              <w:left w:val="nil"/>
              <w:bottom w:val="nil"/>
              <w:right w:val="nil"/>
            </w:tcBorders>
            <w:vAlign w:val="center"/>
          </w:tcPr>
          <w:p w14:paraId="569D947F"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color w:val="000000"/>
                <w:szCs w:val="20"/>
              </w:rPr>
              <w:t>&lt;0.001</w:t>
            </w:r>
          </w:p>
        </w:tc>
        <w:tc>
          <w:tcPr>
            <w:tcW w:w="864" w:type="dxa"/>
            <w:vAlign w:val="center"/>
          </w:tcPr>
          <w:p w14:paraId="7656B2EF"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1511" w:type="dxa"/>
            <w:vAlign w:val="center"/>
          </w:tcPr>
          <w:p w14:paraId="771B831E"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1.31[1.00,1.69]</w:t>
            </w:r>
          </w:p>
        </w:tc>
        <w:tc>
          <w:tcPr>
            <w:tcW w:w="715" w:type="dxa"/>
            <w:vAlign w:val="center"/>
          </w:tcPr>
          <w:p w14:paraId="7581FF52"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0.045</w:t>
            </w:r>
          </w:p>
        </w:tc>
        <w:tc>
          <w:tcPr>
            <w:tcW w:w="864" w:type="dxa"/>
            <w:vAlign w:val="center"/>
          </w:tcPr>
          <w:p w14:paraId="172CDC83"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0.091</w:t>
            </w:r>
          </w:p>
        </w:tc>
        <w:tc>
          <w:tcPr>
            <w:tcW w:w="1511" w:type="dxa"/>
            <w:tcBorders>
              <w:top w:val="single" w:sz="4" w:space="0" w:color="auto"/>
            </w:tcBorders>
            <w:vAlign w:val="center"/>
          </w:tcPr>
          <w:p w14:paraId="2F143A79"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1.73[1.33,2.22]</w:t>
            </w:r>
          </w:p>
        </w:tc>
        <w:tc>
          <w:tcPr>
            <w:tcW w:w="807" w:type="dxa"/>
            <w:tcBorders>
              <w:top w:val="nil"/>
              <w:left w:val="nil"/>
              <w:bottom w:val="nil"/>
              <w:right w:val="nil"/>
            </w:tcBorders>
            <w:vAlign w:val="center"/>
          </w:tcPr>
          <w:p w14:paraId="3614063B"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等线" w:hAnsi="Times New Roman" w:cs="Times New Roman"/>
                <w:color w:val="000000"/>
                <w:szCs w:val="20"/>
              </w:rPr>
              <w:t>&lt;0.001</w:t>
            </w:r>
          </w:p>
        </w:tc>
        <w:tc>
          <w:tcPr>
            <w:tcW w:w="864" w:type="dxa"/>
            <w:tcBorders>
              <w:top w:val="single" w:sz="4" w:space="0" w:color="auto"/>
            </w:tcBorders>
            <w:vAlign w:val="center"/>
          </w:tcPr>
          <w:p w14:paraId="393FC9D8"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1511" w:type="dxa"/>
            <w:tcBorders>
              <w:top w:val="single" w:sz="4" w:space="0" w:color="auto"/>
            </w:tcBorders>
            <w:vAlign w:val="center"/>
          </w:tcPr>
          <w:p w14:paraId="5F2F3716"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1.28[0.97,1.68]</w:t>
            </w:r>
          </w:p>
        </w:tc>
        <w:tc>
          <w:tcPr>
            <w:tcW w:w="689" w:type="dxa"/>
            <w:tcBorders>
              <w:top w:val="single" w:sz="4" w:space="0" w:color="auto"/>
            </w:tcBorders>
            <w:vAlign w:val="center"/>
          </w:tcPr>
          <w:p w14:paraId="31613C1B"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Cs w:val="20"/>
              </w:rPr>
              <w:t>0.077</w:t>
            </w:r>
          </w:p>
        </w:tc>
        <w:tc>
          <w:tcPr>
            <w:tcW w:w="865" w:type="dxa"/>
            <w:tcBorders>
              <w:top w:val="single" w:sz="4" w:space="0" w:color="auto"/>
            </w:tcBorders>
            <w:vAlign w:val="center"/>
          </w:tcPr>
          <w:p w14:paraId="7A4BADF9"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Cs w:val="20"/>
              </w:rPr>
              <w:t>1.000</w:t>
            </w:r>
          </w:p>
        </w:tc>
      </w:tr>
      <w:tr w:rsidR="00305CCD" w:rsidRPr="00305CCD" w14:paraId="1CC71C15" w14:textId="77777777" w:rsidTr="00554E82">
        <w:trPr>
          <w:trHeight w:val="310"/>
          <w:jc w:val="center"/>
        </w:trPr>
        <w:tc>
          <w:tcPr>
            <w:tcW w:w="1404" w:type="dxa"/>
          </w:tcPr>
          <w:p w14:paraId="6ACA51A4"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 w:val="20"/>
                <w:szCs w:val="20"/>
              </w:rPr>
              <w:t>0.81-1.45</w:t>
            </w:r>
          </w:p>
        </w:tc>
        <w:tc>
          <w:tcPr>
            <w:tcW w:w="1546" w:type="dxa"/>
            <w:tcBorders>
              <w:bottom w:val="nil"/>
            </w:tcBorders>
          </w:tcPr>
          <w:p w14:paraId="6EAAE9C6"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微软雅黑" w:hAnsi="Times New Roman" w:cs="Times New Roman"/>
                <w:sz w:val="20"/>
                <w:szCs w:val="20"/>
              </w:rPr>
              <w:t>REF</w:t>
            </w:r>
          </w:p>
        </w:tc>
        <w:tc>
          <w:tcPr>
            <w:tcW w:w="807" w:type="dxa"/>
            <w:tcBorders>
              <w:top w:val="nil"/>
              <w:left w:val="nil"/>
              <w:bottom w:val="nil"/>
              <w:right w:val="nil"/>
            </w:tcBorders>
            <w:vAlign w:val="center"/>
          </w:tcPr>
          <w:p w14:paraId="2DD75208"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color w:val="000000"/>
                <w:sz w:val="20"/>
                <w:szCs w:val="20"/>
              </w:rPr>
              <w:t>REF</w:t>
            </w:r>
          </w:p>
        </w:tc>
        <w:tc>
          <w:tcPr>
            <w:tcW w:w="864" w:type="dxa"/>
          </w:tcPr>
          <w:p w14:paraId="3872D58C"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微软雅黑" w:hAnsi="Times New Roman" w:cs="Times New Roman"/>
                <w:sz w:val="20"/>
                <w:szCs w:val="20"/>
              </w:rPr>
              <w:t>REF</w:t>
            </w:r>
          </w:p>
        </w:tc>
        <w:tc>
          <w:tcPr>
            <w:tcW w:w="1511" w:type="dxa"/>
            <w:tcBorders>
              <w:top w:val="nil"/>
              <w:left w:val="nil"/>
              <w:bottom w:val="nil"/>
              <w:right w:val="nil"/>
            </w:tcBorders>
            <w:vAlign w:val="center"/>
          </w:tcPr>
          <w:p w14:paraId="28773121"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 w:val="20"/>
                <w:szCs w:val="20"/>
              </w:rPr>
              <w:t>REF</w:t>
            </w:r>
          </w:p>
        </w:tc>
        <w:tc>
          <w:tcPr>
            <w:tcW w:w="715" w:type="dxa"/>
          </w:tcPr>
          <w:p w14:paraId="7FA48D96"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微软雅黑" w:hAnsi="Times New Roman" w:cs="Times New Roman"/>
                <w:sz w:val="20"/>
                <w:szCs w:val="20"/>
              </w:rPr>
              <w:t>REF</w:t>
            </w:r>
          </w:p>
        </w:tc>
        <w:tc>
          <w:tcPr>
            <w:tcW w:w="864" w:type="dxa"/>
            <w:tcBorders>
              <w:top w:val="nil"/>
              <w:left w:val="nil"/>
              <w:bottom w:val="nil"/>
              <w:right w:val="nil"/>
            </w:tcBorders>
            <w:vAlign w:val="center"/>
          </w:tcPr>
          <w:p w14:paraId="66D8A216"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 w:val="20"/>
                <w:szCs w:val="20"/>
              </w:rPr>
              <w:t>REF</w:t>
            </w:r>
          </w:p>
        </w:tc>
        <w:tc>
          <w:tcPr>
            <w:tcW w:w="1511" w:type="dxa"/>
          </w:tcPr>
          <w:p w14:paraId="1FCF03BB"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微软雅黑" w:hAnsi="Times New Roman" w:cs="Times New Roman"/>
                <w:sz w:val="20"/>
                <w:szCs w:val="20"/>
              </w:rPr>
              <w:t>REF</w:t>
            </w:r>
          </w:p>
        </w:tc>
        <w:tc>
          <w:tcPr>
            <w:tcW w:w="807" w:type="dxa"/>
          </w:tcPr>
          <w:p w14:paraId="63CED953"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 w:val="20"/>
                <w:szCs w:val="20"/>
              </w:rPr>
              <w:t>REF</w:t>
            </w:r>
          </w:p>
        </w:tc>
        <w:tc>
          <w:tcPr>
            <w:tcW w:w="864" w:type="dxa"/>
          </w:tcPr>
          <w:p w14:paraId="11742E6E"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微软雅黑" w:hAnsi="Times New Roman" w:cs="Times New Roman"/>
                <w:sz w:val="20"/>
                <w:szCs w:val="20"/>
              </w:rPr>
              <w:t>REF</w:t>
            </w:r>
          </w:p>
        </w:tc>
        <w:tc>
          <w:tcPr>
            <w:tcW w:w="1511" w:type="dxa"/>
            <w:tcBorders>
              <w:top w:val="nil"/>
              <w:left w:val="nil"/>
              <w:bottom w:val="nil"/>
              <w:right w:val="nil"/>
            </w:tcBorders>
            <w:vAlign w:val="center"/>
          </w:tcPr>
          <w:p w14:paraId="3125ED4E"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 w:val="20"/>
                <w:szCs w:val="20"/>
              </w:rPr>
              <w:t>REF</w:t>
            </w:r>
          </w:p>
        </w:tc>
        <w:tc>
          <w:tcPr>
            <w:tcW w:w="689" w:type="dxa"/>
          </w:tcPr>
          <w:p w14:paraId="170D9DC8"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 w:val="20"/>
                <w:szCs w:val="20"/>
              </w:rPr>
              <w:t>REF</w:t>
            </w:r>
          </w:p>
        </w:tc>
        <w:tc>
          <w:tcPr>
            <w:tcW w:w="865" w:type="dxa"/>
          </w:tcPr>
          <w:p w14:paraId="006AD056"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 w:val="20"/>
                <w:szCs w:val="20"/>
              </w:rPr>
              <w:t>REF</w:t>
            </w:r>
          </w:p>
        </w:tc>
      </w:tr>
      <w:tr w:rsidR="00305CCD" w:rsidRPr="00305CCD" w14:paraId="39420263" w14:textId="77777777" w:rsidTr="00554E82">
        <w:trPr>
          <w:trHeight w:val="310"/>
          <w:jc w:val="center"/>
        </w:trPr>
        <w:tc>
          <w:tcPr>
            <w:tcW w:w="1404" w:type="dxa"/>
          </w:tcPr>
          <w:p w14:paraId="1D8D04E2"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 w:val="20"/>
                <w:szCs w:val="20"/>
              </w:rPr>
              <w:t>&gt;1.45</w:t>
            </w:r>
          </w:p>
        </w:tc>
        <w:tc>
          <w:tcPr>
            <w:tcW w:w="1546" w:type="dxa"/>
            <w:vAlign w:val="center"/>
          </w:tcPr>
          <w:p w14:paraId="46011A5F"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微软雅黑" w:hAnsi="Times New Roman" w:cs="Times New Roman"/>
                <w:szCs w:val="20"/>
              </w:rPr>
              <w:t>2.01[1.62,2.47]</w:t>
            </w:r>
          </w:p>
        </w:tc>
        <w:tc>
          <w:tcPr>
            <w:tcW w:w="807" w:type="dxa"/>
            <w:tcBorders>
              <w:top w:val="nil"/>
              <w:left w:val="nil"/>
              <w:bottom w:val="nil"/>
              <w:right w:val="nil"/>
            </w:tcBorders>
            <w:vAlign w:val="center"/>
          </w:tcPr>
          <w:p w14:paraId="335D7C8D"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color w:val="000000"/>
                <w:szCs w:val="20"/>
              </w:rPr>
              <w:t>&lt;0.001</w:t>
            </w:r>
          </w:p>
        </w:tc>
        <w:tc>
          <w:tcPr>
            <w:tcW w:w="864" w:type="dxa"/>
            <w:vAlign w:val="center"/>
          </w:tcPr>
          <w:p w14:paraId="247FFAB3"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1511" w:type="dxa"/>
            <w:vAlign w:val="center"/>
          </w:tcPr>
          <w:p w14:paraId="5CC177D2"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1.54[1.22,1.93]</w:t>
            </w:r>
          </w:p>
        </w:tc>
        <w:tc>
          <w:tcPr>
            <w:tcW w:w="715" w:type="dxa"/>
            <w:vAlign w:val="center"/>
          </w:tcPr>
          <w:p w14:paraId="051EA87B"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864" w:type="dxa"/>
            <w:vAlign w:val="center"/>
          </w:tcPr>
          <w:p w14:paraId="04322D76"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1511" w:type="dxa"/>
            <w:vAlign w:val="center"/>
          </w:tcPr>
          <w:p w14:paraId="1406B2E1"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1.43[1.14,1.78]</w:t>
            </w:r>
          </w:p>
        </w:tc>
        <w:tc>
          <w:tcPr>
            <w:tcW w:w="807" w:type="dxa"/>
            <w:tcBorders>
              <w:top w:val="nil"/>
              <w:left w:val="nil"/>
              <w:bottom w:val="nil"/>
              <w:right w:val="nil"/>
            </w:tcBorders>
            <w:vAlign w:val="center"/>
          </w:tcPr>
          <w:p w14:paraId="60091F41"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等线" w:hAnsi="Times New Roman" w:cs="Times New Roman"/>
                <w:color w:val="000000"/>
                <w:szCs w:val="20"/>
              </w:rPr>
              <w:t>0.002</w:t>
            </w:r>
          </w:p>
        </w:tc>
        <w:tc>
          <w:tcPr>
            <w:tcW w:w="864" w:type="dxa"/>
            <w:vAlign w:val="center"/>
          </w:tcPr>
          <w:p w14:paraId="5900DF52"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0.004</w:t>
            </w:r>
          </w:p>
        </w:tc>
        <w:tc>
          <w:tcPr>
            <w:tcW w:w="1511" w:type="dxa"/>
            <w:vAlign w:val="center"/>
          </w:tcPr>
          <w:p w14:paraId="11843D69"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1.35[1.06,1.71]</w:t>
            </w:r>
          </w:p>
        </w:tc>
        <w:tc>
          <w:tcPr>
            <w:tcW w:w="689" w:type="dxa"/>
            <w:vAlign w:val="center"/>
          </w:tcPr>
          <w:p w14:paraId="193498D9"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Cs w:val="20"/>
              </w:rPr>
              <w:t>0.014</w:t>
            </w:r>
          </w:p>
        </w:tc>
        <w:tc>
          <w:tcPr>
            <w:tcW w:w="865" w:type="dxa"/>
            <w:vAlign w:val="center"/>
          </w:tcPr>
          <w:p w14:paraId="11D87D0C"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Cs w:val="20"/>
              </w:rPr>
              <w:t>0.226</w:t>
            </w:r>
          </w:p>
        </w:tc>
      </w:tr>
    </w:tbl>
    <w:p w14:paraId="34625F51"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roofErr w:type="spellStart"/>
      <w:r w:rsidRPr="00305CCD">
        <w:rPr>
          <w:rFonts w:ascii="Times New Roman" w:eastAsia="等线" w:hAnsi="Times New Roman" w:cs="Times New Roman"/>
          <w:sz w:val="21"/>
          <w:szCs w:val="21"/>
          <w:vertAlign w:val="superscript"/>
          <w14:ligatures w14:val="none"/>
        </w:rPr>
        <w:t>a</w:t>
      </w:r>
      <w:r w:rsidRPr="00305CCD">
        <w:rPr>
          <w:rFonts w:ascii="Times New Roman" w:eastAsia="等线" w:hAnsi="Times New Roman" w:cs="Times New Roman"/>
          <w:sz w:val="21"/>
          <w:szCs w:val="21"/>
          <w14:ligatures w14:val="none"/>
        </w:rPr>
        <w:t>In</w:t>
      </w:r>
      <w:proofErr w:type="spellEnd"/>
      <w:r w:rsidRPr="00305CCD">
        <w:rPr>
          <w:rFonts w:ascii="Times New Roman" w:eastAsia="等线" w:hAnsi="Times New Roman" w:cs="Times New Roman"/>
          <w:sz w:val="21"/>
          <w:szCs w:val="21"/>
          <w14:ligatures w14:val="none"/>
        </w:rPr>
        <w:t xml:space="preserve"> total patients, </w:t>
      </w:r>
      <w:r w:rsidRPr="00305CCD">
        <w:rPr>
          <w:rFonts w:ascii="Times New Roman" w:eastAsia="等线" w:hAnsi="Times New Roman" w:cs="Times New Roman"/>
          <w:sz w:val="21"/>
          <w:szCs w:val="21"/>
          <w:vertAlign w:val="superscript"/>
          <w14:ligatures w14:val="none"/>
        </w:rPr>
        <w:t xml:space="preserve">c </w:t>
      </w:r>
      <w:r w:rsidRPr="00305CCD">
        <w:rPr>
          <w:rFonts w:ascii="Times New Roman" w:eastAsia="等线" w:hAnsi="Times New Roman" w:cs="Times New Roman"/>
          <w:sz w:val="21"/>
          <w:szCs w:val="21"/>
          <w14:ligatures w14:val="none"/>
        </w:rPr>
        <w:t>in patients with AKI</w:t>
      </w:r>
    </w:p>
    <w:p w14:paraId="3CEF679D"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roofErr w:type="spellStart"/>
      <w:r w:rsidRPr="00305CCD">
        <w:rPr>
          <w:rFonts w:ascii="Times New Roman" w:eastAsia="等线" w:hAnsi="Times New Roman" w:cs="Times New Roman"/>
          <w:sz w:val="21"/>
          <w:szCs w:val="21"/>
          <w:vertAlign w:val="superscript"/>
          <w14:ligatures w14:val="none"/>
        </w:rPr>
        <w:t>b</w:t>
      </w:r>
      <w:r w:rsidRPr="00305CCD">
        <w:rPr>
          <w:rFonts w:ascii="Times New Roman" w:eastAsia="等线" w:hAnsi="Times New Roman" w:cs="Times New Roman"/>
          <w:sz w:val="21"/>
          <w:szCs w:val="21"/>
          <w14:ligatures w14:val="none"/>
        </w:rPr>
        <w:t>Adjusted</w:t>
      </w:r>
      <w:proofErr w:type="spellEnd"/>
      <w:r w:rsidRPr="00305CCD">
        <w:rPr>
          <w:rFonts w:ascii="Times New Roman" w:eastAsia="等线" w:hAnsi="Times New Roman" w:cs="Times New Roman"/>
          <w:sz w:val="21"/>
          <w:szCs w:val="21"/>
          <w14:ligatures w14:val="none"/>
        </w:rPr>
        <w:t xml:space="preserve"> for surgery department, intensive care unit, hypertension, heart failure, cirrhosis or liver failure, hemoglobin, urea nitrogen, uric acid, albumin, angiotensin receptor blockers/angiotensin-converting enzyme inhibitors (ARB/ACEI), diuretic, non-steroidal anti-inflammatory drugs (NSAIDs), intra-aortic balloon pump(IABP), invasive ventilator, glycopeptide antibiotics, antifungal drugs, uric acid-lowering medication, lipid-lowering drugs, vasoactive drugs, β-lactam antibiotics.</w:t>
      </w:r>
    </w:p>
    <w:p w14:paraId="4766CCEC"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roofErr w:type="spellStart"/>
      <w:r w:rsidRPr="00305CCD">
        <w:rPr>
          <w:rFonts w:ascii="Times New Roman" w:eastAsia="等线" w:hAnsi="Times New Roman" w:cs="Times New Roman"/>
          <w:sz w:val="21"/>
          <w:szCs w:val="21"/>
          <w:vertAlign w:val="superscript"/>
          <w14:ligatures w14:val="none"/>
        </w:rPr>
        <w:t>d</w:t>
      </w:r>
      <w:r w:rsidRPr="00305CCD">
        <w:rPr>
          <w:rFonts w:ascii="Times New Roman" w:eastAsia="等线" w:hAnsi="Times New Roman" w:cs="Times New Roman"/>
          <w:sz w:val="21"/>
          <w:szCs w:val="21"/>
          <w14:ligatures w14:val="none"/>
        </w:rPr>
        <w:t>Adjusted</w:t>
      </w:r>
      <w:proofErr w:type="spellEnd"/>
      <w:r w:rsidRPr="00305CCD">
        <w:rPr>
          <w:rFonts w:ascii="Times New Roman" w:eastAsia="等线" w:hAnsi="Times New Roman" w:cs="Times New Roman"/>
          <w:sz w:val="21"/>
          <w:szCs w:val="21"/>
          <w14:ligatures w14:val="none"/>
        </w:rPr>
        <w:t xml:space="preserve"> for intensive care unit, heart failure, cirrhosis or liver failure, urea nitrogen, albumin, Angiotensin Receptor Blockers/ Angiotensin-Converting Enzyme Inhibitors (ARB/ACEI), diuretic, invasive ventilator, glycopeptide antibiotics, antifungal drugs, uric acid-lowering medication, glucocorticoid, vasoactive drugs, lipid-lowering drugs.</w:t>
      </w:r>
    </w:p>
    <w:p w14:paraId="4DD0603C" w14:textId="77777777" w:rsidR="00305CCD" w:rsidRPr="00305CCD" w:rsidRDefault="00305CCD" w:rsidP="00305CCD">
      <w:pPr>
        <w:widowControl/>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OR: odds ratio, CI: confidence interval, REF: reference</w:t>
      </w:r>
    </w:p>
    <w:p w14:paraId="4E08CA38" w14:textId="77777777" w:rsidR="00305CCD" w:rsidRPr="00305CCD" w:rsidRDefault="00305CCD" w:rsidP="00305CCD">
      <w:pPr>
        <w:widowControl/>
        <w:spacing w:after="0" w:line="360" w:lineRule="auto"/>
        <w:ind w:firstLineChars="100" w:firstLine="210"/>
        <w:rPr>
          <w:rFonts w:ascii="Times New Roman" w:eastAsia="等线" w:hAnsi="Times New Roman" w:cs="Times New Roman"/>
          <w:sz w:val="21"/>
          <w:szCs w:val="21"/>
          <w14:ligatures w14:val="none"/>
        </w:rPr>
      </w:pPr>
    </w:p>
    <w:p w14:paraId="424299D0" w14:textId="77777777" w:rsidR="00305CCD" w:rsidRPr="00305CCD" w:rsidRDefault="00305CCD" w:rsidP="00305CCD">
      <w:pPr>
        <w:widowControl/>
        <w:spacing w:after="0" w:line="360" w:lineRule="auto"/>
        <w:ind w:firstLineChars="100" w:firstLine="210"/>
        <w:rPr>
          <w:rFonts w:ascii="Times New Roman" w:eastAsia="等线" w:hAnsi="Times New Roman" w:cs="Times New Roman"/>
          <w:sz w:val="21"/>
          <w:szCs w:val="21"/>
          <w14:ligatures w14:val="none"/>
        </w:rPr>
      </w:pPr>
    </w:p>
    <w:p w14:paraId="1013A7BE" w14:textId="77777777" w:rsidR="00305CCD" w:rsidRPr="00305CCD" w:rsidRDefault="00305CCD" w:rsidP="00305CCD">
      <w:pPr>
        <w:widowControl/>
        <w:spacing w:after="0" w:line="360" w:lineRule="auto"/>
        <w:ind w:firstLineChars="100" w:firstLine="210"/>
        <w:rPr>
          <w:rFonts w:ascii="Times New Roman" w:eastAsia="等线" w:hAnsi="Times New Roman" w:cs="Times New Roman"/>
          <w:sz w:val="21"/>
          <w:szCs w:val="21"/>
          <w14:ligatures w14:val="none"/>
        </w:rPr>
        <w:sectPr w:rsidR="00305CCD" w:rsidRPr="00305CCD" w:rsidSect="00305CCD">
          <w:type w:val="continuous"/>
          <w:pgSz w:w="16838" w:h="11906" w:orient="landscape"/>
          <w:pgMar w:top="1440" w:right="1440" w:bottom="1440" w:left="1440" w:header="851" w:footer="992" w:gutter="0"/>
          <w:cols w:space="425"/>
          <w:docGrid w:type="lines" w:linePitch="312"/>
        </w:sectPr>
      </w:pPr>
    </w:p>
    <w:p w14:paraId="5D16DC11" w14:textId="77777777" w:rsidR="00305CCD" w:rsidRPr="00305CCD" w:rsidRDefault="00305CCD" w:rsidP="00305CCD">
      <w:pPr>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lastRenderedPageBreak/>
        <w:t>Supplement table 4.</w:t>
      </w:r>
      <w:r w:rsidRPr="00305CCD">
        <w:rPr>
          <w:rFonts w:ascii="Times New Roman" w:eastAsia="等线" w:hAnsi="Times New Roman" w:cs="Times New Roman"/>
          <w:sz w:val="21"/>
          <w:szCs w:val="21"/>
          <w14:ligatures w14:val="none"/>
        </w:rPr>
        <w:t xml:space="preserve"> Association between different admission serum phosphate categories and in hospital mortality in the total patients and patients with acute kidney injury</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2"/>
        <w:gridCol w:w="1536"/>
        <w:gridCol w:w="807"/>
        <w:gridCol w:w="864"/>
        <w:gridCol w:w="1511"/>
        <w:gridCol w:w="807"/>
        <w:gridCol w:w="864"/>
        <w:gridCol w:w="1511"/>
        <w:gridCol w:w="807"/>
        <w:gridCol w:w="864"/>
        <w:gridCol w:w="1511"/>
        <w:gridCol w:w="689"/>
        <w:gridCol w:w="865"/>
      </w:tblGrid>
      <w:tr w:rsidR="00305CCD" w:rsidRPr="00305CCD" w14:paraId="1B97DD2C" w14:textId="77777777" w:rsidTr="00554E82">
        <w:trPr>
          <w:trHeight w:val="310"/>
          <w:jc w:val="center"/>
        </w:trPr>
        <w:tc>
          <w:tcPr>
            <w:tcW w:w="1404" w:type="dxa"/>
            <w:vMerge w:val="restart"/>
            <w:tcBorders>
              <w:top w:val="single" w:sz="4" w:space="0" w:color="auto"/>
            </w:tcBorders>
            <w:vAlign w:val="center"/>
          </w:tcPr>
          <w:p w14:paraId="51057348"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Admission serum phosphate (mmol/L)</w:t>
            </w:r>
          </w:p>
        </w:tc>
        <w:tc>
          <w:tcPr>
            <w:tcW w:w="3217" w:type="dxa"/>
            <w:gridSpan w:val="3"/>
            <w:tcBorders>
              <w:top w:val="single" w:sz="4" w:space="0" w:color="auto"/>
              <w:bottom w:val="single" w:sz="4" w:space="0" w:color="auto"/>
            </w:tcBorders>
            <w:vAlign w:val="center"/>
          </w:tcPr>
          <w:p w14:paraId="59247BB4"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Univariate analysis </w:t>
            </w:r>
            <w:r w:rsidRPr="00305CCD">
              <w:rPr>
                <w:rFonts w:ascii="Times New Roman" w:eastAsia="等线" w:hAnsi="Times New Roman" w:cs="Times New Roman"/>
                <w:szCs w:val="20"/>
                <w:vertAlign w:val="superscript"/>
              </w:rPr>
              <w:t>a</w:t>
            </w:r>
          </w:p>
        </w:tc>
        <w:tc>
          <w:tcPr>
            <w:tcW w:w="3090" w:type="dxa"/>
            <w:gridSpan w:val="3"/>
            <w:tcBorders>
              <w:top w:val="single" w:sz="4" w:space="0" w:color="auto"/>
              <w:bottom w:val="single" w:sz="4" w:space="0" w:color="auto"/>
            </w:tcBorders>
            <w:vAlign w:val="center"/>
          </w:tcPr>
          <w:p w14:paraId="67AA8D77"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Multivariate analysis </w:t>
            </w:r>
            <w:proofErr w:type="spellStart"/>
            <w:r w:rsidRPr="00305CCD">
              <w:rPr>
                <w:rFonts w:ascii="Times New Roman" w:eastAsia="等线" w:hAnsi="Times New Roman" w:cs="Times New Roman"/>
                <w:szCs w:val="20"/>
                <w:vertAlign w:val="superscript"/>
              </w:rPr>
              <w:t>a,b</w:t>
            </w:r>
            <w:proofErr w:type="spellEnd"/>
          </w:p>
        </w:tc>
        <w:tc>
          <w:tcPr>
            <w:tcW w:w="3182" w:type="dxa"/>
            <w:gridSpan w:val="3"/>
            <w:tcBorders>
              <w:top w:val="single" w:sz="4" w:space="0" w:color="auto"/>
              <w:bottom w:val="single" w:sz="4" w:space="0" w:color="auto"/>
            </w:tcBorders>
            <w:vAlign w:val="center"/>
          </w:tcPr>
          <w:p w14:paraId="15020FB6"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Univariate analysis </w:t>
            </w:r>
            <w:r w:rsidRPr="00305CCD">
              <w:rPr>
                <w:rFonts w:ascii="Times New Roman" w:eastAsia="等线" w:hAnsi="Times New Roman" w:cs="Times New Roman"/>
                <w:szCs w:val="20"/>
                <w:vertAlign w:val="superscript"/>
              </w:rPr>
              <w:t>c</w:t>
            </w:r>
          </w:p>
        </w:tc>
        <w:tc>
          <w:tcPr>
            <w:tcW w:w="3065" w:type="dxa"/>
            <w:gridSpan w:val="3"/>
            <w:tcBorders>
              <w:top w:val="single" w:sz="4" w:space="0" w:color="auto"/>
              <w:bottom w:val="single" w:sz="4" w:space="0" w:color="auto"/>
            </w:tcBorders>
            <w:vAlign w:val="center"/>
          </w:tcPr>
          <w:p w14:paraId="0B2167CD"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Multivariate analysis </w:t>
            </w:r>
            <w:proofErr w:type="spellStart"/>
            <w:r w:rsidRPr="00305CCD">
              <w:rPr>
                <w:rFonts w:ascii="Times New Roman" w:eastAsia="等线" w:hAnsi="Times New Roman" w:cs="Times New Roman"/>
                <w:szCs w:val="20"/>
                <w:vertAlign w:val="superscript"/>
              </w:rPr>
              <w:t>c,d</w:t>
            </w:r>
            <w:proofErr w:type="spellEnd"/>
          </w:p>
        </w:tc>
      </w:tr>
      <w:tr w:rsidR="00305CCD" w:rsidRPr="00305CCD" w14:paraId="51FDE02E" w14:textId="77777777" w:rsidTr="00554E82">
        <w:trPr>
          <w:trHeight w:val="310"/>
          <w:jc w:val="center"/>
        </w:trPr>
        <w:tc>
          <w:tcPr>
            <w:tcW w:w="1404" w:type="dxa"/>
            <w:vMerge/>
            <w:tcBorders>
              <w:bottom w:val="single" w:sz="4" w:space="0" w:color="auto"/>
            </w:tcBorders>
            <w:vAlign w:val="center"/>
          </w:tcPr>
          <w:p w14:paraId="2C0C8F37" w14:textId="77777777" w:rsidR="00305CCD" w:rsidRPr="00305CCD" w:rsidRDefault="00305CCD" w:rsidP="00305CCD">
            <w:pPr>
              <w:spacing w:line="360" w:lineRule="auto"/>
              <w:jc w:val="both"/>
              <w:rPr>
                <w:rFonts w:ascii="Times New Roman" w:eastAsia="等线" w:hAnsi="Times New Roman" w:cs="Times New Roman"/>
                <w:szCs w:val="20"/>
              </w:rPr>
            </w:pPr>
          </w:p>
        </w:tc>
        <w:tc>
          <w:tcPr>
            <w:tcW w:w="1546" w:type="dxa"/>
            <w:tcBorders>
              <w:top w:val="single" w:sz="4" w:space="0" w:color="auto"/>
              <w:bottom w:val="single" w:sz="4" w:space="0" w:color="auto"/>
            </w:tcBorders>
            <w:vAlign w:val="center"/>
          </w:tcPr>
          <w:p w14:paraId="78DF0D97"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OR (95%CI)</w:t>
            </w:r>
          </w:p>
        </w:tc>
        <w:tc>
          <w:tcPr>
            <w:tcW w:w="807" w:type="dxa"/>
            <w:tcBorders>
              <w:top w:val="single" w:sz="4" w:space="0" w:color="auto"/>
              <w:bottom w:val="single" w:sz="4" w:space="0" w:color="auto"/>
            </w:tcBorders>
            <w:vAlign w:val="center"/>
          </w:tcPr>
          <w:p w14:paraId="2019472E"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P</w:t>
            </w:r>
          </w:p>
        </w:tc>
        <w:tc>
          <w:tcPr>
            <w:tcW w:w="864" w:type="dxa"/>
            <w:tcBorders>
              <w:top w:val="single" w:sz="4" w:space="0" w:color="auto"/>
              <w:bottom w:val="single" w:sz="4" w:space="0" w:color="auto"/>
            </w:tcBorders>
            <w:vAlign w:val="center"/>
          </w:tcPr>
          <w:p w14:paraId="04CC63CA" w14:textId="77777777" w:rsidR="00305CCD" w:rsidRPr="00305CCD" w:rsidRDefault="00305CCD" w:rsidP="00305CCD">
            <w:pPr>
              <w:spacing w:line="360" w:lineRule="auto"/>
              <w:jc w:val="both"/>
              <w:rPr>
                <w:rFonts w:ascii="Times New Roman" w:eastAsia="等线" w:hAnsi="Times New Roman" w:cs="Times New Roman"/>
                <w:szCs w:val="20"/>
              </w:rPr>
            </w:pPr>
            <w:proofErr w:type="spellStart"/>
            <w:r w:rsidRPr="00305CCD">
              <w:rPr>
                <w:rFonts w:ascii="Times New Roman" w:eastAsia="等线" w:hAnsi="Times New Roman" w:cs="Times New Roman"/>
                <w:szCs w:val="20"/>
              </w:rPr>
              <w:t>P.adjust</w:t>
            </w:r>
            <w:proofErr w:type="spellEnd"/>
          </w:p>
        </w:tc>
        <w:tc>
          <w:tcPr>
            <w:tcW w:w="1511" w:type="dxa"/>
            <w:tcBorders>
              <w:top w:val="single" w:sz="4" w:space="0" w:color="auto"/>
              <w:bottom w:val="single" w:sz="4" w:space="0" w:color="auto"/>
            </w:tcBorders>
            <w:vAlign w:val="center"/>
          </w:tcPr>
          <w:p w14:paraId="301CF913"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 xml:space="preserve">  OR (95%CI)</w:t>
            </w:r>
          </w:p>
        </w:tc>
        <w:tc>
          <w:tcPr>
            <w:tcW w:w="715" w:type="dxa"/>
            <w:tcBorders>
              <w:top w:val="single" w:sz="4" w:space="0" w:color="auto"/>
              <w:bottom w:val="single" w:sz="4" w:space="0" w:color="auto"/>
            </w:tcBorders>
            <w:vAlign w:val="center"/>
          </w:tcPr>
          <w:p w14:paraId="628C2CAF"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P</w:t>
            </w:r>
          </w:p>
        </w:tc>
        <w:tc>
          <w:tcPr>
            <w:tcW w:w="864" w:type="dxa"/>
            <w:tcBorders>
              <w:top w:val="single" w:sz="4" w:space="0" w:color="auto"/>
              <w:bottom w:val="single" w:sz="4" w:space="0" w:color="auto"/>
            </w:tcBorders>
            <w:vAlign w:val="center"/>
          </w:tcPr>
          <w:p w14:paraId="369B2D29" w14:textId="77777777" w:rsidR="00305CCD" w:rsidRPr="00305CCD" w:rsidRDefault="00305CCD" w:rsidP="00305CCD">
            <w:pPr>
              <w:spacing w:line="360" w:lineRule="auto"/>
              <w:jc w:val="both"/>
              <w:rPr>
                <w:rFonts w:ascii="Times New Roman" w:eastAsia="等线" w:hAnsi="Times New Roman" w:cs="Times New Roman"/>
                <w:szCs w:val="20"/>
              </w:rPr>
            </w:pPr>
            <w:proofErr w:type="spellStart"/>
            <w:r w:rsidRPr="00305CCD">
              <w:rPr>
                <w:rFonts w:ascii="Times New Roman" w:eastAsia="等线" w:hAnsi="Times New Roman" w:cs="Times New Roman"/>
                <w:szCs w:val="20"/>
              </w:rPr>
              <w:t>P.adjust</w:t>
            </w:r>
            <w:proofErr w:type="spellEnd"/>
          </w:p>
        </w:tc>
        <w:tc>
          <w:tcPr>
            <w:tcW w:w="1511" w:type="dxa"/>
            <w:tcBorders>
              <w:top w:val="single" w:sz="4" w:space="0" w:color="auto"/>
              <w:bottom w:val="single" w:sz="4" w:space="0" w:color="auto"/>
            </w:tcBorders>
            <w:vAlign w:val="center"/>
          </w:tcPr>
          <w:p w14:paraId="7A2053D6"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OR (95%CI)</w:t>
            </w:r>
          </w:p>
        </w:tc>
        <w:tc>
          <w:tcPr>
            <w:tcW w:w="807" w:type="dxa"/>
            <w:tcBorders>
              <w:top w:val="single" w:sz="4" w:space="0" w:color="auto"/>
              <w:bottom w:val="single" w:sz="4" w:space="0" w:color="auto"/>
            </w:tcBorders>
            <w:vAlign w:val="center"/>
          </w:tcPr>
          <w:p w14:paraId="453D1FB2"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P</w:t>
            </w:r>
          </w:p>
        </w:tc>
        <w:tc>
          <w:tcPr>
            <w:tcW w:w="864" w:type="dxa"/>
            <w:tcBorders>
              <w:top w:val="single" w:sz="4" w:space="0" w:color="auto"/>
              <w:bottom w:val="single" w:sz="4" w:space="0" w:color="auto"/>
            </w:tcBorders>
            <w:vAlign w:val="center"/>
          </w:tcPr>
          <w:p w14:paraId="54F5B951" w14:textId="77777777" w:rsidR="00305CCD" w:rsidRPr="00305CCD" w:rsidRDefault="00305CCD" w:rsidP="00305CCD">
            <w:pPr>
              <w:spacing w:line="360" w:lineRule="auto"/>
              <w:jc w:val="both"/>
              <w:rPr>
                <w:rFonts w:ascii="Times New Roman" w:eastAsia="等线" w:hAnsi="Times New Roman" w:cs="Times New Roman"/>
                <w:szCs w:val="20"/>
              </w:rPr>
            </w:pPr>
            <w:proofErr w:type="spellStart"/>
            <w:r w:rsidRPr="00305CCD">
              <w:rPr>
                <w:rFonts w:ascii="Times New Roman" w:eastAsia="等线" w:hAnsi="Times New Roman" w:cs="Times New Roman"/>
                <w:szCs w:val="20"/>
              </w:rPr>
              <w:t>P.adjust</w:t>
            </w:r>
            <w:proofErr w:type="spellEnd"/>
          </w:p>
        </w:tc>
        <w:tc>
          <w:tcPr>
            <w:tcW w:w="1511" w:type="dxa"/>
            <w:tcBorders>
              <w:top w:val="single" w:sz="4" w:space="0" w:color="auto"/>
              <w:bottom w:val="single" w:sz="4" w:space="0" w:color="auto"/>
            </w:tcBorders>
            <w:vAlign w:val="center"/>
          </w:tcPr>
          <w:p w14:paraId="71D34777"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OR (95%CI)</w:t>
            </w:r>
          </w:p>
        </w:tc>
        <w:tc>
          <w:tcPr>
            <w:tcW w:w="689" w:type="dxa"/>
            <w:tcBorders>
              <w:top w:val="single" w:sz="4" w:space="0" w:color="auto"/>
              <w:bottom w:val="single" w:sz="4" w:space="0" w:color="auto"/>
            </w:tcBorders>
            <w:vAlign w:val="center"/>
          </w:tcPr>
          <w:p w14:paraId="5169A7C6"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Cs w:val="20"/>
              </w:rPr>
              <w:t>P</w:t>
            </w:r>
          </w:p>
        </w:tc>
        <w:tc>
          <w:tcPr>
            <w:tcW w:w="865" w:type="dxa"/>
            <w:tcBorders>
              <w:top w:val="single" w:sz="4" w:space="0" w:color="auto"/>
              <w:bottom w:val="single" w:sz="4" w:space="0" w:color="auto"/>
            </w:tcBorders>
            <w:vAlign w:val="center"/>
          </w:tcPr>
          <w:p w14:paraId="5D564765" w14:textId="77777777" w:rsidR="00305CCD" w:rsidRPr="00305CCD" w:rsidRDefault="00305CCD" w:rsidP="00305CCD">
            <w:pPr>
              <w:spacing w:line="360" w:lineRule="auto"/>
              <w:jc w:val="both"/>
              <w:rPr>
                <w:rFonts w:ascii="Times New Roman" w:eastAsia="等线" w:hAnsi="Times New Roman" w:cs="Times New Roman"/>
                <w:szCs w:val="20"/>
              </w:rPr>
            </w:pPr>
            <w:proofErr w:type="spellStart"/>
            <w:r w:rsidRPr="00305CCD">
              <w:rPr>
                <w:rFonts w:ascii="Times New Roman" w:eastAsia="等线" w:hAnsi="Times New Roman" w:cs="Times New Roman"/>
                <w:szCs w:val="20"/>
              </w:rPr>
              <w:t>P.adjust</w:t>
            </w:r>
            <w:proofErr w:type="spellEnd"/>
          </w:p>
        </w:tc>
      </w:tr>
      <w:tr w:rsidR="00305CCD" w:rsidRPr="00305CCD" w14:paraId="3B804186" w14:textId="77777777" w:rsidTr="00554E82">
        <w:trPr>
          <w:trHeight w:val="310"/>
          <w:jc w:val="center"/>
        </w:trPr>
        <w:tc>
          <w:tcPr>
            <w:tcW w:w="1404" w:type="dxa"/>
            <w:tcBorders>
              <w:top w:val="single" w:sz="4" w:space="0" w:color="auto"/>
            </w:tcBorders>
          </w:tcPr>
          <w:p w14:paraId="138E3388"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 w:val="20"/>
                <w:szCs w:val="20"/>
              </w:rPr>
              <w:t>&lt;0.81</w:t>
            </w:r>
          </w:p>
        </w:tc>
        <w:tc>
          <w:tcPr>
            <w:tcW w:w="1546" w:type="dxa"/>
            <w:vAlign w:val="center"/>
          </w:tcPr>
          <w:p w14:paraId="515BB4AF"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微软雅黑" w:hAnsi="Times New Roman" w:cs="Times New Roman"/>
                <w:szCs w:val="20"/>
              </w:rPr>
              <w:t>6.19[5.13,7.43]</w:t>
            </w:r>
          </w:p>
        </w:tc>
        <w:tc>
          <w:tcPr>
            <w:tcW w:w="807" w:type="dxa"/>
            <w:tcBorders>
              <w:top w:val="nil"/>
              <w:left w:val="nil"/>
              <w:bottom w:val="nil"/>
              <w:right w:val="nil"/>
            </w:tcBorders>
            <w:vAlign w:val="center"/>
          </w:tcPr>
          <w:p w14:paraId="462F73F7"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color w:val="000000"/>
                <w:szCs w:val="20"/>
              </w:rPr>
              <w:t>&lt;0.001</w:t>
            </w:r>
          </w:p>
        </w:tc>
        <w:tc>
          <w:tcPr>
            <w:tcW w:w="864" w:type="dxa"/>
            <w:vAlign w:val="center"/>
          </w:tcPr>
          <w:p w14:paraId="2580B521"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1511" w:type="dxa"/>
            <w:vAlign w:val="center"/>
          </w:tcPr>
          <w:p w14:paraId="55B18A21"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1.92[1.52,2.41]</w:t>
            </w:r>
          </w:p>
        </w:tc>
        <w:tc>
          <w:tcPr>
            <w:tcW w:w="715" w:type="dxa"/>
            <w:vAlign w:val="center"/>
          </w:tcPr>
          <w:p w14:paraId="170CF759"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864" w:type="dxa"/>
            <w:vAlign w:val="center"/>
          </w:tcPr>
          <w:p w14:paraId="6779BF43"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1511" w:type="dxa"/>
            <w:tcBorders>
              <w:top w:val="single" w:sz="4" w:space="0" w:color="auto"/>
            </w:tcBorders>
            <w:vAlign w:val="center"/>
          </w:tcPr>
          <w:p w14:paraId="44AB5471"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3.85[2.99,4.94]</w:t>
            </w:r>
          </w:p>
        </w:tc>
        <w:tc>
          <w:tcPr>
            <w:tcW w:w="807" w:type="dxa"/>
            <w:tcBorders>
              <w:top w:val="nil"/>
              <w:left w:val="nil"/>
              <w:bottom w:val="nil"/>
              <w:right w:val="nil"/>
            </w:tcBorders>
            <w:vAlign w:val="center"/>
          </w:tcPr>
          <w:p w14:paraId="7BD34A7D"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等线" w:hAnsi="Times New Roman" w:cs="Times New Roman"/>
                <w:color w:val="000000"/>
                <w:szCs w:val="20"/>
              </w:rPr>
              <w:t>&lt;0.001</w:t>
            </w:r>
          </w:p>
        </w:tc>
        <w:tc>
          <w:tcPr>
            <w:tcW w:w="864" w:type="dxa"/>
            <w:tcBorders>
              <w:top w:val="single" w:sz="4" w:space="0" w:color="auto"/>
            </w:tcBorders>
            <w:vAlign w:val="center"/>
          </w:tcPr>
          <w:p w14:paraId="73DD9CA3"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1511" w:type="dxa"/>
            <w:tcBorders>
              <w:top w:val="single" w:sz="4" w:space="0" w:color="auto"/>
            </w:tcBorders>
            <w:vAlign w:val="center"/>
          </w:tcPr>
          <w:p w14:paraId="17CF038A"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1.67[1.24,2.23]</w:t>
            </w:r>
          </w:p>
        </w:tc>
        <w:tc>
          <w:tcPr>
            <w:tcW w:w="689" w:type="dxa"/>
            <w:tcBorders>
              <w:top w:val="single" w:sz="4" w:space="0" w:color="auto"/>
            </w:tcBorders>
            <w:vAlign w:val="center"/>
          </w:tcPr>
          <w:p w14:paraId="7BC79561"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Cs w:val="20"/>
              </w:rPr>
              <w:t>0.001</w:t>
            </w:r>
          </w:p>
        </w:tc>
        <w:tc>
          <w:tcPr>
            <w:tcW w:w="865" w:type="dxa"/>
            <w:tcBorders>
              <w:top w:val="single" w:sz="4" w:space="0" w:color="auto"/>
            </w:tcBorders>
            <w:vAlign w:val="center"/>
          </w:tcPr>
          <w:p w14:paraId="32BA98AF"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Cs w:val="20"/>
              </w:rPr>
              <w:t>0.001</w:t>
            </w:r>
          </w:p>
        </w:tc>
      </w:tr>
      <w:tr w:rsidR="00305CCD" w:rsidRPr="00305CCD" w14:paraId="0F921127" w14:textId="77777777" w:rsidTr="00554E82">
        <w:trPr>
          <w:trHeight w:val="310"/>
          <w:jc w:val="center"/>
        </w:trPr>
        <w:tc>
          <w:tcPr>
            <w:tcW w:w="1404" w:type="dxa"/>
          </w:tcPr>
          <w:p w14:paraId="425E8440"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 w:val="20"/>
                <w:szCs w:val="20"/>
              </w:rPr>
              <w:t>0.81-1.45</w:t>
            </w:r>
          </w:p>
        </w:tc>
        <w:tc>
          <w:tcPr>
            <w:tcW w:w="1546" w:type="dxa"/>
            <w:tcBorders>
              <w:bottom w:val="nil"/>
            </w:tcBorders>
          </w:tcPr>
          <w:p w14:paraId="3F046B89"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微软雅黑" w:hAnsi="Times New Roman" w:cs="Times New Roman"/>
                <w:sz w:val="20"/>
                <w:szCs w:val="20"/>
              </w:rPr>
              <w:t>REF</w:t>
            </w:r>
          </w:p>
        </w:tc>
        <w:tc>
          <w:tcPr>
            <w:tcW w:w="807" w:type="dxa"/>
            <w:tcBorders>
              <w:top w:val="nil"/>
              <w:left w:val="nil"/>
              <w:bottom w:val="nil"/>
              <w:right w:val="nil"/>
            </w:tcBorders>
            <w:vAlign w:val="center"/>
          </w:tcPr>
          <w:p w14:paraId="279E29E8"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color w:val="000000"/>
                <w:sz w:val="20"/>
                <w:szCs w:val="20"/>
              </w:rPr>
              <w:t>REF</w:t>
            </w:r>
          </w:p>
        </w:tc>
        <w:tc>
          <w:tcPr>
            <w:tcW w:w="864" w:type="dxa"/>
          </w:tcPr>
          <w:p w14:paraId="79BA7987"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微软雅黑" w:hAnsi="Times New Roman" w:cs="Times New Roman"/>
                <w:sz w:val="20"/>
                <w:szCs w:val="20"/>
              </w:rPr>
              <w:t>REF</w:t>
            </w:r>
          </w:p>
        </w:tc>
        <w:tc>
          <w:tcPr>
            <w:tcW w:w="1511" w:type="dxa"/>
            <w:tcBorders>
              <w:top w:val="nil"/>
              <w:left w:val="nil"/>
              <w:bottom w:val="nil"/>
              <w:right w:val="nil"/>
            </w:tcBorders>
            <w:vAlign w:val="center"/>
          </w:tcPr>
          <w:p w14:paraId="01D51E7E"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 w:val="20"/>
                <w:szCs w:val="20"/>
              </w:rPr>
              <w:t>REF</w:t>
            </w:r>
          </w:p>
        </w:tc>
        <w:tc>
          <w:tcPr>
            <w:tcW w:w="715" w:type="dxa"/>
          </w:tcPr>
          <w:p w14:paraId="67FF715B"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微软雅黑" w:hAnsi="Times New Roman" w:cs="Times New Roman"/>
                <w:sz w:val="20"/>
                <w:szCs w:val="20"/>
              </w:rPr>
              <w:t>REF</w:t>
            </w:r>
          </w:p>
        </w:tc>
        <w:tc>
          <w:tcPr>
            <w:tcW w:w="864" w:type="dxa"/>
            <w:tcBorders>
              <w:top w:val="nil"/>
              <w:left w:val="nil"/>
              <w:bottom w:val="nil"/>
              <w:right w:val="nil"/>
            </w:tcBorders>
            <w:vAlign w:val="center"/>
          </w:tcPr>
          <w:p w14:paraId="4DACA8FF"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 w:val="20"/>
                <w:szCs w:val="20"/>
              </w:rPr>
              <w:t>REF</w:t>
            </w:r>
          </w:p>
        </w:tc>
        <w:tc>
          <w:tcPr>
            <w:tcW w:w="1511" w:type="dxa"/>
          </w:tcPr>
          <w:p w14:paraId="73DC0F8E"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微软雅黑" w:hAnsi="Times New Roman" w:cs="Times New Roman"/>
                <w:sz w:val="20"/>
                <w:szCs w:val="20"/>
              </w:rPr>
              <w:t>REF</w:t>
            </w:r>
          </w:p>
        </w:tc>
        <w:tc>
          <w:tcPr>
            <w:tcW w:w="807" w:type="dxa"/>
          </w:tcPr>
          <w:p w14:paraId="5C4DC161"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 w:val="20"/>
                <w:szCs w:val="20"/>
              </w:rPr>
              <w:t>REF</w:t>
            </w:r>
          </w:p>
        </w:tc>
        <w:tc>
          <w:tcPr>
            <w:tcW w:w="864" w:type="dxa"/>
          </w:tcPr>
          <w:p w14:paraId="2E009DC0"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微软雅黑" w:hAnsi="Times New Roman" w:cs="Times New Roman"/>
                <w:sz w:val="20"/>
                <w:szCs w:val="20"/>
              </w:rPr>
              <w:t>REF</w:t>
            </w:r>
          </w:p>
        </w:tc>
        <w:tc>
          <w:tcPr>
            <w:tcW w:w="1511" w:type="dxa"/>
            <w:tcBorders>
              <w:top w:val="nil"/>
              <w:left w:val="nil"/>
              <w:bottom w:val="nil"/>
              <w:right w:val="nil"/>
            </w:tcBorders>
            <w:vAlign w:val="center"/>
          </w:tcPr>
          <w:p w14:paraId="68B09DB9"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 w:val="20"/>
                <w:szCs w:val="20"/>
              </w:rPr>
              <w:t>REF</w:t>
            </w:r>
          </w:p>
        </w:tc>
        <w:tc>
          <w:tcPr>
            <w:tcW w:w="689" w:type="dxa"/>
          </w:tcPr>
          <w:p w14:paraId="5A9FAD47"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 w:val="20"/>
                <w:szCs w:val="20"/>
              </w:rPr>
              <w:t>REF</w:t>
            </w:r>
          </w:p>
        </w:tc>
        <w:tc>
          <w:tcPr>
            <w:tcW w:w="865" w:type="dxa"/>
          </w:tcPr>
          <w:p w14:paraId="3AC76C49"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 w:val="20"/>
                <w:szCs w:val="20"/>
              </w:rPr>
              <w:t>REF</w:t>
            </w:r>
          </w:p>
        </w:tc>
      </w:tr>
      <w:tr w:rsidR="00305CCD" w:rsidRPr="00305CCD" w14:paraId="79C13ED0" w14:textId="77777777" w:rsidTr="00554E82">
        <w:trPr>
          <w:trHeight w:val="310"/>
          <w:jc w:val="center"/>
        </w:trPr>
        <w:tc>
          <w:tcPr>
            <w:tcW w:w="1404" w:type="dxa"/>
          </w:tcPr>
          <w:p w14:paraId="71A8B678"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sz w:val="20"/>
                <w:szCs w:val="20"/>
              </w:rPr>
              <w:t>&gt;1.45</w:t>
            </w:r>
          </w:p>
        </w:tc>
        <w:tc>
          <w:tcPr>
            <w:tcW w:w="1546" w:type="dxa"/>
            <w:vAlign w:val="center"/>
          </w:tcPr>
          <w:p w14:paraId="706D075C"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微软雅黑" w:hAnsi="Times New Roman" w:cs="Times New Roman"/>
                <w:szCs w:val="20"/>
              </w:rPr>
              <w:t>1.69[1.32,2.13]</w:t>
            </w:r>
          </w:p>
        </w:tc>
        <w:tc>
          <w:tcPr>
            <w:tcW w:w="807" w:type="dxa"/>
            <w:tcBorders>
              <w:top w:val="nil"/>
              <w:left w:val="nil"/>
              <w:bottom w:val="nil"/>
              <w:right w:val="nil"/>
            </w:tcBorders>
            <w:vAlign w:val="center"/>
          </w:tcPr>
          <w:p w14:paraId="21C058AC" w14:textId="77777777" w:rsidR="00305CCD" w:rsidRPr="00305CCD" w:rsidRDefault="00305CCD" w:rsidP="00305CCD">
            <w:pPr>
              <w:spacing w:line="360" w:lineRule="auto"/>
              <w:jc w:val="both"/>
              <w:rPr>
                <w:rFonts w:ascii="Times New Roman" w:eastAsia="等线" w:hAnsi="Times New Roman" w:cs="Times New Roman"/>
                <w:szCs w:val="20"/>
              </w:rPr>
            </w:pPr>
            <w:r w:rsidRPr="00305CCD">
              <w:rPr>
                <w:rFonts w:ascii="Times New Roman" w:eastAsia="等线" w:hAnsi="Times New Roman" w:cs="Times New Roman"/>
                <w:color w:val="000000"/>
                <w:szCs w:val="20"/>
              </w:rPr>
              <w:t>&lt;0.001</w:t>
            </w:r>
          </w:p>
        </w:tc>
        <w:tc>
          <w:tcPr>
            <w:tcW w:w="864" w:type="dxa"/>
            <w:vAlign w:val="center"/>
          </w:tcPr>
          <w:p w14:paraId="6B1688E3"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&lt;0.001</w:t>
            </w:r>
          </w:p>
        </w:tc>
        <w:tc>
          <w:tcPr>
            <w:tcW w:w="1511" w:type="dxa"/>
            <w:vAlign w:val="center"/>
          </w:tcPr>
          <w:p w14:paraId="5A8E5477"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1.29[0.96,1.71]</w:t>
            </w:r>
          </w:p>
        </w:tc>
        <w:tc>
          <w:tcPr>
            <w:tcW w:w="715" w:type="dxa"/>
            <w:vAlign w:val="center"/>
          </w:tcPr>
          <w:p w14:paraId="214B3791"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0.088</w:t>
            </w:r>
          </w:p>
        </w:tc>
        <w:tc>
          <w:tcPr>
            <w:tcW w:w="864" w:type="dxa"/>
            <w:vAlign w:val="center"/>
          </w:tcPr>
          <w:p w14:paraId="5D9F8373"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0.175</w:t>
            </w:r>
          </w:p>
        </w:tc>
        <w:tc>
          <w:tcPr>
            <w:tcW w:w="1511" w:type="dxa"/>
            <w:vAlign w:val="center"/>
          </w:tcPr>
          <w:p w14:paraId="4B82C172" w14:textId="77777777" w:rsidR="00305CCD" w:rsidRPr="00305CCD" w:rsidRDefault="00305CCD" w:rsidP="00305CCD">
            <w:pPr>
              <w:spacing w:line="360" w:lineRule="auto"/>
              <w:ind w:rightChars="-254" w:right="-559"/>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1.01[0.73,1.38]</w:t>
            </w:r>
          </w:p>
        </w:tc>
        <w:tc>
          <w:tcPr>
            <w:tcW w:w="807" w:type="dxa"/>
            <w:tcBorders>
              <w:top w:val="nil"/>
              <w:left w:val="nil"/>
              <w:bottom w:val="nil"/>
              <w:right w:val="nil"/>
            </w:tcBorders>
            <w:vAlign w:val="center"/>
          </w:tcPr>
          <w:p w14:paraId="7244171D"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等线" w:hAnsi="Times New Roman" w:cs="Times New Roman"/>
                <w:color w:val="000000"/>
                <w:szCs w:val="20"/>
              </w:rPr>
              <w:t>0.927</w:t>
            </w:r>
          </w:p>
        </w:tc>
        <w:tc>
          <w:tcPr>
            <w:tcW w:w="864" w:type="dxa"/>
            <w:vAlign w:val="center"/>
          </w:tcPr>
          <w:p w14:paraId="3937B889"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1.000</w:t>
            </w:r>
          </w:p>
        </w:tc>
        <w:tc>
          <w:tcPr>
            <w:tcW w:w="1511" w:type="dxa"/>
            <w:vAlign w:val="center"/>
          </w:tcPr>
          <w:p w14:paraId="29AF2322" w14:textId="77777777" w:rsidR="00305CCD" w:rsidRPr="00305CCD" w:rsidRDefault="00305CCD" w:rsidP="00305CCD">
            <w:pPr>
              <w:spacing w:line="360" w:lineRule="auto"/>
              <w:jc w:val="both"/>
              <w:rPr>
                <w:rFonts w:ascii="Times New Roman" w:eastAsia="等线" w:hAnsi="Times New Roman" w:cs="Times New Roman"/>
                <w:color w:val="000000"/>
                <w:szCs w:val="20"/>
              </w:rPr>
            </w:pPr>
            <w:r w:rsidRPr="00305CCD">
              <w:rPr>
                <w:rFonts w:ascii="Times New Roman" w:eastAsia="等线" w:hAnsi="Times New Roman" w:cs="Times New Roman"/>
                <w:color w:val="000000"/>
                <w:szCs w:val="20"/>
              </w:rPr>
              <w:t>0.91[0.62,1.29]</w:t>
            </w:r>
          </w:p>
        </w:tc>
        <w:tc>
          <w:tcPr>
            <w:tcW w:w="689" w:type="dxa"/>
            <w:vAlign w:val="center"/>
          </w:tcPr>
          <w:p w14:paraId="3EE38E24"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Cs w:val="20"/>
              </w:rPr>
              <w:t>0.592</w:t>
            </w:r>
          </w:p>
        </w:tc>
        <w:tc>
          <w:tcPr>
            <w:tcW w:w="865" w:type="dxa"/>
            <w:vAlign w:val="center"/>
          </w:tcPr>
          <w:p w14:paraId="3AD0DD29" w14:textId="77777777" w:rsidR="00305CCD" w:rsidRPr="00305CCD" w:rsidRDefault="00305CCD" w:rsidP="00305CCD">
            <w:pPr>
              <w:spacing w:line="360" w:lineRule="auto"/>
              <w:jc w:val="both"/>
              <w:rPr>
                <w:rFonts w:ascii="Times New Roman" w:eastAsia="微软雅黑" w:hAnsi="Times New Roman" w:cs="Times New Roman"/>
                <w:szCs w:val="20"/>
              </w:rPr>
            </w:pPr>
            <w:r w:rsidRPr="00305CCD">
              <w:rPr>
                <w:rFonts w:ascii="Times New Roman" w:eastAsia="微软雅黑" w:hAnsi="Times New Roman" w:cs="Times New Roman"/>
                <w:szCs w:val="20"/>
              </w:rPr>
              <w:t>1.000</w:t>
            </w:r>
          </w:p>
        </w:tc>
      </w:tr>
    </w:tbl>
    <w:p w14:paraId="0593B85D" w14:textId="77777777" w:rsidR="00305CCD" w:rsidRPr="00305CCD" w:rsidRDefault="00305CCD" w:rsidP="00305CCD">
      <w:pPr>
        <w:spacing w:after="0" w:line="360" w:lineRule="auto"/>
        <w:rPr>
          <w:rFonts w:ascii="Times New Roman" w:eastAsia="等线" w:hAnsi="Times New Roman" w:cs="Times New Roman"/>
          <w:sz w:val="21"/>
          <w:szCs w:val="21"/>
          <w14:ligatures w14:val="none"/>
        </w:rPr>
      </w:pPr>
    </w:p>
    <w:p w14:paraId="0F147293"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roofErr w:type="spellStart"/>
      <w:r w:rsidRPr="00305CCD">
        <w:rPr>
          <w:rFonts w:ascii="Times New Roman" w:eastAsia="等线" w:hAnsi="Times New Roman" w:cs="Times New Roman"/>
          <w:sz w:val="21"/>
          <w:szCs w:val="21"/>
          <w:vertAlign w:val="superscript"/>
          <w14:ligatures w14:val="none"/>
        </w:rPr>
        <w:t>a</w:t>
      </w:r>
      <w:r w:rsidRPr="00305CCD">
        <w:rPr>
          <w:rFonts w:ascii="Times New Roman" w:eastAsia="等线" w:hAnsi="Times New Roman" w:cs="Times New Roman"/>
          <w:sz w:val="21"/>
          <w:szCs w:val="21"/>
          <w14:ligatures w14:val="none"/>
        </w:rPr>
        <w:t>In</w:t>
      </w:r>
      <w:proofErr w:type="spellEnd"/>
      <w:r w:rsidRPr="00305CCD">
        <w:rPr>
          <w:rFonts w:ascii="Times New Roman" w:eastAsia="等线" w:hAnsi="Times New Roman" w:cs="Times New Roman"/>
          <w:sz w:val="21"/>
          <w:szCs w:val="21"/>
          <w14:ligatures w14:val="none"/>
        </w:rPr>
        <w:t xml:space="preserve"> total patients, </w:t>
      </w:r>
      <w:r w:rsidRPr="00305CCD">
        <w:rPr>
          <w:rFonts w:ascii="Times New Roman" w:eastAsia="等线" w:hAnsi="Times New Roman" w:cs="Times New Roman"/>
          <w:sz w:val="21"/>
          <w:szCs w:val="21"/>
          <w:vertAlign w:val="superscript"/>
          <w14:ligatures w14:val="none"/>
        </w:rPr>
        <w:t xml:space="preserve">c </w:t>
      </w:r>
      <w:r w:rsidRPr="00305CCD">
        <w:rPr>
          <w:rFonts w:ascii="Times New Roman" w:eastAsia="等线" w:hAnsi="Times New Roman" w:cs="Times New Roman"/>
          <w:sz w:val="21"/>
          <w:szCs w:val="21"/>
          <w14:ligatures w14:val="none"/>
        </w:rPr>
        <w:t>in patients with AKI</w:t>
      </w:r>
    </w:p>
    <w:p w14:paraId="1E7C1A04"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roofErr w:type="spellStart"/>
      <w:r w:rsidRPr="00305CCD">
        <w:rPr>
          <w:rFonts w:ascii="Times New Roman" w:eastAsia="等线" w:hAnsi="Times New Roman" w:cs="Times New Roman"/>
          <w:sz w:val="21"/>
          <w:szCs w:val="21"/>
          <w:vertAlign w:val="superscript"/>
          <w14:ligatures w14:val="none"/>
        </w:rPr>
        <w:t>b</w:t>
      </w:r>
      <w:r w:rsidRPr="00305CCD">
        <w:rPr>
          <w:rFonts w:ascii="Times New Roman" w:eastAsia="等线" w:hAnsi="Times New Roman" w:cs="Times New Roman"/>
          <w:sz w:val="21"/>
          <w:szCs w:val="21"/>
          <w14:ligatures w14:val="none"/>
        </w:rPr>
        <w:t>Adjusted</w:t>
      </w:r>
      <w:proofErr w:type="spellEnd"/>
      <w:r w:rsidRPr="00305CCD">
        <w:rPr>
          <w:rFonts w:ascii="Times New Roman" w:eastAsia="等线" w:hAnsi="Times New Roman" w:cs="Times New Roman"/>
          <w:sz w:val="21"/>
          <w:szCs w:val="21"/>
          <w14:ligatures w14:val="none"/>
        </w:rPr>
        <w:t xml:space="preserve"> for age, surgery department, intensive care unit, diabetes, heart failure, malignant solid tumor, chronic lung disease, cirrhosis or liver failure, cerebrovascular disease, eGFR,</w:t>
      </w:r>
      <w:r w:rsidRPr="00305CCD">
        <w:rPr>
          <w:rFonts w:ascii="Times New Roman" w:eastAsia="微软雅黑" w:hAnsi="Times New Roman" w:cs="Times New Roman"/>
          <w:sz w:val="21"/>
          <w:szCs w:val="21"/>
          <w14:ligatures w14:val="none"/>
        </w:rPr>
        <w:t xml:space="preserve"> </w:t>
      </w:r>
      <w:r w:rsidRPr="00305CCD">
        <w:rPr>
          <w:rFonts w:ascii="Times New Roman" w:eastAsia="等线" w:hAnsi="Times New Roman" w:cs="Times New Roman"/>
          <w:sz w:val="21"/>
          <w:szCs w:val="21"/>
          <w14:ligatures w14:val="none"/>
        </w:rPr>
        <w:t>urea nitrogen, uric acid, albumin, blood glucose, Angiotensin Receptor Blockers/ Angiotensin-Converting Enzyme Inhibitors(ARB/ACEI), diuretic, non-steroidal anti-inflammatory drugs (NSAIDs), intra-aortic balloon pump(IABP), glycopeptide antibiotics, antifungal drugs, proton pump inhibitors, glucocorticoid, contrast agent, vasoactive drugs,β-lactam antibiotics.</w:t>
      </w:r>
    </w:p>
    <w:p w14:paraId="19FED02A"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roofErr w:type="spellStart"/>
      <w:r w:rsidRPr="00305CCD">
        <w:rPr>
          <w:rFonts w:ascii="Times New Roman" w:eastAsia="等线" w:hAnsi="Times New Roman" w:cs="Times New Roman"/>
          <w:sz w:val="21"/>
          <w:szCs w:val="21"/>
          <w:vertAlign w:val="superscript"/>
          <w14:ligatures w14:val="none"/>
        </w:rPr>
        <w:t>d</w:t>
      </w:r>
      <w:r w:rsidRPr="00305CCD">
        <w:rPr>
          <w:rFonts w:ascii="Times New Roman" w:eastAsia="等线" w:hAnsi="Times New Roman" w:cs="Times New Roman"/>
          <w:sz w:val="21"/>
          <w:szCs w:val="21"/>
          <w14:ligatures w14:val="none"/>
        </w:rPr>
        <w:t>Adjusted</w:t>
      </w:r>
      <w:proofErr w:type="spellEnd"/>
      <w:r w:rsidRPr="00305CCD">
        <w:rPr>
          <w:rFonts w:ascii="Times New Roman" w:eastAsia="等线" w:hAnsi="Times New Roman" w:cs="Times New Roman"/>
          <w:sz w:val="21"/>
          <w:szCs w:val="21"/>
          <w14:ligatures w14:val="none"/>
        </w:rPr>
        <w:t xml:space="preserve"> for age, surgery department, hypertension, heart failure, chronic lung disease, cirrhosis or liver failure, cerebrovascular disease, eGFR, white blood cell, urea nitrogen, albumin, Angiotensin Receptor Blockers/ Angiotensin-Converting Enzyme Inhibitors (ARB/ACEI), diuretic, non-steroidal anti-inflammatory drugs (NSAIDs), glycopeptide antibiotics, antifungal drugs, antiviral drugs, proton pump inhibitors (PPI), glucocorticoid, contrast agent, vasoactive drugs, β-lactam antibiotics.</w:t>
      </w:r>
    </w:p>
    <w:p w14:paraId="5F84A463"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OR: odds ratio, CI: confidence interval, REF: reference, AKI: acute kidney injury,</w:t>
      </w:r>
      <w:r w:rsidRPr="00305CCD">
        <w:rPr>
          <w:rFonts w:ascii="Times New Roman" w:eastAsia="等线" w:hAnsi="Times New Roman" w:cs="Times New Roman"/>
          <w:sz w:val="15"/>
          <w:szCs w:val="15"/>
          <w14:ligatures w14:val="none"/>
        </w:rPr>
        <w:t xml:space="preserve"> </w:t>
      </w:r>
      <w:r w:rsidRPr="00305CCD">
        <w:rPr>
          <w:rFonts w:ascii="Times New Roman" w:eastAsia="等线" w:hAnsi="Times New Roman" w:cs="Times New Roman"/>
          <w:sz w:val="21"/>
          <w:szCs w:val="21"/>
          <w14:ligatures w14:val="none"/>
        </w:rPr>
        <w:t>eGFR: estimated glomerular filtration rate</w:t>
      </w:r>
    </w:p>
    <w:p w14:paraId="7EA34E97"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
    <w:p w14:paraId="5A0AF4E2"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
    <w:p w14:paraId="71617005"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
    <w:p w14:paraId="42135B90"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sectPr w:rsidR="00305CCD" w:rsidRPr="00305CCD" w:rsidSect="00305CCD">
          <w:type w:val="continuous"/>
          <w:pgSz w:w="16838" w:h="11906" w:orient="landscape"/>
          <w:pgMar w:top="1440" w:right="1440" w:bottom="1440" w:left="1440" w:header="851" w:footer="992" w:gutter="0"/>
          <w:cols w:space="425"/>
          <w:docGrid w:type="lines" w:linePitch="312"/>
        </w:sectPr>
      </w:pPr>
    </w:p>
    <w:p w14:paraId="7BAC84F1"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lastRenderedPageBreak/>
        <w:t>Supplement table 5.</w:t>
      </w:r>
      <w:r w:rsidRPr="00305CCD">
        <w:rPr>
          <w:rFonts w:ascii="Times New Roman" w:eastAsia="等线" w:hAnsi="Times New Roman" w:cs="Times New Roman"/>
          <w:sz w:val="21"/>
          <w:szCs w:val="21"/>
          <w14:ligatures w14:val="none"/>
        </w:rPr>
        <w:t xml:space="preserve"> Association between different admission serum phosphate categories and acute kidney injury non-recovery</w:t>
      </w:r>
    </w:p>
    <w:p w14:paraId="24750564"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p>
    <w:tbl>
      <w:tblPr>
        <w:tblStyle w:val="af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9"/>
        <w:gridCol w:w="1516"/>
        <w:gridCol w:w="1072"/>
        <w:gridCol w:w="833"/>
        <w:gridCol w:w="1701"/>
        <w:gridCol w:w="992"/>
        <w:gridCol w:w="1134"/>
      </w:tblGrid>
      <w:tr w:rsidR="00305CCD" w:rsidRPr="00305CCD" w14:paraId="6F9A44C8" w14:textId="77777777" w:rsidTr="00554E82">
        <w:trPr>
          <w:trHeight w:val="310"/>
          <w:jc w:val="center"/>
        </w:trPr>
        <w:tc>
          <w:tcPr>
            <w:tcW w:w="0" w:type="auto"/>
            <w:vMerge w:val="restart"/>
            <w:tcBorders>
              <w:top w:val="single" w:sz="4" w:space="0" w:color="auto"/>
            </w:tcBorders>
          </w:tcPr>
          <w:p w14:paraId="385CA046"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Admission serum phosphate level(mmol/L)</w:t>
            </w:r>
          </w:p>
        </w:tc>
        <w:tc>
          <w:tcPr>
            <w:tcW w:w="3247" w:type="dxa"/>
            <w:gridSpan w:val="3"/>
            <w:tcBorders>
              <w:top w:val="single" w:sz="4" w:space="0" w:color="auto"/>
              <w:bottom w:val="single" w:sz="4" w:space="0" w:color="auto"/>
            </w:tcBorders>
          </w:tcPr>
          <w:p w14:paraId="547D7A31"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Univariate analysis</w:t>
            </w:r>
          </w:p>
        </w:tc>
        <w:tc>
          <w:tcPr>
            <w:tcW w:w="3827" w:type="dxa"/>
            <w:gridSpan w:val="3"/>
            <w:tcBorders>
              <w:top w:val="single" w:sz="4" w:space="0" w:color="auto"/>
              <w:bottom w:val="single" w:sz="4" w:space="0" w:color="auto"/>
            </w:tcBorders>
          </w:tcPr>
          <w:p w14:paraId="6CC57EB1"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Multivariate analysis</w:t>
            </w:r>
          </w:p>
        </w:tc>
      </w:tr>
      <w:tr w:rsidR="00305CCD" w:rsidRPr="00305CCD" w14:paraId="342F04AF" w14:textId="77777777" w:rsidTr="00554E82">
        <w:trPr>
          <w:trHeight w:val="310"/>
          <w:jc w:val="center"/>
        </w:trPr>
        <w:tc>
          <w:tcPr>
            <w:tcW w:w="0" w:type="auto"/>
            <w:vMerge/>
            <w:tcBorders>
              <w:bottom w:val="single" w:sz="4" w:space="0" w:color="auto"/>
            </w:tcBorders>
          </w:tcPr>
          <w:p w14:paraId="0C4DAFDC" w14:textId="77777777" w:rsidR="00305CCD" w:rsidRPr="00305CCD" w:rsidRDefault="00305CCD" w:rsidP="00305CCD">
            <w:pPr>
              <w:spacing w:line="360" w:lineRule="auto"/>
              <w:jc w:val="center"/>
              <w:rPr>
                <w:rFonts w:ascii="Times New Roman" w:eastAsia="等线" w:hAnsi="Times New Roman" w:cs="Times New Roman"/>
                <w:sz w:val="20"/>
                <w:szCs w:val="20"/>
              </w:rPr>
            </w:pPr>
          </w:p>
        </w:tc>
        <w:tc>
          <w:tcPr>
            <w:tcW w:w="0" w:type="auto"/>
            <w:tcBorders>
              <w:top w:val="single" w:sz="4" w:space="0" w:color="auto"/>
              <w:bottom w:val="single" w:sz="4" w:space="0" w:color="auto"/>
            </w:tcBorders>
          </w:tcPr>
          <w:p w14:paraId="1B604080"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OR (95%CI)</w:t>
            </w:r>
          </w:p>
        </w:tc>
        <w:tc>
          <w:tcPr>
            <w:tcW w:w="1072" w:type="dxa"/>
            <w:tcBorders>
              <w:top w:val="single" w:sz="4" w:space="0" w:color="auto"/>
              <w:bottom w:val="single" w:sz="4" w:space="0" w:color="auto"/>
            </w:tcBorders>
          </w:tcPr>
          <w:p w14:paraId="56971D1B"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P</w:t>
            </w:r>
          </w:p>
        </w:tc>
        <w:tc>
          <w:tcPr>
            <w:tcW w:w="709" w:type="dxa"/>
            <w:tcBorders>
              <w:top w:val="single" w:sz="4" w:space="0" w:color="auto"/>
              <w:bottom w:val="single" w:sz="4" w:space="0" w:color="auto"/>
            </w:tcBorders>
          </w:tcPr>
          <w:p w14:paraId="7E446DE5" w14:textId="77777777" w:rsidR="00305CCD" w:rsidRPr="00305CCD" w:rsidRDefault="00305CCD" w:rsidP="00305CCD">
            <w:pPr>
              <w:spacing w:line="360" w:lineRule="auto"/>
              <w:jc w:val="center"/>
              <w:rPr>
                <w:rFonts w:ascii="Times New Roman" w:eastAsia="等线" w:hAnsi="Times New Roman" w:cs="Times New Roman"/>
                <w:sz w:val="20"/>
                <w:szCs w:val="20"/>
              </w:rPr>
            </w:pPr>
            <w:proofErr w:type="spellStart"/>
            <w:r w:rsidRPr="00305CCD">
              <w:rPr>
                <w:rFonts w:ascii="Times New Roman" w:eastAsia="等线" w:hAnsi="Times New Roman" w:cs="Times New Roman"/>
                <w:sz w:val="20"/>
                <w:szCs w:val="20"/>
              </w:rPr>
              <w:t>P.adjust</w:t>
            </w:r>
            <w:proofErr w:type="spellEnd"/>
          </w:p>
        </w:tc>
        <w:tc>
          <w:tcPr>
            <w:tcW w:w="1701" w:type="dxa"/>
            <w:tcBorders>
              <w:top w:val="single" w:sz="4" w:space="0" w:color="auto"/>
              <w:bottom w:val="single" w:sz="4" w:space="0" w:color="auto"/>
            </w:tcBorders>
          </w:tcPr>
          <w:p w14:paraId="2238E946"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OR (95%CI)</w:t>
            </w:r>
          </w:p>
        </w:tc>
        <w:tc>
          <w:tcPr>
            <w:tcW w:w="992" w:type="dxa"/>
            <w:tcBorders>
              <w:top w:val="single" w:sz="4" w:space="0" w:color="auto"/>
              <w:bottom w:val="single" w:sz="4" w:space="0" w:color="auto"/>
            </w:tcBorders>
          </w:tcPr>
          <w:p w14:paraId="7C59D84D"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P</w:t>
            </w:r>
          </w:p>
        </w:tc>
        <w:tc>
          <w:tcPr>
            <w:tcW w:w="1134" w:type="dxa"/>
            <w:tcBorders>
              <w:top w:val="single" w:sz="4" w:space="0" w:color="auto"/>
              <w:bottom w:val="single" w:sz="4" w:space="0" w:color="auto"/>
            </w:tcBorders>
          </w:tcPr>
          <w:p w14:paraId="1DCBF2D1" w14:textId="77777777" w:rsidR="00305CCD" w:rsidRPr="00305CCD" w:rsidRDefault="00305CCD" w:rsidP="00305CCD">
            <w:pPr>
              <w:spacing w:line="360" w:lineRule="auto"/>
              <w:jc w:val="center"/>
              <w:rPr>
                <w:rFonts w:ascii="Times New Roman" w:eastAsia="等线" w:hAnsi="Times New Roman" w:cs="Times New Roman"/>
                <w:sz w:val="20"/>
                <w:szCs w:val="20"/>
              </w:rPr>
            </w:pPr>
            <w:proofErr w:type="spellStart"/>
            <w:r w:rsidRPr="00305CCD">
              <w:rPr>
                <w:rFonts w:ascii="Times New Roman" w:eastAsia="等线" w:hAnsi="Times New Roman" w:cs="Times New Roman"/>
                <w:sz w:val="20"/>
                <w:szCs w:val="20"/>
              </w:rPr>
              <w:t>P.adjust</w:t>
            </w:r>
            <w:proofErr w:type="spellEnd"/>
          </w:p>
        </w:tc>
      </w:tr>
      <w:tr w:rsidR="00305CCD" w:rsidRPr="00305CCD" w14:paraId="146C2ACA" w14:textId="77777777" w:rsidTr="00554E82">
        <w:trPr>
          <w:trHeight w:val="310"/>
          <w:jc w:val="center"/>
        </w:trPr>
        <w:tc>
          <w:tcPr>
            <w:tcW w:w="0" w:type="auto"/>
            <w:tcBorders>
              <w:top w:val="single" w:sz="4" w:space="0" w:color="auto"/>
            </w:tcBorders>
          </w:tcPr>
          <w:p w14:paraId="0AD36F5D"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&lt;0.81</w:t>
            </w:r>
          </w:p>
        </w:tc>
        <w:tc>
          <w:tcPr>
            <w:tcW w:w="0" w:type="auto"/>
          </w:tcPr>
          <w:p w14:paraId="6C6408B1"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1.17 [0.96-1.43]</w:t>
            </w:r>
          </w:p>
        </w:tc>
        <w:tc>
          <w:tcPr>
            <w:tcW w:w="1072" w:type="dxa"/>
          </w:tcPr>
          <w:p w14:paraId="54AE5A32"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0.128</w:t>
            </w:r>
          </w:p>
        </w:tc>
        <w:tc>
          <w:tcPr>
            <w:tcW w:w="709" w:type="dxa"/>
          </w:tcPr>
          <w:p w14:paraId="3FC71F95" w14:textId="77777777" w:rsidR="00305CCD" w:rsidRPr="00305CCD" w:rsidRDefault="00305CCD" w:rsidP="00305CCD">
            <w:pPr>
              <w:spacing w:line="360" w:lineRule="auto"/>
              <w:jc w:val="center"/>
              <w:rPr>
                <w:rFonts w:ascii="Times New Roman" w:eastAsia="微软雅黑" w:hAnsi="Times New Roman" w:cs="Times New Roman"/>
                <w:sz w:val="20"/>
                <w:szCs w:val="20"/>
              </w:rPr>
            </w:pPr>
            <w:r w:rsidRPr="00305CCD">
              <w:rPr>
                <w:rFonts w:ascii="Times New Roman" w:eastAsia="微软雅黑" w:hAnsi="Times New Roman" w:cs="Times New Roman"/>
                <w:sz w:val="20"/>
                <w:szCs w:val="20"/>
              </w:rPr>
              <w:t>0.257</w:t>
            </w:r>
          </w:p>
        </w:tc>
        <w:tc>
          <w:tcPr>
            <w:tcW w:w="1701" w:type="dxa"/>
          </w:tcPr>
          <w:p w14:paraId="551374CA"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微软雅黑" w:hAnsi="Times New Roman" w:cs="Times New Roman"/>
                <w:sz w:val="20"/>
                <w:szCs w:val="20"/>
              </w:rPr>
              <w:t>1.49 [1.20-1.85]</w:t>
            </w:r>
          </w:p>
        </w:tc>
        <w:tc>
          <w:tcPr>
            <w:tcW w:w="992" w:type="dxa"/>
            <w:tcBorders>
              <w:top w:val="single" w:sz="4" w:space="0" w:color="auto"/>
              <w:left w:val="nil"/>
              <w:bottom w:val="nil"/>
              <w:right w:val="nil"/>
            </w:tcBorders>
            <w:vAlign w:val="center"/>
          </w:tcPr>
          <w:p w14:paraId="6674452B"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color w:val="000000"/>
                <w:sz w:val="20"/>
                <w:szCs w:val="20"/>
              </w:rPr>
              <w:t>&lt;0.001</w:t>
            </w:r>
          </w:p>
        </w:tc>
        <w:tc>
          <w:tcPr>
            <w:tcW w:w="1134" w:type="dxa"/>
            <w:tcBorders>
              <w:top w:val="single" w:sz="4" w:space="0" w:color="auto"/>
              <w:left w:val="nil"/>
              <w:bottom w:val="nil"/>
              <w:right w:val="nil"/>
            </w:tcBorders>
          </w:tcPr>
          <w:p w14:paraId="158E7005"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0.001</w:t>
            </w:r>
          </w:p>
        </w:tc>
      </w:tr>
      <w:tr w:rsidR="00305CCD" w:rsidRPr="00305CCD" w14:paraId="3EC0B607" w14:textId="77777777" w:rsidTr="00554E82">
        <w:trPr>
          <w:trHeight w:val="310"/>
          <w:jc w:val="center"/>
        </w:trPr>
        <w:tc>
          <w:tcPr>
            <w:tcW w:w="0" w:type="auto"/>
            <w:tcBorders>
              <w:bottom w:val="nil"/>
            </w:tcBorders>
          </w:tcPr>
          <w:p w14:paraId="14B238FD"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0.81-1.45</w:t>
            </w:r>
          </w:p>
        </w:tc>
        <w:tc>
          <w:tcPr>
            <w:tcW w:w="0" w:type="auto"/>
          </w:tcPr>
          <w:p w14:paraId="1440FED4"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REF</w:t>
            </w:r>
          </w:p>
        </w:tc>
        <w:tc>
          <w:tcPr>
            <w:tcW w:w="1072" w:type="dxa"/>
          </w:tcPr>
          <w:p w14:paraId="1C7CD858"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REF</w:t>
            </w:r>
          </w:p>
        </w:tc>
        <w:tc>
          <w:tcPr>
            <w:tcW w:w="709" w:type="dxa"/>
          </w:tcPr>
          <w:p w14:paraId="7C846CD3" w14:textId="77777777" w:rsidR="00305CCD" w:rsidRPr="00305CCD" w:rsidRDefault="00305CCD" w:rsidP="00305CCD">
            <w:pPr>
              <w:spacing w:line="360" w:lineRule="auto"/>
              <w:jc w:val="center"/>
              <w:rPr>
                <w:rFonts w:ascii="Times New Roman" w:eastAsia="微软雅黑" w:hAnsi="Times New Roman" w:cs="Times New Roman"/>
                <w:sz w:val="20"/>
                <w:szCs w:val="20"/>
              </w:rPr>
            </w:pPr>
            <w:r w:rsidRPr="00305CCD">
              <w:rPr>
                <w:rFonts w:ascii="Times New Roman" w:eastAsia="微软雅黑" w:hAnsi="Times New Roman" w:cs="Times New Roman"/>
                <w:sz w:val="20"/>
                <w:szCs w:val="20"/>
              </w:rPr>
              <w:t>REF</w:t>
            </w:r>
          </w:p>
        </w:tc>
        <w:tc>
          <w:tcPr>
            <w:tcW w:w="1701" w:type="dxa"/>
            <w:tcBorders>
              <w:bottom w:val="nil"/>
            </w:tcBorders>
          </w:tcPr>
          <w:p w14:paraId="7F4FD814"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微软雅黑" w:hAnsi="Times New Roman" w:cs="Times New Roman"/>
                <w:sz w:val="20"/>
                <w:szCs w:val="20"/>
              </w:rPr>
              <w:t>REF</w:t>
            </w:r>
          </w:p>
        </w:tc>
        <w:tc>
          <w:tcPr>
            <w:tcW w:w="992" w:type="dxa"/>
            <w:tcBorders>
              <w:top w:val="nil"/>
              <w:left w:val="nil"/>
              <w:bottom w:val="nil"/>
              <w:right w:val="nil"/>
            </w:tcBorders>
            <w:vAlign w:val="center"/>
          </w:tcPr>
          <w:p w14:paraId="35217A2B"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color w:val="000000"/>
                <w:sz w:val="20"/>
                <w:szCs w:val="20"/>
              </w:rPr>
              <w:t>REF</w:t>
            </w:r>
          </w:p>
        </w:tc>
        <w:tc>
          <w:tcPr>
            <w:tcW w:w="1134" w:type="dxa"/>
            <w:tcBorders>
              <w:top w:val="nil"/>
              <w:left w:val="nil"/>
              <w:bottom w:val="nil"/>
              <w:right w:val="nil"/>
            </w:tcBorders>
          </w:tcPr>
          <w:p w14:paraId="605883AF"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REF</w:t>
            </w:r>
          </w:p>
        </w:tc>
      </w:tr>
      <w:tr w:rsidR="00305CCD" w:rsidRPr="00305CCD" w14:paraId="2510134F" w14:textId="77777777" w:rsidTr="00554E82">
        <w:trPr>
          <w:trHeight w:val="310"/>
          <w:jc w:val="center"/>
        </w:trPr>
        <w:tc>
          <w:tcPr>
            <w:tcW w:w="0" w:type="auto"/>
            <w:tcBorders>
              <w:top w:val="nil"/>
              <w:bottom w:val="single" w:sz="4" w:space="0" w:color="auto"/>
            </w:tcBorders>
          </w:tcPr>
          <w:p w14:paraId="02140223"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sz w:val="20"/>
                <w:szCs w:val="20"/>
              </w:rPr>
              <w:t>&gt;1.45</w:t>
            </w:r>
          </w:p>
        </w:tc>
        <w:tc>
          <w:tcPr>
            <w:tcW w:w="0" w:type="auto"/>
          </w:tcPr>
          <w:p w14:paraId="54A2B927"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0.52[0.44-0.61]</w:t>
            </w:r>
          </w:p>
        </w:tc>
        <w:tc>
          <w:tcPr>
            <w:tcW w:w="1072" w:type="dxa"/>
          </w:tcPr>
          <w:p w14:paraId="01A5EF1B"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&lt;0.001</w:t>
            </w:r>
          </w:p>
        </w:tc>
        <w:tc>
          <w:tcPr>
            <w:tcW w:w="709" w:type="dxa"/>
          </w:tcPr>
          <w:p w14:paraId="55D2926F" w14:textId="77777777" w:rsidR="00305CCD" w:rsidRPr="00305CCD" w:rsidRDefault="00305CCD" w:rsidP="00305CCD">
            <w:pPr>
              <w:spacing w:line="360" w:lineRule="auto"/>
              <w:jc w:val="center"/>
              <w:rPr>
                <w:rFonts w:ascii="Times New Roman" w:eastAsia="微软雅黑" w:hAnsi="Times New Roman" w:cs="Times New Roman"/>
                <w:sz w:val="20"/>
                <w:szCs w:val="20"/>
              </w:rPr>
            </w:pPr>
            <w:r w:rsidRPr="00305CCD">
              <w:rPr>
                <w:rFonts w:ascii="Times New Roman" w:eastAsia="微软雅黑" w:hAnsi="Times New Roman" w:cs="Times New Roman"/>
                <w:sz w:val="20"/>
                <w:szCs w:val="20"/>
              </w:rPr>
              <w:t>&lt;0.001</w:t>
            </w:r>
          </w:p>
        </w:tc>
        <w:tc>
          <w:tcPr>
            <w:tcW w:w="1701" w:type="dxa"/>
            <w:tcBorders>
              <w:top w:val="nil"/>
              <w:bottom w:val="single" w:sz="4" w:space="0" w:color="auto"/>
            </w:tcBorders>
          </w:tcPr>
          <w:p w14:paraId="0A488BF0"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微软雅黑" w:hAnsi="Times New Roman" w:cs="Times New Roman"/>
                <w:sz w:val="20"/>
                <w:szCs w:val="20"/>
              </w:rPr>
              <w:t>0.69 [0.58-0.83]</w:t>
            </w:r>
          </w:p>
        </w:tc>
        <w:tc>
          <w:tcPr>
            <w:tcW w:w="992" w:type="dxa"/>
            <w:tcBorders>
              <w:top w:val="nil"/>
              <w:left w:val="nil"/>
              <w:bottom w:val="single" w:sz="4" w:space="0" w:color="auto"/>
              <w:right w:val="nil"/>
            </w:tcBorders>
            <w:vAlign w:val="center"/>
          </w:tcPr>
          <w:p w14:paraId="1C2D2C70" w14:textId="77777777" w:rsidR="00305CCD" w:rsidRPr="00305CCD" w:rsidRDefault="00305CCD" w:rsidP="00305CCD">
            <w:pPr>
              <w:spacing w:line="360" w:lineRule="auto"/>
              <w:jc w:val="center"/>
              <w:rPr>
                <w:rFonts w:ascii="Times New Roman" w:eastAsia="等线" w:hAnsi="Times New Roman" w:cs="Times New Roman"/>
                <w:sz w:val="20"/>
                <w:szCs w:val="20"/>
              </w:rPr>
            </w:pPr>
            <w:r w:rsidRPr="00305CCD">
              <w:rPr>
                <w:rFonts w:ascii="Times New Roman" w:eastAsia="等线" w:hAnsi="Times New Roman" w:cs="Times New Roman"/>
                <w:color w:val="000000"/>
                <w:sz w:val="20"/>
                <w:szCs w:val="20"/>
              </w:rPr>
              <w:t>&lt;0.001</w:t>
            </w:r>
          </w:p>
        </w:tc>
        <w:tc>
          <w:tcPr>
            <w:tcW w:w="1134" w:type="dxa"/>
            <w:tcBorders>
              <w:top w:val="nil"/>
              <w:left w:val="nil"/>
              <w:bottom w:val="single" w:sz="4" w:space="0" w:color="auto"/>
              <w:right w:val="nil"/>
            </w:tcBorders>
          </w:tcPr>
          <w:p w14:paraId="0C0E8BA6" w14:textId="77777777" w:rsidR="00305CCD" w:rsidRPr="00305CCD" w:rsidRDefault="00305CCD" w:rsidP="00305CCD">
            <w:pPr>
              <w:spacing w:line="360" w:lineRule="auto"/>
              <w:jc w:val="center"/>
              <w:rPr>
                <w:rFonts w:ascii="Times New Roman" w:eastAsia="等线" w:hAnsi="Times New Roman" w:cs="Times New Roman"/>
                <w:color w:val="000000"/>
                <w:sz w:val="20"/>
                <w:szCs w:val="20"/>
              </w:rPr>
            </w:pPr>
            <w:r w:rsidRPr="00305CCD">
              <w:rPr>
                <w:rFonts w:ascii="Times New Roman" w:eastAsia="等线" w:hAnsi="Times New Roman" w:cs="Times New Roman"/>
                <w:color w:val="000000"/>
                <w:sz w:val="20"/>
                <w:szCs w:val="20"/>
              </w:rPr>
              <w:t>&lt;0.001</w:t>
            </w:r>
          </w:p>
        </w:tc>
      </w:tr>
    </w:tbl>
    <w:p w14:paraId="74C1736B"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3C75D924"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10180AEE"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Adjusted for heart failure, malignant solid tumor, eGFR, uric acid,</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1"/>
          <w:szCs w:val="21"/>
          <w14:ligatures w14:val="none"/>
        </w:rPr>
        <w:t>urea nitrogen, diuretic, aminoglycoside antibiotics, antifungal drugs, proton pump inhibitors (PPI),</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1"/>
          <w:szCs w:val="21"/>
          <w14:ligatures w14:val="none"/>
        </w:rPr>
        <w:t>uric acid-lowering medication, contrast agent, lipid-lowering drugs, vasoactive drugs, β-lactam antibiotics.</w:t>
      </w:r>
    </w:p>
    <w:p w14:paraId="0567FF91"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OR: odds ratio, CI: confidence interval, REF: reference, eGFR: estimated glomerular filtration rate</w:t>
      </w:r>
    </w:p>
    <w:p w14:paraId="01C40C83"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59209EDB"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537B2A46"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3711B3CB"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3D2B4FF5"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41A74258"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48A909BA"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17E703A8"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14840AC4"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289DC6AA" w14:textId="77777777" w:rsidR="00305CCD" w:rsidRPr="00305CCD" w:rsidRDefault="00305CCD" w:rsidP="00305CCD">
      <w:pPr>
        <w:spacing w:after="0" w:line="360" w:lineRule="auto"/>
        <w:jc w:val="center"/>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t xml:space="preserve">Supplement table 6. </w:t>
      </w:r>
      <w:r w:rsidRPr="00305CCD">
        <w:rPr>
          <w:rFonts w:ascii="Times New Roman" w:eastAsia="等线" w:hAnsi="Times New Roman" w:cs="Times New Roman"/>
          <w:sz w:val="21"/>
          <w:szCs w:val="21"/>
          <w14:ligatures w14:val="none"/>
        </w:rPr>
        <w:t>Baseline characteristics after 1:5 propensity score matching</w:t>
      </w:r>
    </w:p>
    <w:p w14:paraId="47DB29D8" w14:textId="77777777" w:rsidR="00305CCD" w:rsidRPr="00305CCD" w:rsidRDefault="00305CCD" w:rsidP="00305CCD">
      <w:pPr>
        <w:spacing w:after="0" w:line="360" w:lineRule="auto"/>
        <w:rPr>
          <w:rFonts w:ascii="Times New Roman" w:eastAsia="等线" w:hAnsi="Times New Roman" w:cs="Times New Roman"/>
          <w:sz w:val="24"/>
          <w14:ligatures w14:val="none"/>
        </w:rPr>
      </w:pPr>
    </w:p>
    <w:tbl>
      <w:tblPr>
        <w:tblStyle w:val="1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677"/>
        <w:gridCol w:w="1677"/>
      </w:tblGrid>
      <w:tr w:rsidR="00305CCD" w:rsidRPr="00305CCD" w14:paraId="242EBBA4" w14:textId="77777777" w:rsidTr="00554E82">
        <w:trPr>
          <w:trHeight w:val="399"/>
          <w:jc w:val="center"/>
        </w:trPr>
        <w:tc>
          <w:tcPr>
            <w:tcW w:w="3171" w:type="dxa"/>
            <w:tcBorders>
              <w:top w:val="single" w:sz="4" w:space="0" w:color="auto"/>
              <w:bottom w:val="single" w:sz="4" w:space="0" w:color="auto"/>
            </w:tcBorders>
          </w:tcPr>
          <w:p w14:paraId="3DE12540" w14:textId="77777777" w:rsidR="00305CCD" w:rsidRPr="00305CCD" w:rsidRDefault="00305CCD" w:rsidP="00305CCD">
            <w:pPr>
              <w:rPr>
                <w:rFonts w:ascii="Times New Roman" w:eastAsia="等线" w:hAnsi="Times New Roman" w:cs="Times New Roman"/>
                <w:sz w:val="21"/>
                <w:szCs w:val="21"/>
                <w14:ligatures w14:val="none"/>
              </w:rPr>
            </w:pPr>
          </w:p>
        </w:tc>
        <w:tc>
          <w:tcPr>
            <w:tcW w:w="1677" w:type="dxa"/>
            <w:tcBorders>
              <w:top w:val="single" w:sz="4" w:space="0" w:color="auto"/>
              <w:bottom w:val="single" w:sz="4" w:space="0" w:color="auto"/>
            </w:tcBorders>
          </w:tcPr>
          <w:p w14:paraId="015EE3AB"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P</w:t>
            </w:r>
          </w:p>
        </w:tc>
        <w:tc>
          <w:tcPr>
            <w:tcW w:w="1677" w:type="dxa"/>
            <w:tcBorders>
              <w:top w:val="single" w:sz="4" w:space="0" w:color="auto"/>
              <w:bottom w:val="single" w:sz="4" w:space="0" w:color="auto"/>
            </w:tcBorders>
          </w:tcPr>
          <w:p w14:paraId="3050BB50"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SMD</w:t>
            </w:r>
          </w:p>
        </w:tc>
      </w:tr>
      <w:tr w:rsidR="00305CCD" w:rsidRPr="00305CCD" w14:paraId="02B2A6FA" w14:textId="77777777" w:rsidTr="00554E82">
        <w:trPr>
          <w:trHeight w:val="399"/>
          <w:jc w:val="center"/>
        </w:trPr>
        <w:tc>
          <w:tcPr>
            <w:tcW w:w="3171" w:type="dxa"/>
            <w:tcBorders>
              <w:top w:val="single" w:sz="4" w:space="0" w:color="auto"/>
            </w:tcBorders>
          </w:tcPr>
          <w:p w14:paraId="2FE13DCF"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Age</w:t>
            </w:r>
          </w:p>
        </w:tc>
        <w:tc>
          <w:tcPr>
            <w:tcW w:w="1677" w:type="dxa"/>
            <w:tcBorders>
              <w:top w:val="single" w:sz="4" w:space="0" w:color="auto"/>
            </w:tcBorders>
          </w:tcPr>
          <w:p w14:paraId="6F0D0B5F"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0.776</w:t>
            </w:r>
          </w:p>
        </w:tc>
        <w:tc>
          <w:tcPr>
            <w:tcW w:w="1677" w:type="dxa"/>
            <w:tcBorders>
              <w:top w:val="single" w:sz="4" w:space="0" w:color="auto"/>
            </w:tcBorders>
          </w:tcPr>
          <w:p w14:paraId="627A238C"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0.004</w:t>
            </w:r>
          </w:p>
        </w:tc>
      </w:tr>
      <w:tr w:rsidR="00305CCD" w:rsidRPr="00305CCD" w14:paraId="32521372" w14:textId="77777777" w:rsidTr="00554E82">
        <w:trPr>
          <w:trHeight w:val="391"/>
          <w:jc w:val="center"/>
        </w:trPr>
        <w:tc>
          <w:tcPr>
            <w:tcW w:w="3171" w:type="dxa"/>
          </w:tcPr>
          <w:p w14:paraId="1ABC74A1"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 xml:space="preserve">Male </w:t>
            </w:r>
          </w:p>
        </w:tc>
        <w:tc>
          <w:tcPr>
            <w:tcW w:w="1677" w:type="dxa"/>
          </w:tcPr>
          <w:p w14:paraId="4AD2F39F"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0.094</w:t>
            </w:r>
          </w:p>
        </w:tc>
        <w:tc>
          <w:tcPr>
            <w:tcW w:w="1677" w:type="dxa"/>
          </w:tcPr>
          <w:p w14:paraId="19D8EEE9"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0.024</w:t>
            </w:r>
          </w:p>
        </w:tc>
      </w:tr>
      <w:tr w:rsidR="00305CCD" w:rsidRPr="00305CCD" w14:paraId="7B27A2AF" w14:textId="77777777" w:rsidTr="00554E82">
        <w:trPr>
          <w:trHeight w:val="399"/>
          <w:jc w:val="center"/>
        </w:trPr>
        <w:tc>
          <w:tcPr>
            <w:tcW w:w="3171" w:type="dxa"/>
          </w:tcPr>
          <w:p w14:paraId="11C0DC1A"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 xml:space="preserve">Surgery department </w:t>
            </w:r>
          </w:p>
        </w:tc>
        <w:tc>
          <w:tcPr>
            <w:tcW w:w="1677" w:type="dxa"/>
          </w:tcPr>
          <w:p w14:paraId="2EC88333"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0.216</w:t>
            </w:r>
          </w:p>
        </w:tc>
        <w:tc>
          <w:tcPr>
            <w:tcW w:w="1677" w:type="dxa"/>
          </w:tcPr>
          <w:p w14:paraId="5D5E0661"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0.018</w:t>
            </w:r>
          </w:p>
        </w:tc>
      </w:tr>
      <w:tr w:rsidR="00305CCD" w:rsidRPr="00305CCD" w14:paraId="276CE9A2" w14:textId="77777777" w:rsidTr="00554E82">
        <w:trPr>
          <w:trHeight w:val="399"/>
          <w:jc w:val="center"/>
        </w:trPr>
        <w:tc>
          <w:tcPr>
            <w:tcW w:w="3171" w:type="dxa"/>
          </w:tcPr>
          <w:p w14:paraId="3A98FF8C" w14:textId="77777777" w:rsidR="00305CCD" w:rsidRPr="00305CCD" w:rsidRDefault="00305CCD" w:rsidP="00305CCD">
            <w:pPr>
              <w:ind w:left="420" w:hangingChars="200" w:hanging="420"/>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Intensive care unit</w:t>
            </w:r>
          </w:p>
        </w:tc>
        <w:tc>
          <w:tcPr>
            <w:tcW w:w="1677" w:type="dxa"/>
          </w:tcPr>
          <w:p w14:paraId="1A906DF6"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&lt;0.001</w:t>
            </w:r>
          </w:p>
        </w:tc>
        <w:tc>
          <w:tcPr>
            <w:tcW w:w="1677" w:type="dxa"/>
          </w:tcPr>
          <w:p w14:paraId="31D73083"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0.050</w:t>
            </w:r>
          </w:p>
        </w:tc>
      </w:tr>
    </w:tbl>
    <w:p w14:paraId="184BAFBD"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2AA1AEDE" w14:textId="77777777" w:rsidR="00305CCD" w:rsidRDefault="00305CCD" w:rsidP="00305CCD">
      <w:pPr>
        <w:spacing w:after="0" w:line="360" w:lineRule="auto"/>
        <w:rPr>
          <w:rFonts w:ascii="Times New Roman" w:eastAsia="等线" w:hAnsi="Times New Roman" w:cs="Times New Roman"/>
          <w:sz w:val="24"/>
          <w14:ligatures w14:val="none"/>
        </w:rPr>
      </w:pPr>
    </w:p>
    <w:p w14:paraId="6DA3210D" w14:textId="77777777" w:rsidR="00305CCD" w:rsidRDefault="00305CCD" w:rsidP="00305CCD">
      <w:pPr>
        <w:spacing w:after="0" w:line="360" w:lineRule="auto"/>
        <w:rPr>
          <w:rFonts w:ascii="Times New Roman" w:eastAsia="等线" w:hAnsi="Times New Roman" w:cs="Times New Roman"/>
          <w:sz w:val="24"/>
          <w14:ligatures w14:val="none"/>
        </w:rPr>
      </w:pPr>
    </w:p>
    <w:p w14:paraId="494FDC30" w14:textId="77777777" w:rsidR="00305CCD" w:rsidRDefault="00305CCD" w:rsidP="00305CCD">
      <w:pPr>
        <w:spacing w:after="0" w:line="360" w:lineRule="auto"/>
        <w:rPr>
          <w:rFonts w:ascii="Times New Roman" w:eastAsia="等线" w:hAnsi="Times New Roman" w:cs="Times New Roman"/>
          <w:sz w:val="24"/>
          <w14:ligatures w14:val="none"/>
        </w:rPr>
      </w:pPr>
    </w:p>
    <w:p w14:paraId="162F38CD" w14:textId="77777777" w:rsidR="00305CCD" w:rsidRDefault="00305CCD" w:rsidP="00305CCD">
      <w:pPr>
        <w:spacing w:after="0" w:line="360" w:lineRule="auto"/>
        <w:rPr>
          <w:rFonts w:ascii="Times New Roman" w:eastAsia="等线" w:hAnsi="Times New Roman" w:cs="Times New Roman"/>
          <w:sz w:val="24"/>
          <w14:ligatures w14:val="none"/>
        </w:rPr>
      </w:pPr>
    </w:p>
    <w:p w14:paraId="7D29DD17" w14:textId="77777777" w:rsidR="00305CCD" w:rsidRDefault="00305CCD" w:rsidP="00305CCD">
      <w:pPr>
        <w:spacing w:after="0" w:line="360" w:lineRule="auto"/>
        <w:rPr>
          <w:rFonts w:ascii="Times New Roman" w:eastAsia="等线" w:hAnsi="Times New Roman" w:cs="Times New Roman"/>
          <w:sz w:val="24"/>
          <w14:ligatures w14:val="none"/>
        </w:rPr>
      </w:pPr>
    </w:p>
    <w:p w14:paraId="711AD9C3" w14:textId="77777777" w:rsidR="00305CCD" w:rsidRPr="00305CCD" w:rsidRDefault="00305CCD" w:rsidP="00305CCD">
      <w:pPr>
        <w:spacing w:after="0" w:line="360" w:lineRule="auto"/>
        <w:rPr>
          <w:rFonts w:ascii="Times New Roman" w:eastAsia="等线" w:hAnsi="Times New Roman" w:cs="Times New Roman" w:hint="eastAsia"/>
          <w:sz w:val="24"/>
          <w14:ligatures w14:val="none"/>
        </w:rPr>
      </w:pPr>
    </w:p>
    <w:p w14:paraId="17BE3FE3" w14:textId="77777777" w:rsidR="00305CCD" w:rsidRPr="00305CCD" w:rsidRDefault="00305CCD" w:rsidP="00305CCD">
      <w:pPr>
        <w:jc w:val="center"/>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4"/>
          <w14:ligatures w14:val="none"/>
        </w:rPr>
        <w:lastRenderedPageBreak/>
        <w:t xml:space="preserve">Supplement table 7. </w:t>
      </w:r>
      <w:r w:rsidRPr="00305CCD">
        <w:rPr>
          <w:rFonts w:ascii="Times New Roman" w:eastAsia="等线" w:hAnsi="Times New Roman" w:cs="Times New Roman"/>
          <w:sz w:val="21"/>
          <w:szCs w:val="21"/>
          <w14:ligatures w14:val="none"/>
        </w:rPr>
        <w:t>Test of interaction between admission serum phosphate and admission estimated glomerular filtration rate</w:t>
      </w:r>
    </w:p>
    <w:tbl>
      <w:tblPr>
        <w:tblStyle w:val="af2"/>
        <w:tblW w:w="936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2"/>
        <w:gridCol w:w="1814"/>
        <w:gridCol w:w="1299"/>
        <w:gridCol w:w="1896"/>
        <w:gridCol w:w="1358"/>
      </w:tblGrid>
      <w:tr w:rsidR="00305CCD" w:rsidRPr="00305CCD" w14:paraId="7E13F904" w14:textId="77777777" w:rsidTr="00554E82">
        <w:trPr>
          <w:trHeight w:val="310"/>
          <w:jc w:val="center"/>
        </w:trPr>
        <w:tc>
          <w:tcPr>
            <w:tcW w:w="3196" w:type="dxa"/>
            <w:vMerge w:val="restart"/>
            <w:tcBorders>
              <w:top w:val="single" w:sz="4" w:space="0" w:color="auto"/>
            </w:tcBorders>
          </w:tcPr>
          <w:p w14:paraId="78A594A5"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Item</w:t>
            </w:r>
          </w:p>
        </w:tc>
        <w:tc>
          <w:tcPr>
            <w:tcW w:w="2888" w:type="dxa"/>
            <w:gridSpan w:val="2"/>
            <w:tcBorders>
              <w:top w:val="single" w:sz="4" w:space="0" w:color="auto"/>
              <w:bottom w:val="single" w:sz="4" w:space="0" w:color="auto"/>
            </w:tcBorders>
          </w:tcPr>
          <w:p w14:paraId="03446C17"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szCs w:val="21"/>
              </w:rPr>
              <w:t>Univariate analysis</w:t>
            </w:r>
          </w:p>
        </w:tc>
        <w:tc>
          <w:tcPr>
            <w:tcW w:w="3285" w:type="dxa"/>
            <w:gridSpan w:val="2"/>
            <w:tcBorders>
              <w:top w:val="single" w:sz="4" w:space="0" w:color="auto"/>
              <w:bottom w:val="single" w:sz="4" w:space="0" w:color="auto"/>
            </w:tcBorders>
          </w:tcPr>
          <w:p w14:paraId="72F3626E" w14:textId="77777777" w:rsidR="00305CCD" w:rsidRPr="00305CCD" w:rsidRDefault="00305CCD" w:rsidP="00305CCD">
            <w:pPr>
              <w:spacing w:line="360" w:lineRule="auto"/>
              <w:jc w:val="center"/>
              <w:rPr>
                <w:rFonts w:ascii="Times New Roman" w:eastAsia="等线" w:hAnsi="Times New Roman" w:cs="Times New Roman"/>
                <w:szCs w:val="21"/>
              </w:rPr>
            </w:pPr>
            <w:r w:rsidRPr="00305CCD">
              <w:rPr>
                <w:rFonts w:ascii="Times New Roman" w:eastAsia="等线" w:hAnsi="Times New Roman" w:cs="Times New Roman"/>
                <w:szCs w:val="21"/>
              </w:rPr>
              <w:t>Multivariate analysis</w:t>
            </w:r>
          </w:p>
        </w:tc>
      </w:tr>
      <w:tr w:rsidR="00305CCD" w:rsidRPr="00305CCD" w14:paraId="64BEACD0" w14:textId="77777777" w:rsidTr="00554E82">
        <w:trPr>
          <w:trHeight w:val="310"/>
          <w:jc w:val="center"/>
        </w:trPr>
        <w:tc>
          <w:tcPr>
            <w:tcW w:w="3196" w:type="dxa"/>
            <w:vMerge/>
            <w:tcBorders>
              <w:bottom w:val="single" w:sz="4" w:space="0" w:color="auto"/>
            </w:tcBorders>
          </w:tcPr>
          <w:p w14:paraId="5F450450"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p>
        </w:tc>
        <w:tc>
          <w:tcPr>
            <w:tcW w:w="1499" w:type="dxa"/>
            <w:tcBorders>
              <w:top w:val="single" w:sz="4" w:space="0" w:color="auto"/>
              <w:bottom w:val="single" w:sz="4" w:space="0" w:color="auto"/>
            </w:tcBorders>
          </w:tcPr>
          <w:p w14:paraId="75C3669F"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szCs w:val="21"/>
              </w:rPr>
              <w:t>OR(95%CI)</w:t>
            </w:r>
          </w:p>
        </w:tc>
        <w:tc>
          <w:tcPr>
            <w:tcW w:w="1389" w:type="dxa"/>
            <w:tcBorders>
              <w:top w:val="single" w:sz="4" w:space="0" w:color="auto"/>
              <w:bottom w:val="single" w:sz="4" w:space="0" w:color="auto"/>
            </w:tcBorders>
          </w:tcPr>
          <w:p w14:paraId="6444E1BD" w14:textId="77777777" w:rsidR="00305CCD" w:rsidRPr="00305CCD" w:rsidRDefault="00305CCD" w:rsidP="00305CCD">
            <w:pPr>
              <w:spacing w:line="360" w:lineRule="auto"/>
              <w:ind w:leftChars="-113" w:left="-249" w:firstLineChars="113" w:firstLine="237"/>
              <w:jc w:val="center"/>
              <w:rPr>
                <w:rFonts w:ascii="Times New Roman" w:eastAsia="等线" w:hAnsi="Times New Roman" w:cs="Times New Roman"/>
                <w:szCs w:val="21"/>
              </w:rPr>
            </w:pPr>
            <w:r w:rsidRPr="00305CCD">
              <w:rPr>
                <w:rFonts w:ascii="Times New Roman" w:eastAsia="等线" w:hAnsi="Times New Roman" w:cs="Times New Roman"/>
                <w:szCs w:val="21"/>
              </w:rPr>
              <w:t>P</w:t>
            </w:r>
          </w:p>
        </w:tc>
        <w:tc>
          <w:tcPr>
            <w:tcW w:w="1826" w:type="dxa"/>
            <w:tcBorders>
              <w:top w:val="single" w:sz="4" w:space="0" w:color="auto"/>
              <w:bottom w:val="single" w:sz="4" w:space="0" w:color="auto"/>
            </w:tcBorders>
          </w:tcPr>
          <w:p w14:paraId="4194F2CA" w14:textId="77777777" w:rsidR="00305CCD" w:rsidRPr="00305CCD" w:rsidRDefault="00305CCD" w:rsidP="00305CCD">
            <w:pPr>
              <w:spacing w:line="360" w:lineRule="auto"/>
              <w:jc w:val="right"/>
              <w:rPr>
                <w:rFonts w:ascii="Times New Roman" w:eastAsia="等线" w:hAnsi="Times New Roman" w:cs="Times New Roman"/>
                <w:szCs w:val="21"/>
              </w:rPr>
            </w:pPr>
            <w:r w:rsidRPr="00305CCD">
              <w:rPr>
                <w:rFonts w:ascii="Times New Roman" w:eastAsia="等线" w:hAnsi="Times New Roman" w:cs="Times New Roman"/>
                <w:szCs w:val="21"/>
              </w:rPr>
              <w:t>OR(95%CI)</w:t>
            </w:r>
          </w:p>
        </w:tc>
        <w:tc>
          <w:tcPr>
            <w:tcW w:w="1459" w:type="dxa"/>
            <w:tcBorders>
              <w:top w:val="single" w:sz="4" w:space="0" w:color="auto"/>
              <w:bottom w:val="single" w:sz="4" w:space="0" w:color="auto"/>
            </w:tcBorders>
          </w:tcPr>
          <w:p w14:paraId="0A331524" w14:textId="77777777" w:rsidR="00305CCD" w:rsidRPr="00305CCD" w:rsidRDefault="00305CCD" w:rsidP="00305CCD">
            <w:pPr>
              <w:spacing w:line="360" w:lineRule="auto"/>
              <w:jc w:val="center"/>
              <w:rPr>
                <w:rFonts w:ascii="Times New Roman" w:eastAsia="等线" w:hAnsi="Times New Roman" w:cs="Times New Roman"/>
                <w:szCs w:val="21"/>
              </w:rPr>
            </w:pPr>
            <w:r w:rsidRPr="00305CCD">
              <w:rPr>
                <w:rFonts w:ascii="Times New Roman" w:eastAsia="等线" w:hAnsi="Times New Roman" w:cs="Times New Roman"/>
                <w:szCs w:val="21"/>
              </w:rPr>
              <w:t>P</w:t>
            </w:r>
          </w:p>
        </w:tc>
      </w:tr>
      <w:tr w:rsidR="00305CCD" w:rsidRPr="00305CCD" w14:paraId="0AA5E95E" w14:textId="77777777" w:rsidTr="00554E82">
        <w:trPr>
          <w:trHeight w:val="310"/>
          <w:jc w:val="center"/>
        </w:trPr>
        <w:tc>
          <w:tcPr>
            <w:tcW w:w="3196" w:type="dxa"/>
          </w:tcPr>
          <w:p w14:paraId="01F8A43F"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 xml:space="preserve">AKI </w:t>
            </w:r>
            <w:proofErr w:type="spellStart"/>
            <w:r w:rsidRPr="00305CCD">
              <w:rPr>
                <w:rFonts w:ascii="Times New Roman" w:eastAsia="等线" w:hAnsi="Times New Roman" w:cs="Times New Roman"/>
                <w:szCs w:val="21"/>
              </w:rPr>
              <w:t>occurence</w:t>
            </w:r>
            <w:proofErr w:type="spellEnd"/>
          </w:p>
        </w:tc>
        <w:tc>
          <w:tcPr>
            <w:tcW w:w="1499" w:type="dxa"/>
          </w:tcPr>
          <w:p w14:paraId="3AC1C1F4" w14:textId="77777777" w:rsidR="00305CCD" w:rsidRPr="00305CCD" w:rsidRDefault="00305CCD" w:rsidP="00305CCD">
            <w:pPr>
              <w:spacing w:line="360" w:lineRule="auto"/>
              <w:ind w:leftChars="-113" w:left="-249" w:firstLineChars="113" w:firstLine="237"/>
              <w:jc w:val="center"/>
              <w:rPr>
                <w:rFonts w:ascii="Times New Roman" w:eastAsia="微软雅黑" w:hAnsi="Times New Roman" w:cs="Times New Roman"/>
                <w:szCs w:val="21"/>
              </w:rPr>
            </w:pPr>
          </w:p>
        </w:tc>
        <w:tc>
          <w:tcPr>
            <w:tcW w:w="1389" w:type="dxa"/>
            <w:tcBorders>
              <w:top w:val="single" w:sz="4" w:space="0" w:color="auto"/>
              <w:left w:val="nil"/>
              <w:bottom w:val="nil"/>
              <w:right w:val="nil"/>
            </w:tcBorders>
          </w:tcPr>
          <w:p w14:paraId="363A88E8"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c>
          <w:tcPr>
            <w:tcW w:w="1826" w:type="dxa"/>
            <w:tcBorders>
              <w:top w:val="single" w:sz="4" w:space="0" w:color="auto"/>
              <w:bottom w:val="nil"/>
            </w:tcBorders>
          </w:tcPr>
          <w:p w14:paraId="7EA2FFE6"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c>
          <w:tcPr>
            <w:tcW w:w="1459" w:type="dxa"/>
            <w:tcBorders>
              <w:top w:val="single" w:sz="4" w:space="0" w:color="auto"/>
              <w:bottom w:val="nil"/>
            </w:tcBorders>
          </w:tcPr>
          <w:p w14:paraId="4E400FAB"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r>
      <w:tr w:rsidR="00305CCD" w:rsidRPr="00305CCD" w14:paraId="16790502" w14:textId="77777777" w:rsidTr="00554E82">
        <w:trPr>
          <w:trHeight w:val="310"/>
          <w:jc w:val="center"/>
        </w:trPr>
        <w:tc>
          <w:tcPr>
            <w:tcW w:w="3196" w:type="dxa"/>
          </w:tcPr>
          <w:p w14:paraId="19F67140"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 xml:space="preserve">Serum </w:t>
            </w:r>
            <w:proofErr w:type="spellStart"/>
            <w:r w:rsidRPr="00305CCD">
              <w:rPr>
                <w:rFonts w:ascii="Times New Roman" w:eastAsia="等线" w:hAnsi="Times New Roman" w:cs="Times New Roman"/>
                <w:szCs w:val="21"/>
              </w:rPr>
              <w:t>phosphate:eGFR</w:t>
            </w:r>
            <w:proofErr w:type="spellEnd"/>
          </w:p>
        </w:tc>
        <w:tc>
          <w:tcPr>
            <w:tcW w:w="1499" w:type="dxa"/>
          </w:tcPr>
          <w:p w14:paraId="1E635D46" w14:textId="77777777" w:rsidR="00305CCD" w:rsidRPr="00305CCD" w:rsidRDefault="00305CCD" w:rsidP="00305CCD">
            <w:pPr>
              <w:spacing w:line="360" w:lineRule="auto"/>
              <w:ind w:leftChars="-113" w:left="-249" w:firstLineChars="113" w:firstLine="237"/>
              <w:jc w:val="center"/>
              <w:rPr>
                <w:rFonts w:ascii="Times New Roman" w:eastAsia="微软雅黑" w:hAnsi="Times New Roman" w:cs="Times New Roman"/>
                <w:szCs w:val="21"/>
              </w:rPr>
            </w:pPr>
            <w:r w:rsidRPr="00305CCD">
              <w:rPr>
                <w:rFonts w:ascii="Times New Roman" w:eastAsia="微软雅黑" w:hAnsi="Times New Roman" w:cs="Times New Roman"/>
                <w:szCs w:val="21"/>
              </w:rPr>
              <w:t>0.993[0.993,0.994]</w:t>
            </w:r>
          </w:p>
        </w:tc>
        <w:tc>
          <w:tcPr>
            <w:tcW w:w="1389" w:type="dxa"/>
            <w:tcBorders>
              <w:top w:val="nil"/>
              <w:left w:val="nil"/>
              <w:bottom w:val="nil"/>
              <w:right w:val="nil"/>
            </w:tcBorders>
          </w:tcPr>
          <w:p w14:paraId="64FE02AC" w14:textId="77777777" w:rsidR="00305CCD" w:rsidRPr="00305CCD" w:rsidRDefault="00305CCD" w:rsidP="00305CCD">
            <w:pPr>
              <w:spacing w:line="360" w:lineRule="auto"/>
              <w:jc w:val="center"/>
              <w:rPr>
                <w:rFonts w:ascii="Times New Roman" w:eastAsia="等线" w:hAnsi="Times New Roman" w:cs="Times New Roman"/>
                <w:szCs w:val="21"/>
              </w:rPr>
            </w:pPr>
            <w:r w:rsidRPr="00305CCD">
              <w:rPr>
                <w:rFonts w:ascii="Times New Roman" w:eastAsia="等线" w:hAnsi="Times New Roman" w:cs="Times New Roman"/>
                <w:color w:val="000000"/>
                <w:szCs w:val="21"/>
              </w:rPr>
              <w:t>&lt;0.001</w:t>
            </w:r>
          </w:p>
        </w:tc>
        <w:tc>
          <w:tcPr>
            <w:tcW w:w="1826" w:type="dxa"/>
            <w:tcBorders>
              <w:top w:val="nil"/>
              <w:bottom w:val="nil"/>
            </w:tcBorders>
          </w:tcPr>
          <w:p w14:paraId="7FB95BD2"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0.997[0.996,0.998]</w:t>
            </w:r>
            <w:r w:rsidRPr="00305CCD">
              <w:rPr>
                <w:rFonts w:ascii="Times New Roman" w:eastAsia="等线" w:hAnsi="Times New Roman" w:cs="Times New Roman"/>
                <w:color w:val="000000"/>
                <w:szCs w:val="21"/>
                <w:vertAlign w:val="superscript"/>
              </w:rPr>
              <w:t>a</w:t>
            </w:r>
          </w:p>
        </w:tc>
        <w:tc>
          <w:tcPr>
            <w:tcW w:w="1459" w:type="dxa"/>
            <w:tcBorders>
              <w:top w:val="nil"/>
              <w:bottom w:val="nil"/>
            </w:tcBorders>
          </w:tcPr>
          <w:p w14:paraId="0504713E"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&lt;0.001</w:t>
            </w:r>
          </w:p>
        </w:tc>
      </w:tr>
      <w:tr w:rsidR="00305CCD" w:rsidRPr="00305CCD" w14:paraId="77190F09" w14:textId="77777777" w:rsidTr="00554E82">
        <w:trPr>
          <w:trHeight w:val="310"/>
          <w:jc w:val="center"/>
        </w:trPr>
        <w:tc>
          <w:tcPr>
            <w:tcW w:w="3196" w:type="dxa"/>
          </w:tcPr>
          <w:p w14:paraId="3BC1DB05"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AKI 2-3 stage</w:t>
            </w:r>
          </w:p>
        </w:tc>
        <w:tc>
          <w:tcPr>
            <w:tcW w:w="1499" w:type="dxa"/>
          </w:tcPr>
          <w:p w14:paraId="16FC18A0" w14:textId="77777777" w:rsidR="00305CCD" w:rsidRPr="00305CCD" w:rsidRDefault="00305CCD" w:rsidP="00305CCD">
            <w:pPr>
              <w:spacing w:line="360" w:lineRule="auto"/>
              <w:ind w:leftChars="-113" w:left="-249" w:firstLineChars="113" w:firstLine="237"/>
              <w:jc w:val="center"/>
              <w:rPr>
                <w:rFonts w:ascii="Times New Roman" w:eastAsia="微软雅黑" w:hAnsi="Times New Roman" w:cs="Times New Roman"/>
                <w:szCs w:val="21"/>
              </w:rPr>
            </w:pPr>
          </w:p>
        </w:tc>
        <w:tc>
          <w:tcPr>
            <w:tcW w:w="1389" w:type="dxa"/>
            <w:tcBorders>
              <w:top w:val="nil"/>
              <w:left w:val="nil"/>
              <w:bottom w:val="nil"/>
              <w:right w:val="nil"/>
            </w:tcBorders>
          </w:tcPr>
          <w:p w14:paraId="60496261"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c>
          <w:tcPr>
            <w:tcW w:w="1826" w:type="dxa"/>
            <w:tcBorders>
              <w:top w:val="nil"/>
              <w:bottom w:val="nil"/>
            </w:tcBorders>
          </w:tcPr>
          <w:p w14:paraId="7A4FFC2D"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c>
          <w:tcPr>
            <w:tcW w:w="1459" w:type="dxa"/>
            <w:tcBorders>
              <w:top w:val="nil"/>
              <w:bottom w:val="nil"/>
            </w:tcBorders>
          </w:tcPr>
          <w:p w14:paraId="698A3B7D"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r>
      <w:tr w:rsidR="00305CCD" w:rsidRPr="00305CCD" w14:paraId="1EE6377A" w14:textId="77777777" w:rsidTr="00554E82">
        <w:trPr>
          <w:trHeight w:val="310"/>
          <w:jc w:val="center"/>
        </w:trPr>
        <w:tc>
          <w:tcPr>
            <w:tcW w:w="3196" w:type="dxa"/>
          </w:tcPr>
          <w:p w14:paraId="1762CA4D"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 xml:space="preserve">Serum </w:t>
            </w:r>
            <w:proofErr w:type="spellStart"/>
            <w:r w:rsidRPr="00305CCD">
              <w:rPr>
                <w:rFonts w:ascii="Times New Roman" w:eastAsia="等线" w:hAnsi="Times New Roman" w:cs="Times New Roman"/>
                <w:szCs w:val="21"/>
              </w:rPr>
              <w:t>phosphate:eGFR</w:t>
            </w:r>
            <w:proofErr w:type="spellEnd"/>
          </w:p>
        </w:tc>
        <w:tc>
          <w:tcPr>
            <w:tcW w:w="1499" w:type="dxa"/>
          </w:tcPr>
          <w:p w14:paraId="43F7B387" w14:textId="77777777" w:rsidR="00305CCD" w:rsidRPr="00305CCD" w:rsidRDefault="00305CCD" w:rsidP="00305CCD">
            <w:pPr>
              <w:spacing w:line="360" w:lineRule="auto"/>
              <w:ind w:leftChars="-113" w:left="-249" w:firstLineChars="113" w:firstLine="237"/>
              <w:jc w:val="center"/>
              <w:rPr>
                <w:rFonts w:ascii="Times New Roman" w:eastAsia="微软雅黑" w:hAnsi="Times New Roman" w:cs="Times New Roman"/>
                <w:szCs w:val="21"/>
              </w:rPr>
            </w:pPr>
            <w:r w:rsidRPr="00305CCD">
              <w:rPr>
                <w:rFonts w:ascii="Times New Roman" w:eastAsia="微软雅黑" w:hAnsi="Times New Roman" w:cs="Times New Roman"/>
                <w:szCs w:val="21"/>
              </w:rPr>
              <w:t>0.995[0.993,0.997]</w:t>
            </w:r>
          </w:p>
        </w:tc>
        <w:tc>
          <w:tcPr>
            <w:tcW w:w="1389" w:type="dxa"/>
            <w:tcBorders>
              <w:top w:val="nil"/>
              <w:left w:val="nil"/>
              <w:bottom w:val="nil"/>
              <w:right w:val="nil"/>
            </w:tcBorders>
          </w:tcPr>
          <w:p w14:paraId="10AF2DCB"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&lt;0.001</w:t>
            </w:r>
          </w:p>
        </w:tc>
        <w:tc>
          <w:tcPr>
            <w:tcW w:w="1826" w:type="dxa"/>
            <w:tcBorders>
              <w:top w:val="nil"/>
              <w:bottom w:val="nil"/>
            </w:tcBorders>
          </w:tcPr>
          <w:p w14:paraId="2B7C7FDE"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1.002[0.999,1.004]</w:t>
            </w:r>
            <w:r w:rsidRPr="00305CCD">
              <w:rPr>
                <w:rFonts w:ascii="Times New Roman" w:eastAsia="等线" w:hAnsi="Times New Roman" w:cs="Times New Roman"/>
                <w:color w:val="000000"/>
                <w:szCs w:val="21"/>
                <w:vertAlign w:val="superscript"/>
              </w:rPr>
              <w:t>b</w:t>
            </w:r>
          </w:p>
        </w:tc>
        <w:tc>
          <w:tcPr>
            <w:tcW w:w="1459" w:type="dxa"/>
            <w:tcBorders>
              <w:top w:val="nil"/>
              <w:bottom w:val="nil"/>
            </w:tcBorders>
          </w:tcPr>
          <w:p w14:paraId="62422730"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0.179</w:t>
            </w:r>
          </w:p>
        </w:tc>
      </w:tr>
      <w:tr w:rsidR="00305CCD" w:rsidRPr="00305CCD" w14:paraId="1CAC5100" w14:textId="77777777" w:rsidTr="00554E82">
        <w:trPr>
          <w:trHeight w:val="310"/>
          <w:jc w:val="center"/>
        </w:trPr>
        <w:tc>
          <w:tcPr>
            <w:tcW w:w="3196" w:type="dxa"/>
          </w:tcPr>
          <w:p w14:paraId="00EB1166"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In-hospital mortality</w:t>
            </w:r>
          </w:p>
        </w:tc>
        <w:tc>
          <w:tcPr>
            <w:tcW w:w="1499" w:type="dxa"/>
          </w:tcPr>
          <w:p w14:paraId="550733DF" w14:textId="77777777" w:rsidR="00305CCD" w:rsidRPr="00305CCD" w:rsidRDefault="00305CCD" w:rsidP="00305CCD">
            <w:pPr>
              <w:spacing w:line="360" w:lineRule="auto"/>
              <w:ind w:leftChars="-113" w:left="-249" w:firstLineChars="113" w:firstLine="237"/>
              <w:jc w:val="center"/>
              <w:rPr>
                <w:rFonts w:ascii="Times New Roman" w:eastAsia="微软雅黑" w:hAnsi="Times New Roman" w:cs="Times New Roman"/>
                <w:szCs w:val="21"/>
              </w:rPr>
            </w:pPr>
          </w:p>
        </w:tc>
        <w:tc>
          <w:tcPr>
            <w:tcW w:w="1389" w:type="dxa"/>
            <w:tcBorders>
              <w:top w:val="nil"/>
              <w:left w:val="nil"/>
              <w:bottom w:val="nil"/>
              <w:right w:val="nil"/>
            </w:tcBorders>
          </w:tcPr>
          <w:p w14:paraId="105DC63C"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c>
          <w:tcPr>
            <w:tcW w:w="1826" w:type="dxa"/>
            <w:tcBorders>
              <w:top w:val="nil"/>
              <w:bottom w:val="nil"/>
            </w:tcBorders>
          </w:tcPr>
          <w:p w14:paraId="788AB107"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c>
          <w:tcPr>
            <w:tcW w:w="1459" w:type="dxa"/>
            <w:tcBorders>
              <w:top w:val="nil"/>
              <w:bottom w:val="nil"/>
            </w:tcBorders>
          </w:tcPr>
          <w:p w14:paraId="7BB65373"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r>
      <w:tr w:rsidR="00305CCD" w:rsidRPr="00305CCD" w14:paraId="4CB42A7C" w14:textId="77777777" w:rsidTr="00554E82">
        <w:trPr>
          <w:trHeight w:val="310"/>
          <w:jc w:val="center"/>
        </w:trPr>
        <w:tc>
          <w:tcPr>
            <w:tcW w:w="3196" w:type="dxa"/>
          </w:tcPr>
          <w:p w14:paraId="19AC27F9"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 xml:space="preserve">Serum </w:t>
            </w:r>
            <w:proofErr w:type="spellStart"/>
            <w:r w:rsidRPr="00305CCD">
              <w:rPr>
                <w:rFonts w:ascii="Times New Roman" w:eastAsia="等线" w:hAnsi="Times New Roman" w:cs="Times New Roman"/>
                <w:szCs w:val="21"/>
              </w:rPr>
              <w:t>phosphate:eGFR</w:t>
            </w:r>
            <w:proofErr w:type="spellEnd"/>
          </w:p>
        </w:tc>
        <w:tc>
          <w:tcPr>
            <w:tcW w:w="1499" w:type="dxa"/>
          </w:tcPr>
          <w:p w14:paraId="7C862D0E" w14:textId="77777777" w:rsidR="00305CCD" w:rsidRPr="00305CCD" w:rsidRDefault="00305CCD" w:rsidP="00305CCD">
            <w:pPr>
              <w:spacing w:line="360" w:lineRule="auto"/>
              <w:ind w:leftChars="-113" w:left="-249" w:firstLineChars="113" w:firstLine="237"/>
              <w:jc w:val="center"/>
              <w:rPr>
                <w:rFonts w:ascii="Times New Roman" w:eastAsia="微软雅黑" w:hAnsi="Times New Roman" w:cs="Times New Roman"/>
                <w:szCs w:val="21"/>
              </w:rPr>
            </w:pPr>
            <w:r w:rsidRPr="00305CCD">
              <w:rPr>
                <w:rFonts w:ascii="Times New Roman" w:eastAsia="微软雅黑" w:hAnsi="Times New Roman" w:cs="Times New Roman"/>
                <w:szCs w:val="21"/>
              </w:rPr>
              <w:t>0.983[0.981,0.986]</w:t>
            </w:r>
          </w:p>
        </w:tc>
        <w:tc>
          <w:tcPr>
            <w:tcW w:w="1389" w:type="dxa"/>
            <w:tcBorders>
              <w:top w:val="nil"/>
              <w:left w:val="nil"/>
              <w:bottom w:val="nil"/>
              <w:right w:val="nil"/>
            </w:tcBorders>
          </w:tcPr>
          <w:p w14:paraId="427B7BBB"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&lt;0.001</w:t>
            </w:r>
          </w:p>
        </w:tc>
        <w:tc>
          <w:tcPr>
            <w:tcW w:w="1826" w:type="dxa"/>
            <w:tcBorders>
              <w:top w:val="nil"/>
              <w:bottom w:val="nil"/>
            </w:tcBorders>
          </w:tcPr>
          <w:p w14:paraId="16468256"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0.993[0.990,0.997]</w:t>
            </w:r>
            <w:r w:rsidRPr="00305CCD">
              <w:rPr>
                <w:rFonts w:ascii="Times New Roman" w:eastAsia="等线" w:hAnsi="Times New Roman" w:cs="Times New Roman"/>
                <w:color w:val="000000"/>
                <w:szCs w:val="21"/>
                <w:vertAlign w:val="superscript"/>
              </w:rPr>
              <w:t>c</w:t>
            </w:r>
          </w:p>
        </w:tc>
        <w:tc>
          <w:tcPr>
            <w:tcW w:w="1459" w:type="dxa"/>
            <w:tcBorders>
              <w:top w:val="nil"/>
              <w:bottom w:val="nil"/>
            </w:tcBorders>
          </w:tcPr>
          <w:p w14:paraId="2A02E912"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&lt;0.001</w:t>
            </w:r>
          </w:p>
        </w:tc>
      </w:tr>
      <w:tr w:rsidR="00305CCD" w:rsidRPr="00305CCD" w14:paraId="497A9C82" w14:textId="77777777" w:rsidTr="00554E82">
        <w:trPr>
          <w:trHeight w:val="310"/>
          <w:jc w:val="center"/>
        </w:trPr>
        <w:tc>
          <w:tcPr>
            <w:tcW w:w="3196" w:type="dxa"/>
          </w:tcPr>
          <w:p w14:paraId="36CEB3CF"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AKI non-recovery</w:t>
            </w:r>
          </w:p>
        </w:tc>
        <w:tc>
          <w:tcPr>
            <w:tcW w:w="1499" w:type="dxa"/>
          </w:tcPr>
          <w:p w14:paraId="32D4E118" w14:textId="77777777" w:rsidR="00305CCD" w:rsidRPr="00305CCD" w:rsidRDefault="00305CCD" w:rsidP="00305CCD">
            <w:pPr>
              <w:spacing w:line="360" w:lineRule="auto"/>
              <w:ind w:leftChars="-113" w:left="-249" w:firstLineChars="113" w:firstLine="237"/>
              <w:jc w:val="center"/>
              <w:rPr>
                <w:rFonts w:ascii="Times New Roman" w:eastAsia="微软雅黑" w:hAnsi="Times New Roman" w:cs="Times New Roman"/>
                <w:szCs w:val="21"/>
              </w:rPr>
            </w:pPr>
          </w:p>
        </w:tc>
        <w:tc>
          <w:tcPr>
            <w:tcW w:w="1389" w:type="dxa"/>
            <w:tcBorders>
              <w:top w:val="nil"/>
              <w:left w:val="nil"/>
              <w:bottom w:val="nil"/>
              <w:right w:val="nil"/>
            </w:tcBorders>
          </w:tcPr>
          <w:p w14:paraId="2BCC27D7"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c>
          <w:tcPr>
            <w:tcW w:w="1826" w:type="dxa"/>
            <w:tcBorders>
              <w:top w:val="nil"/>
              <w:bottom w:val="nil"/>
            </w:tcBorders>
          </w:tcPr>
          <w:p w14:paraId="52213FF1"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c>
          <w:tcPr>
            <w:tcW w:w="1459" w:type="dxa"/>
            <w:tcBorders>
              <w:top w:val="nil"/>
              <w:bottom w:val="nil"/>
            </w:tcBorders>
          </w:tcPr>
          <w:p w14:paraId="609EDC69" w14:textId="77777777" w:rsidR="00305CCD" w:rsidRPr="00305CCD" w:rsidRDefault="00305CCD" w:rsidP="00305CCD">
            <w:pPr>
              <w:spacing w:line="360" w:lineRule="auto"/>
              <w:jc w:val="center"/>
              <w:rPr>
                <w:rFonts w:ascii="Times New Roman" w:eastAsia="等线" w:hAnsi="Times New Roman" w:cs="Times New Roman"/>
                <w:color w:val="000000"/>
                <w:szCs w:val="21"/>
              </w:rPr>
            </w:pPr>
          </w:p>
        </w:tc>
      </w:tr>
      <w:tr w:rsidR="00305CCD" w:rsidRPr="00305CCD" w14:paraId="7056408D" w14:textId="77777777" w:rsidTr="00554E82">
        <w:trPr>
          <w:trHeight w:val="310"/>
          <w:jc w:val="center"/>
        </w:trPr>
        <w:tc>
          <w:tcPr>
            <w:tcW w:w="3196" w:type="dxa"/>
          </w:tcPr>
          <w:p w14:paraId="7FD3046F" w14:textId="77777777" w:rsidR="00305CCD" w:rsidRPr="00305CCD" w:rsidRDefault="00305CCD" w:rsidP="00305CCD">
            <w:pPr>
              <w:spacing w:line="360" w:lineRule="auto"/>
              <w:ind w:rightChars="144" w:right="317"/>
              <w:jc w:val="center"/>
              <w:rPr>
                <w:rFonts w:ascii="Times New Roman" w:eastAsia="等线" w:hAnsi="Times New Roman" w:cs="Times New Roman"/>
                <w:szCs w:val="21"/>
              </w:rPr>
            </w:pPr>
            <w:r w:rsidRPr="00305CCD">
              <w:rPr>
                <w:rFonts w:ascii="Times New Roman" w:eastAsia="等线" w:hAnsi="Times New Roman" w:cs="Times New Roman"/>
                <w:szCs w:val="21"/>
              </w:rPr>
              <w:t xml:space="preserve">Serum </w:t>
            </w:r>
            <w:proofErr w:type="spellStart"/>
            <w:r w:rsidRPr="00305CCD">
              <w:rPr>
                <w:rFonts w:ascii="Times New Roman" w:eastAsia="等线" w:hAnsi="Times New Roman" w:cs="Times New Roman"/>
                <w:szCs w:val="21"/>
              </w:rPr>
              <w:t>phosphate:eGFR</w:t>
            </w:r>
            <w:proofErr w:type="spellEnd"/>
          </w:p>
        </w:tc>
        <w:tc>
          <w:tcPr>
            <w:tcW w:w="1499" w:type="dxa"/>
          </w:tcPr>
          <w:p w14:paraId="5D5E1507" w14:textId="77777777" w:rsidR="00305CCD" w:rsidRPr="00305CCD" w:rsidRDefault="00305CCD" w:rsidP="00305CCD">
            <w:pPr>
              <w:spacing w:line="360" w:lineRule="auto"/>
              <w:ind w:leftChars="-113" w:left="-249" w:firstLineChars="113" w:firstLine="237"/>
              <w:jc w:val="center"/>
              <w:rPr>
                <w:rFonts w:ascii="Times New Roman" w:eastAsia="微软雅黑" w:hAnsi="Times New Roman" w:cs="Times New Roman"/>
                <w:szCs w:val="21"/>
              </w:rPr>
            </w:pPr>
            <w:r w:rsidRPr="00305CCD">
              <w:rPr>
                <w:rFonts w:ascii="Times New Roman" w:eastAsia="微软雅黑" w:hAnsi="Times New Roman" w:cs="Times New Roman"/>
                <w:szCs w:val="21"/>
              </w:rPr>
              <w:t>1.008[1.007,1.010]</w:t>
            </w:r>
          </w:p>
        </w:tc>
        <w:tc>
          <w:tcPr>
            <w:tcW w:w="1389" w:type="dxa"/>
            <w:tcBorders>
              <w:top w:val="nil"/>
              <w:left w:val="nil"/>
              <w:bottom w:val="single" w:sz="4" w:space="0" w:color="auto"/>
              <w:right w:val="nil"/>
            </w:tcBorders>
          </w:tcPr>
          <w:p w14:paraId="7D598D5F"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&lt;0.001</w:t>
            </w:r>
          </w:p>
        </w:tc>
        <w:tc>
          <w:tcPr>
            <w:tcW w:w="1826" w:type="dxa"/>
            <w:tcBorders>
              <w:top w:val="nil"/>
              <w:bottom w:val="single" w:sz="4" w:space="0" w:color="auto"/>
            </w:tcBorders>
          </w:tcPr>
          <w:p w14:paraId="6F9181ED"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1.004[1.003,1.006]</w:t>
            </w:r>
            <w:r w:rsidRPr="00305CCD">
              <w:rPr>
                <w:rFonts w:ascii="Times New Roman" w:eastAsia="等线" w:hAnsi="Times New Roman" w:cs="Times New Roman"/>
                <w:color w:val="000000"/>
                <w:szCs w:val="21"/>
                <w:vertAlign w:val="superscript"/>
              </w:rPr>
              <w:t>d</w:t>
            </w:r>
          </w:p>
        </w:tc>
        <w:tc>
          <w:tcPr>
            <w:tcW w:w="1459" w:type="dxa"/>
            <w:tcBorders>
              <w:top w:val="nil"/>
              <w:bottom w:val="single" w:sz="4" w:space="0" w:color="auto"/>
            </w:tcBorders>
          </w:tcPr>
          <w:p w14:paraId="3C324A39" w14:textId="77777777" w:rsidR="00305CCD" w:rsidRPr="00305CCD" w:rsidRDefault="00305CCD" w:rsidP="00305CCD">
            <w:pPr>
              <w:spacing w:line="360" w:lineRule="auto"/>
              <w:jc w:val="center"/>
              <w:rPr>
                <w:rFonts w:ascii="Times New Roman" w:eastAsia="等线" w:hAnsi="Times New Roman" w:cs="Times New Roman"/>
                <w:color w:val="000000"/>
                <w:szCs w:val="21"/>
              </w:rPr>
            </w:pPr>
            <w:r w:rsidRPr="00305CCD">
              <w:rPr>
                <w:rFonts w:ascii="Times New Roman" w:eastAsia="等线" w:hAnsi="Times New Roman" w:cs="Times New Roman"/>
                <w:color w:val="000000"/>
                <w:szCs w:val="21"/>
              </w:rPr>
              <w:t>&lt;0.001</w:t>
            </w:r>
          </w:p>
        </w:tc>
      </w:tr>
    </w:tbl>
    <w:p w14:paraId="37F744E1"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a:adjusted for age, gender, surgery department, intensive care unit, hypertension, diabetes, heart failure, malignant solid tumor, cirrhosis or liver failure, cerebrovascular disease, hemoglobin, platelet, urea nitrogen, total carbon dioxide, uric acid, albumin, blood glucose, international normalized ratio, diuretic, intra-aortic balloon pump(IABP), invasive ventilator, aminoglycoside antibiotics, glycopeptide antibiotics, antifungal drugs, glucocorticoid, immunosuppressants, lipid-lowering drugs, vasoactive drugs,β-lactam antibiotics.</w:t>
      </w:r>
    </w:p>
    <w:p w14:paraId="241A35B2"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b: adjusted for surgery department, intensive care unit, hypertension, heart failure, cirrhosis or liver failure, hemoglobin, urea nitrogen, uric acid, albumin, angiotensin receptor blockers/angiotensin-converting enzyme inhibitors(ARB/ACEI), diuretic, non-steroidal anti-inflammatory drugs (NSAIDs), intra-aortic balloon pump (IABP), invasive ventilator, glycopeptide antibiotics, antifungal drugs, uric acid-lowering medication, lipid-lowering drugs, vasoactive drugs, β-lactam antibiotics.</w:t>
      </w:r>
    </w:p>
    <w:p w14:paraId="1C8AABDB"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lastRenderedPageBreak/>
        <w:t xml:space="preserve">c: Adjusted for age, surgery department, intensive care unit, diabetes, heart failure, malignant solid tumor, chronic lung disease, cirrhosis or liver failure, cerebrovascular disease, urea nitrogen, uric acid, albumin, blood glucose, Angiotensin Receptor Blockers/ Angiotensin-Converting Enzyme Inhibitors(ARB/ACEI), diuretic, non-steroidal anti-inflammatory drugs (NSAIDs), intra-aortic balloon pump(IABP), glycopeptide antibiotics, antifungal drugs, proton pump inhibitors, glucocorticoid, contrast agent, vasoactive drugs,β-lactam antibiotics. </w:t>
      </w:r>
    </w:p>
    <w:p w14:paraId="0EEFC142" w14:textId="77777777" w:rsidR="00305CCD" w:rsidRPr="00305CCD" w:rsidRDefault="00305CCD" w:rsidP="00305CCD">
      <w:pPr>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d: adjusted for</w:t>
      </w:r>
      <w:r w:rsidRPr="00305CCD">
        <w:rPr>
          <w:rFonts w:ascii="等线" w:eastAsia="等线" w:hAnsi="等线" w:cs="Times New Roman"/>
          <w:sz w:val="21"/>
          <w:szCs w:val="21"/>
        </w:rPr>
        <w:t xml:space="preserve"> </w:t>
      </w:r>
      <w:r w:rsidRPr="00305CCD">
        <w:rPr>
          <w:rFonts w:ascii="Times New Roman" w:eastAsia="等线" w:hAnsi="Times New Roman" w:cs="Times New Roman"/>
          <w:sz w:val="21"/>
          <w:szCs w:val="21"/>
          <w14:ligatures w14:val="none"/>
        </w:rPr>
        <w:t>heart failure, malignant solid tumor, urea nitrogen, diuretic, aminoglycoside antibiotics, antifungal drugs, proton pump inhibitors (PPI), uric acid-lowering medication, contrast agent, lipid-lowering drugs, vasoactive drugs, β-lactam antibiotics.</w:t>
      </w:r>
    </w:p>
    <w:p w14:paraId="1ED5CC82" w14:textId="77777777" w:rsidR="00305CCD" w:rsidRPr="00305CCD" w:rsidRDefault="00305CCD" w:rsidP="00305CCD">
      <w:pPr>
        <w:spacing w:after="0" w:line="360" w:lineRule="auto"/>
        <w:rPr>
          <w:rFonts w:ascii="Times New Roman" w:eastAsia="等线" w:hAnsi="Times New Roman" w:cs="Times New Roman"/>
          <w:b/>
          <w:bCs/>
          <w:sz w:val="24"/>
          <w14:ligatures w14:val="none"/>
        </w:rPr>
      </w:pPr>
    </w:p>
    <w:p w14:paraId="0B134E4D"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7EAFA6DA"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33A0F2F4"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40955AEC"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3CCDF93C" w14:textId="77777777" w:rsidR="00305CCD" w:rsidRPr="00305CCD" w:rsidRDefault="00305CCD" w:rsidP="00305CCD">
      <w:pPr>
        <w:spacing w:after="0" w:line="360" w:lineRule="auto"/>
        <w:rPr>
          <w:rFonts w:ascii="Times New Roman" w:eastAsia="等线" w:hAnsi="Times New Roman" w:cs="Times New Roman"/>
          <w:sz w:val="24"/>
          <w14:ligatures w14:val="none"/>
        </w:rPr>
      </w:pPr>
    </w:p>
    <w:p w14:paraId="44DF430C" w14:textId="77777777" w:rsidR="00305CCD" w:rsidRPr="00305CCD" w:rsidRDefault="00305CCD" w:rsidP="00305CCD">
      <w:pPr>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t>Supplement figure 1</w:t>
      </w:r>
      <w:r w:rsidRPr="00305CCD">
        <w:rPr>
          <w:rFonts w:ascii="Times New Roman" w:eastAsia="等线" w:hAnsi="Times New Roman" w:cs="Times New Roman"/>
          <w:sz w:val="21"/>
          <w:szCs w:val="21"/>
          <w14:ligatures w14:val="none"/>
        </w:rPr>
        <w:t>. Association between admission serum phosphate level and in hospital acute kidney injury occurrence in patients with eGFR&lt;30 ml/min/1.73 m</w:t>
      </w:r>
      <w:r w:rsidRPr="00305CCD">
        <w:rPr>
          <w:rFonts w:ascii="Times New Roman" w:eastAsia="等线" w:hAnsi="Times New Roman" w:cs="Times New Roman"/>
          <w:sz w:val="21"/>
          <w:szCs w:val="21"/>
          <w:vertAlign w:val="superscript"/>
          <w14:ligatures w14:val="none"/>
        </w:rPr>
        <w:t>2</w:t>
      </w:r>
      <w:r w:rsidRPr="00305CCD">
        <w:rPr>
          <w:rFonts w:ascii="Times New Roman" w:eastAsia="等线" w:hAnsi="Times New Roman" w:cs="Times New Roman"/>
          <w:sz w:val="21"/>
          <w:szCs w:val="21"/>
          <w14:ligatures w14:val="none"/>
        </w:rPr>
        <w:t xml:space="preserve"> , eGFR 30-60 ml/min/1.73 m</w:t>
      </w:r>
      <w:r w:rsidRPr="00305CCD">
        <w:rPr>
          <w:rFonts w:ascii="Times New Roman" w:eastAsia="等线" w:hAnsi="Times New Roman" w:cs="Times New Roman"/>
          <w:sz w:val="21"/>
          <w:szCs w:val="21"/>
          <w:vertAlign w:val="superscript"/>
          <w14:ligatures w14:val="none"/>
        </w:rPr>
        <w:t xml:space="preserve">2 </w:t>
      </w:r>
      <w:r w:rsidRPr="00305CCD">
        <w:rPr>
          <w:rFonts w:ascii="Times New Roman" w:eastAsia="等线" w:hAnsi="Times New Roman" w:cs="Times New Roman"/>
          <w:sz w:val="21"/>
          <w:szCs w:val="21"/>
          <w14:ligatures w14:val="none"/>
        </w:rPr>
        <w:t>,eGFR 60-90 ml/min/1.73 m</w:t>
      </w:r>
      <w:r w:rsidRPr="00305CCD">
        <w:rPr>
          <w:rFonts w:ascii="Times New Roman" w:eastAsia="等线" w:hAnsi="Times New Roman" w:cs="Times New Roman"/>
          <w:sz w:val="21"/>
          <w:szCs w:val="21"/>
          <w:vertAlign w:val="superscript"/>
          <w14:ligatures w14:val="none"/>
        </w:rPr>
        <w:t xml:space="preserve">2 </w:t>
      </w:r>
      <w:r w:rsidRPr="00305CCD">
        <w:rPr>
          <w:rFonts w:ascii="Times New Roman" w:eastAsia="等线" w:hAnsi="Times New Roman" w:cs="Times New Roman"/>
          <w:sz w:val="21"/>
          <w:szCs w:val="21"/>
          <w14:ligatures w14:val="none"/>
        </w:rPr>
        <w:t>, eGFR</w:t>
      </w:r>
      <w:r w:rsidRPr="00305CCD">
        <w:rPr>
          <w:rFonts w:ascii="Times New Roman" w:eastAsia="等线" w:hAnsi="Times New Roman" w:cs="Times New Roman"/>
          <w:sz w:val="21"/>
          <w:szCs w:val="21"/>
          <w14:ligatures w14:val="none"/>
        </w:rPr>
        <w:sym w:font="Symbol" w:char="F0B3"/>
      </w:r>
      <w:r w:rsidRPr="00305CCD">
        <w:rPr>
          <w:rFonts w:ascii="Times New Roman" w:eastAsia="等线" w:hAnsi="Times New Roman" w:cs="Times New Roman"/>
          <w:sz w:val="21"/>
          <w:szCs w:val="21"/>
          <w14:ligatures w14:val="none"/>
        </w:rPr>
        <w:t>90 ml/min/1.73 m</w:t>
      </w:r>
      <w:r w:rsidRPr="00305CCD">
        <w:rPr>
          <w:rFonts w:ascii="Times New Roman" w:eastAsia="等线" w:hAnsi="Times New Roman" w:cs="Times New Roman"/>
          <w:sz w:val="21"/>
          <w:szCs w:val="21"/>
          <w:vertAlign w:val="superscript"/>
          <w14:ligatures w14:val="none"/>
        </w:rPr>
        <w:t>2</w:t>
      </w:r>
    </w:p>
    <w:p w14:paraId="441BEB71"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7E241DD9" w14:textId="77777777" w:rsidR="00305CCD" w:rsidRPr="00305CCD" w:rsidRDefault="00305CCD" w:rsidP="00305CCD">
      <w:pPr>
        <w:spacing w:after="0" w:line="240" w:lineRule="auto"/>
        <w:jc w:val="center"/>
        <w:rPr>
          <w:rFonts w:ascii="Times New Roman" w:eastAsia="等线" w:hAnsi="Times New Roman" w:cs="Times New Roman"/>
          <w:sz w:val="24"/>
          <w14:ligatures w14:val="none"/>
        </w:rPr>
      </w:pPr>
      <w:r w:rsidRPr="00305CCD">
        <w:rPr>
          <w:rFonts w:ascii="Times New Roman" w:eastAsia="等线" w:hAnsi="Times New Roman" w:cs="Times New Roman"/>
          <w:noProof/>
          <w:sz w:val="24"/>
          <w14:ligatures w14:val="none"/>
        </w:rPr>
        <w:lastRenderedPageBreak/>
        <w:drawing>
          <wp:inline distT="0" distB="0" distL="0" distR="0" wp14:anchorId="2877B3B0" wp14:editId="1335376A">
            <wp:extent cx="3514668" cy="4087495"/>
            <wp:effectExtent l="0" t="0" r="0" b="8255"/>
            <wp:docPr id="13401577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57715" name=""/>
                    <pic:cNvPicPr/>
                  </pic:nvPicPr>
                  <pic:blipFill>
                    <a:blip r:embed="rId6"/>
                    <a:stretch>
                      <a:fillRect/>
                    </a:stretch>
                  </pic:blipFill>
                  <pic:spPr>
                    <a:xfrm>
                      <a:off x="0" y="0"/>
                      <a:ext cx="3527859" cy="4102836"/>
                    </a:xfrm>
                    <a:prstGeom prst="rect">
                      <a:avLst/>
                    </a:prstGeom>
                  </pic:spPr>
                </pic:pic>
              </a:graphicData>
            </a:graphic>
          </wp:inline>
        </w:drawing>
      </w:r>
    </w:p>
    <w:p w14:paraId="4A99F8D4"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t xml:space="preserve">Adjusted for age, gender, surgery department, intensive care unit, hypertension, diabetes, heart failure, malignant solid tumor, cirrhosis or liver failure, cerebrovascular disease, eGFR, hemoglobin, platelet, urea nitrogen, total carbon dioxide, uric acid, albumin, blood glucose, international normalized ratio, diuretic, intra-aortic balloon pump(IABP), invasive ventilator, aminoglycoside antibiotics, glycopeptide antibiotics, antifungal </w:t>
      </w:r>
      <w:r w:rsidRPr="00305CCD">
        <w:rPr>
          <w:rFonts w:ascii="Times New Roman" w:eastAsia="等线" w:hAnsi="Times New Roman" w:cs="Times New Roman"/>
          <w:sz w:val="24"/>
          <w14:ligatures w14:val="none"/>
        </w:rPr>
        <w:lastRenderedPageBreak/>
        <w:t>drugs, glucocorticoid, immunosuppressants, lipid-lowering drugs, vasoactive drugs,β-lactam antibiotics.</w:t>
      </w:r>
    </w:p>
    <w:p w14:paraId="0FEBC58B" w14:textId="77777777" w:rsidR="00305CCD" w:rsidRPr="00305CCD" w:rsidRDefault="00305CCD" w:rsidP="00305CCD">
      <w:pPr>
        <w:spacing w:after="0" w:line="360" w:lineRule="auto"/>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t>OR: odds ratio, CI: confidence interval, eGFR:</w:t>
      </w:r>
      <w:r w:rsidRPr="00305CCD">
        <w:rPr>
          <w:rFonts w:ascii="Times New Roman" w:eastAsia="等线" w:hAnsi="Times New Roman" w:cs="Times New Roman"/>
          <w:sz w:val="21"/>
          <w:szCs w:val="21"/>
          <w14:ligatures w14:val="none"/>
        </w:rPr>
        <w:t xml:space="preserve"> </w:t>
      </w:r>
      <w:r w:rsidRPr="00305CCD">
        <w:rPr>
          <w:rFonts w:ascii="Times New Roman" w:eastAsia="等线" w:hAnsi="Times New Roman" w:cs="Times New Roman"/>
          <w:sz w:val="24"/>
          <w14:ligatures w14:val="none"/>
        </w:rPr>
        <w:t>estimated glomerular filtration rate, REF: reference</w:t>
      </w:r>
    </w:p>
    <w:p w14:paraId="630627E1"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7E34E064"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4D914D9F"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5A5B98D0"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07024B6B"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7E13F1E7"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5E34274C"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11D47C88"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1FBA32CB"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453B50DD"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0F9A1431"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2505507A"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57ED2665"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3FE6D4DF"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1581433C"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1AFD0E92"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7924AC3C"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0EF078A7"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3A516613"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5FC5C4B6"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411863D7"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5FBB1442"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27050A0F"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075FB260" w14:textId="77777777" w:rsidR="00305CCD" w:rsidRPr="00305CCD" w:rsidRDefault="00305CCD" w:rsidP="00305CCD">
      <w:pPr>
        <w:spacing w:after="0" w:line="240" w:lineRule="auto"/>
        <w:rPr>
          <w:rFonts w:ascii="Times New Roman" w:eastAsia="等线" w:hAnsi="Times New Roman" w:cs="Times New Roman"/>
          <w:sz w:val="24"/>
          <w14:ligatures w14:val="none"/>
        </w:rPr>
      </w:pPr>
    </w:p>
    <w:p w14:paraId="7D4AC6F1"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t>Supplement figure 2</w:t>
      </w:r>
      <w:r w:rsidRPr="00305CCD">
        <w:rPr>
          <w:rFonts w:ascii="Times New Roman" w:eastAsia="等线" w:hAnsi="Times New Roman" w:cs="Times New Roman"/>
          <w:sz w:val="21"/>
          <w:szCs w:val="21"/>
          <w14:ligatures w14:val="none"/>
        </w:rPr>
        <w:t>. Association between admission serum phosphate level and occurrence of AKI 2-3 stage in patients with eGFR&lt;30 ml/min/1.73 m</w:t>
      </w:r>
      <w:r w:rsidRPr="00305CCD">
        <w:rPr>
          <w:rFonts w:ascii="Times New Roman" w:eastAsia="等线" w:hAnsi="Times New Roman" w:cs="Times New Roman"/>
          <w:sz w:val="21"/>
          <w:szCs w:val="21"/>
          <w:vertAlign w:val="superscript"/>
          <w14:ligatures w14:val="none"/>
        </w:rPr>
        <w:t>2</w:t>
      </w:r>
      <w:r w:rsidRPr="00305CCD">
        <w:rPr>
          <w:rFonts w:ascii="Times New Roman" w:eastAsia="等线" w:hAnsi="Times New Roman" w:cs="Times New Roman"/>
          <w:sz w:val="21"/>
          <w:szCs w:val="21"/>
          <w14:ligatures w14:val="none"/>
        </w:rPr>
        <w:t xml:space="preserve"> , eGFR 30-60 ml/min/1.73 m</w:t>
      </w:r>
      <w:r w:rsidRPr="00305CCD">
        <w:rPr>
          <w:rFonts w:ascii="Times New Roman" w:eastAsia="等线" w:hAnsi="Times New Roman" w:cs="Times New Roman"/>
          <w:sz w:val="21"/>
          <w:szCs w:val="21"/>
          <w:vertAlign w:val="superscript"/>
          <w14:ligatures w14:val="none"/>
        </w:rPr>
        <w:t xml:space="preserve">2 </w:t>
      </w:r>
      <w:r w:rsidRPr="00305CCD">
        <w:rPr>
          <w:rFonts w:ascii="Times New Roman" w:eastAsia="等线" w:hAnsi="Times New Roman" w:cs="Times New Roman"/>
          <w:sz w:val="21"/>
          <w:szCs w:val="21"/>
          <w14:ligatures w14:val="none"/>
        </w:rPr>
        <w:t>,eGFR 60-90 ml/min/1.73 m</w:t>
      </w:r>
      <w:r w:rsidRPr="00305CCD">
        <w:rPr>
          <w:rFonts w:ascii="Times New Roman" w:eastAsia="等线" w:hAnsi="Times New Roman" w:cs="Times New Roman"/>
          <w:sz w:val="21"/>
          <w:szCs w:val="21"/>
          <w:vertAlign w:val="superscript"/>
          <w14:ligatures w14:val="none"/>
        </w:rPr>
        <w:t xml:space="preserve">2 </w:t>
      </w:r>
      <w:r w:rsidRPr="00305CCD">
        <w:rPr>
          <w:rFonts w:ascii="Times New Roman" w:eastAsia="等线" w:hAnsi="Times New Roman" w:cs="Times New Roman"/>
          <w:sz w:val="21"/>
          <w:szCs w:val="21"/>
          <w14:ligatures w14:val="none"/>
        </w:rPr>
        <w:t>, eGFR</w:t>
      </w:r>
      <w:r w:rsidRPr="00305CCD">
        <w:rPr>
          <w:rFonts w:ascii="Times New Roman" w:eastAsia="等线" w:hAnsi="Times New Roman" w:cs="Times New Roman"/>
          <w:sz w:val="21"/>
          <w:szCs w:val="21"/>
          <w14:ligatures w14:val="none"/>
        </w:rPr>
        <w:sym w:font="Symbol" w:char="F0B3"/>
      </w:r>
      <w:r w:rsidRPr="00305CCD">
        <w:rPr>
          <w:rFonts w:ascii="Times New Roman" w:eastAsia="等线" w:hAnsi="Times New Roman" w:cs="Times New Roman"/>
          <w:sz w:val="21"/>
          <w:szCs w:val="21"/>
          <w14:ligatures w14:val="none"/>
        </w:rPr>
        <w:t>90 ml/min/1.73 m</w:t>
      </w:r>
      <w:r w:rsidRPr="00305CCD">
        <w:rPr>
          <w:rFonts w:ascii="Times New Roman" w:eastAsia="等线" w:hAnsi="Times New Roman" w:cs="Times New Roman"/>
          <w:sz w:val="21"/>
          <w:szCs w:val="21"/>
          <w:vertAlign w:val="superscript"/>
          <w14:ligatures w14:val="none"/>
        </w:rPr>
        <w:t>2</w:t>
      </w:r>
    </w:p>
    <w:p w14:paraId="38BF02FD" w14:textId="77777777" w:rsidR="00305CCD" w:rsidRPr="00305CCD" w:rsidRDefault="00305CCD" w:rsidP="00305CCD">
      <w:pPr>
        <w:widowControl/>
        <w:spacing w:after="0" w:line="360" w:lineRule="auto"/>
        <w:jc w:val="center"/>
        <w:rPr>
          <w:rFonts w:ascii="Times New Roman" w:eastAsia="等线" w:hAnsi="Times New Roman" w:cs="Times New Roman"/>
          <w:sz w:val="24"/>
          <w14:ligatures w14:val="none"/>
        </w:rPr>
      </w:pPr>
      <w:r w:rsidRPr="00305CCD">
        <w:rPr>
          <w:rFonts w:ascii="Times New Roman" w:eastAsia="等线" w:hAnsi="Times New Roman" w:cs="Times New Roman"/>
          <w:noProof/>
          <w:sz w:val="24"/>
          <w14:ligatures w14:val="none"/>
        </w:rPr>
        <w:drawing>
          <wp:inline distT="0" distB="0" distL="0" distR="0" wp14:anchorId="7B9B9421" wp14:editId="1A8E9FCA">
            <wp:extent cx="2616334" cy="4311872"/>
            <wp:effectExtent l="0" t="0" r="0" b="0"/>
            <wp:docPr id="5187666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66655" name=""/>
                    <pic:cNvPicPr/>
                  </pic:nvPicPr>
                  <pic:blipFill>
                    <a:blip r:embed="rId7"/>
                    <a:stretch>
                      <a:fillRect/>
                    </a:stretch>
                  </pic:blipFill>
                  <pic:spPr>
                    <a:xfrm>
                      <a:off x="0" y="0"/>
                      <a:ext cx="2616334" cy="4311872"/>
                    </a:xfrm>
                    <a:prstGeom prst="rect">
                      <a:avLst/>
                    </a:prstGeom>
                  </pic:spPr>
                </pic:pic>
              </a:graphicData>
            </a:graphic>
          </wp:inline>
        </w:drawing>
      </w:r>
    </w:p>
    <w:p w14:paraId="12E26C12" w14:textId="77777777" w:rsidR="00305CCD" w:rsidRPr="00305CCD" w:rsidRDefault="00305CCD" w:rsidP="00305CCD">
      <w:pPr>
        <w:widowControl/>
        <w:spacing w:after="0" w:line="360" w:lineRule="auto"/>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lastRenderedPageBreak/>
        <w:t>Adjusted for</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 xml:space="preserve">platelet, urea nitrogen, uric acid, diuretic, non-steroidal anti-inflammatory drugs (NSAIDs), intra-aortic balloon pump(IABP), invasive ventilator, glycopeptide antibiotics, vasoactive drugs,β-lactam antibiotics. </w:t>
      </w:r>
    </w:p>
    <w:p w14:paraId="13589EF2" w14:textId="77777777" w:rsidR="00305CCD" w:rsidRPr="00305CCD" w:rsidRDefault="00305CCD" w:rsidP="00305CCD">
      <w:pPr>
        <w:widowControl/>
        <w:spacing w:after="0" w:line="240" w:lineRule="auto"/>
        <w:jc w:val="both"/>
        <w:rPr>
          <w:rFonts w:ascii="Times New Roman" w:eastAsia="等线" w:hAnsi="Times New Roman" w:cs="Times New Roman"/>
          <w:sz w:val="24"/>
          <w14:ligatures w14:val="none"/>
        </w:rPr>
      </w:pPr>
    </w:p>
    <w:p w14:paraId="49D66A6D"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t>OR: odds ratio, CI: confidence interval, eGFR: estimated glomerular filtration rate, REF: reference</w:t>
      </w:r>
    </w:p>
    <w:p w14:paraId="41BDC07F"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278EAD5E"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279DB1D6"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67BC2B8B"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38DF544E"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6AB201E2"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49FF3B3B"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5F901123"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34EE493A"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347C03EC"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14AF4403"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22D0E150"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426072B5"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091D6FE3"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4959FAAE"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1BF2CD4A"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4CBA4ED2"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226EBE4F"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0D87A562" w14:textId="77777777" w:rsidR="00305CCD" w:rsidRPr="00305CCD" w:rsidRDefault="00305CCD" w:rsidP="00305CCD">
      <w:pPr>
        <w:spacing w:after="0" w:line="360" w:lineRule="auto"/>
        <w:jc w:val="both"/>
        <w:rPr>
          <w:rFonts w:ascii="Times New Roman" w:eastAsia="等线" w:hAnsi="Times New Roman" w:cs="Times New Roman"/>
          <w:sz w:val="21"/>
          <w:szCs w:val="21"/>
          <w:vertAlign w:val="superscript"/>
          <w14:ligatures w14:val="none"/>
        </w:rPr>
      </w:pPr>
      <w:r w:rsidRPr="00305CCD">
        <w:rPr>
          <w:rFonts w:ascii="Times New Roman" w:eastAsia="等线" w:hAnsi="Times New Roman" w:cs="Times New Roman"/>
          <w:b/>
          <w:bCs/>
          <w:sz w:val="21"/>
          <w:szCs w:val="21"/>
          <w14:ligatures w14:val="none"/>
        </w:rPr>
        <w:t xml:space="preserve">Supplement figure 3. </w:t>
      </w:r>
      <w:r w:rsidRPr="00305CCD">
        <w:rPr>
          <w:rFonts w:ascii="Times New Roman" w:eastAsia="等线" w:hAnsi="Times New Roman" w:cs="Times New Roman"/>
          <w:sz w:val="21"/>
          <w:szCs w:val="21"/>
          <w14:ligatures w14:val="none"/>
        </w:rPr>
        <w:t>Association between admission serum phosphate level and in hospital mortality in patients with eGFR&lt;30 ml/min/1.73 m</w:t>
      </w:r>
      <w:r w:rsidRPr="00305CCD">
        <w:rPr>
          <w:rFonts w:ascii="Times New Roman" w:eastAsia="等线" w:hAnsi="Times New Roman" w:cs="Times New Roman"/>
          <w:sz w:val="21"/>
          <w:szCs w:val="21"/>
          <w:vertAlign w:val="superscript"/>
          <w14:ligatures w14:val="none"/>
        </w:rPr>
        <w:t>2</w:t>
      </w:r>
      <w:r w:rsidRPr="00305CCD">
        <w:rPr>
          <w:rFonts w:ascii="Times New Roman" w:eastAsia="等线" w:hAnsi="Times New Roman" w:cs="Times New Roman"/>
          <w:sz w:val="21"/>
          <w:szCs w:val="21"/>
          <w14:ligatures w14:val="none"/>
        </w:rPr>
        <w:t>, eGFR 30-60 ml/min/1.73 m</w:t>
      </w:r>
      <w:r w:rsidRPr="00305CCD">
        <w:rPr>
          <w:rFonts w:ascii="Times New Roman" w:eastAsia="等线" w:hAnsi="Times New Roman" w:cs="Times New Roman"/>
          <w:sz w:val="21"/>
          <w:szCs w:val="21"/>
          <w:vertAlign w:val="superscript"/>
          <w14:ligatures w14:val="none"/>
        </w:rPr>
        <w:t>2</w:t>
      </w:r>
      <w:r w:rsidRPr="00305CCD">
        <w:rPr>
          <w:rFonts w:ascii="Times New Roman" w:eastAsia="等线" w:hAnsi="Times New Roman" w:cs="Times New Roman"/>
          <w:sz w:val="21"/>
          <w:szCs w:val="21"/>
          <w14:ligatures w14:val="none"/>
        </w:rPr>
        <w:t>, eGFR 60-90 ml/min/1.73 m</w:t>
      </w:r>
      <w:r w:rsidRPr="00305CCD">
        <w:rPr>
          <w:rFonts w:ascii="Times New Roman" w:eastAsia="等线" w:hAnsi="Times New Roman" w:cs="Times New Roman"/>
          <w:sz w:val="21"/>
          <w:szCs w:val="21"/>
          <w:vertAlign w:val="superscript"/>
          <w14:ligatures w14:val="none"/>
        </w:rPr>
        <w:t>2</w:t>
      </w:r>
      <w:r w:rsidRPr="00305CCD">
        <w:rPr>
          <w:rFonts w:ascii="Times New Roman" w:eastAsia="等线" w:hAnsi="Times New Roman" w:cs="Times New Roman"/>
          <w:sz w:val="21"/>
          <w:szCs w:val="21"/>
          <w14:ligatures w14:val="none"/>
        </w:rPr>
        <w:t>, eGFR</w:t>
      </w:r>
      <w:r w:rsidRPr="00305CCD">
        <w:rPr>
          <w:rFonts w:ascii="Times New Roman" w:eastAsia="等线" w:hAnsi="Times New Roman" w:cs="Times New Roman"/>
          <w:sz w:val="21"/>
          <w:szCs w:val="21"/>
          <w14:ligatures w14:val="none"/>
        </w:rPr>
        <w:sym w:font="Symbol" w:char="F0B3"/>
      </w:r>
      <w:r w:rsidRPr="00305CCD">
        <w:rPr>
          <w:rFonts w:ascii="Times New Roman" w:eastAsia="等线" w:hAnsi="Times New Roman" w:cs="Times New Roman"/>
          <w:sz w:val="21"/>
          <w:szCs w:val="21"/>
          <w14:ligatures w14:val="none"/>
        </w:rPr>
        <w:t>90 ml/min/1.73 m</w:t>
      </w:r>
      <w:r w:rsidRPr="00305CCD">
        <w:rPr>
          <w:rFonts w:ascii="Times New Roman" w:eastAsia="等线" w:hAnsi="Times New Roman" w:cs="Times New Roman"/>
          <w:sz w:val="21"/>
          <w:szCs w:val="21"/>
          <w:vertAlign w:val="superscript"/>
          <w14:ligatures w14:val="none"/>
        </w:rPr>
        <w:t>2</w:t>
      </w:r>
    </w:p>
    <w:p w14:paraId="27E05B6C" w14:textId="77777777" w:rsidR="00305CCD" w:rsidRPr="00305CCD" w:rsidRDefault="00305CCD" w:rsidP="00305CCD">
      <w:pPr>
        <w:spacing w:after="0" w:line="360" w:lineRule="auto"/>
        <w:jc w:val="center"/>
        <w:rPr>
          <w:rFonts w:ascii="Times New Roman" w:eastAsia="等线" w:hAnsi="Times New Roman" w:cs="Times New Roman"/>
          <w:sz w:val="24"/>
          <w14:ligatures w14:val="none"/>
        </w:rPr>
      </w:pPr>
      <w:r w:rsidRPr="00305CCD">
        <w:rPr>
          <w:rFonts w:ascii="Times New Roman" w:eastAsia="等线" w:hAnsi="Times New Roman" w:cs="Times New Roman"/>
          <w:noProof/>
          <w:sz w:val="24"/>
          <w14:ligatures w14:val="none"/>
        </w:rPr>
        <w:lastRenderedPageBreak/>
        <w:drawing>
          <wp:inline distT="0" distB="0" distL="0" distR="0" wp14:anchorId="6C94CE23" wp14:editId="23B5190A">
            <wp:extent cx="3143250" cy="4895109"/>
            <wp:effectExtent l="0" t="0" r="0" b="1270"/>
            <wp:docPr id="18784608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60810" name=""/>
                    <pic:cNvPicPr/>
                  </pic:nvPicPr>
                  <pic:blipFill>
                    <a:blip r:embed="rId8"/>
                    <a:stretch>
                      <a:fillRect/>
                    </a:stretch>
                  </pic:blipFill>
                  <pic:spPr>
                    <a:xfrm>
                      <a:off x="0" y="0"/>
                      <a:ext cx="3145186" cy="4898124"/>
                    </a:xfrm>
                    <a:prstGeom prst="rect">
                      <a:avLst/>
                    </a:prstGeom>
                  </pic:spPr>
                </pic:pic>
              </a:graphicData>
            </a:graphic>
          </wp:inline>
        </w:drawing>
      </w:r>
    </w:p>
    <w:p w14:paraId="65200843" w14:textId="77777777" w:rsidR="00305CCD" w:rsidRPr="00305CCD" w:rsidRDefault="00305CCD" w:rsidP="00305CCD">
      <w:pPr>
        <w:spacing w:after="0" w:line="240" w:lineRule="auto"/>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t>Adjusted for age, heart failure, chronic lung disease, cirrhosis or liver failure, white blood cell,</w:t>
      </w:r>
      <w:r w:rsidRPr="00305CCD">
        <w:rPr>
          <w:rFonts w:ascii="Times New Roman" w:eastAsia="微软雅黑" w:hAnsi="Times New Roman" w:cs="Times New Roman"/>
          <w:sz w:val="24"/>
          <w14:ligatures w14:val="none"/>
        </w:rPr>
        <w:t xml:space="preserve"> platelet, </w:t>
      </w:r>
      <w:r w:rsidRPr="00305CCD">
        <w:rPr>
          <w:rFonts w:ascii="Times New Roman" w:eastAsia="等线" w:hAnsi="Times New Roman" w:cs="Times New Roman"/>
          <w:sz w:val="24"/>
          <w14:ligatures w14:val="none"/>
        </w:rPr>
        <w:t xml:space="preserve">urea nitrogen, albumin, blood glucose, </w:t>
      </w:r>
      <w:r w:rsidRPr="00305CCD">
        <w:rPr>
          <w:rFonts w:ascii="Times New Roman" w:eastAsia="等线" w:hAnsi="Times New Roman" w:cs="Times New Roman"/>
          <w:sz w:val="24"/>
          <w14:ligatures w14:val="none"/>
        </w:rPr>
        <w:lastRenderedPageBreak/>
        <w:t xml:space="preserve">international normalized ratio (INR), diuretic, non-steroidal anti-inflammatory drugs (NSAIDs), glycopeptide antibiotics, antifungal drugs, proton pump inhibitors, glucocorticoid, vasoactive drugs, β-lactam antibiotics. </w:t>
      </w:r>
    </w:p>
    <w:p w14:paraId="18E9DDDD"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t>OR: odds ratio, CI: confidence interval, eGFR: estimated glomerular filtration rate, REF: reference</w:t>
      </w:r>
    </w:p>
    <w:p w14:paraId="5EF133DC"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665F712F"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76861859"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11610D57"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53497196"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43975D0F"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20D9F2ED"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644925D8"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653DAEB3"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0A640410"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39FC9708"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2A3AD0BE"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2D66E3C3"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5F3C8867"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3049CC15"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1A27145A"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6844888D"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28376A7B"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70FCC1AE"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2B9F179D"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1159AEFD"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389AE84B"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29CE4A8E"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6A0F0419"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5D1D1D1B"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t>Supplement figure 4.</w:t>
      </w:r>
      <w:r w:rsidRPr="00305CCD">
        <w:rPr>
          <w:rFonts w:ascii="Times New Roman" w:eastAsia="等线" w:hAnsi="Times New Roman" w:cs="Times New Roman"/>
          <w:sz w:val="21"/>
          <w:szCs w:val="21"/>
          <w14:ligatures w14:val="none"/>
        </w:rPr>
        <w:t xml:space="preserve"> Association between admission serum phosphate level and acute kidney injury non-recovery with eGFR&lt;30 ml/min/1.73 m</w:t>
      </w:r>
      <w:r w:rsidRPr="00305CCD">
        <w:rPr>
          <w:rFonts w:ascii="Times New Roman" w:eastAsia="等线" w:hAnsi="Times New Roman" w:cs="Times New Roman"/>
          <w:sz w:val="21"/>
          <w:szCs w:val="21"/>
          <w:vertAlign w:val="superscript"/>
          <w14:ligatures w14:val="none"/>
        </w:rPr>
        <w:t>2</w:t>
      </w:r>
      <w:r w:rsidRPr="00305CCD">
        <w:rPr>
          <w:rFonts w:ascii="Times New Roman" w:eastAsia="等线" w:hAnsi="Times New Roman" w:cs="Times New Roman"/>
          <w:sz w:val="21"/>
          <w:szCs w:val="21"/>
          <w14:ligatures w14:val="none"/>
        </w:rPr>
        <w:t xml:space="preserve"> , eGFR 30-60 ml/min/1.73 m</w:t>
      </w:r>
      <w:r w:rsidRPr="00305CCD">
        <w:rPr>
          <w:rFonts w:ascii="Times New Roman" w:eastAsia="等线" w:hAnsi="Times New Roman" w:cs="Times New Roman"/>
          <w:sz w:val="21"/>
          <w:szCs w:val="21"/>
          <w:vertAlign w:val="superscript"/>
          <w14:ligatures w14:val="none"/>
        </w:rPr>
        <w:t xml:space="preserve">2 </w:t>
      </w:r>
      <w:r w:rsidRPr="00305CCD">
        <w:rPr>
          <w:rFonts w:ascii="Times New Roman" w:eastAsia="等线" w:hAnsi="Times New Roman" w:cs="Times New Roman"/>
          <w:sz w:val="21"/>
          <w:szCs w:val="21"/>
          <w14:ligatures w14:val="none"/>
        </w:rPr>
        <w:t>,eGFR 60-90 ml/min/1.73 m</w:t>
      </w:r>
      <w:r w:rsidRPr="00305CCD">
        <w:rPr>
          <w:rFonts w:ascii="Times New Roman" w:eastAsia="等线" w:hAnsi="Times New Roman" w:cs="Times New Roman"/>
          <w:sz w:val="21"/>
          <w:szCs w:val="21"/>
          <w:vertAlign w:val="superscript"/>
          <w14:ligatures w14:val="none"/>
        </w:rPr>
        <w:t xml:space="preserve">2 </w:t>
      </w:r>
      <w:r w:rsidRPr="00305CCD">
        <w:rPr>
          <w:rFonts w:ascii="Times New Roman" w:eastAsia="等线" w:hAnsi="Times New Roman" w:cs="Times New Roman"/>
          <w:sz w:val="21"/>
          <w:szCs w:val="21"/>
          <w14:ligatures w14:val="none"/>
        </w:rPr>
        <w:t>, eGFR</w:t>
      </w:r>
      <w:r w:rsidRPr="00305CCD">
        <w:rPr>
          <w:rFonts w:ascii="Times New Roman" w:eastAsia="等线" w:hAnsi="Times New Roman" w:cs="Times New Roman"/>
          <w:sz w:val="21"/>
          <w:szCs w:val="21"/>
          <w14:ligatures w14:val="none"/>
        </w:rPr>
        <w:sym w:font="Symbol" w:char="F0B3"/>
      </w:r>
      <w:r w:rsidRPr="00305CCD">
        <w:rPr>
          <w:rFonts w:ascii="Times New Roman" w:eastAsia="等线" w:hAnsi="Times New Roman" w:cs="Times New Roman"/>
          <w:sz w:val="21"/>
          <w:szCs w:val="21"/>
          <w14:ligatures w14:val="none"/>
        </w:rPr>
        <w:t>90 ml/min/1.73 m</w:t>
      </w:r>
      <w:r w:rsidRPr="00305CCD">
        <w:rPr>
          <w:rFonts w:ascii="Times New Roman" w:eastAsia="等线" w:hAnsi="Times New Roman" w:cs="Times New Roman"/>
          <w:sz w:val="21"/>
          <w:szCs w:val="21"/>
          <w:vertAlign w:val="superscript"/>
          <w14:ligatures w14:val="none"/>
        </w:rPr>
        <w:t>2</w:t>
      </w:r>
    </w:p>
    <w:p w14:paraId="40F26F79" w14:textId="77777777" w:rsidR="00305CCD" w:rsidRPr="00305CCD" w:rsidRDefault="00305CCD" w:rsidP="00305CCD">
      <w:pPr>
        <w:spacing w:after="0" w:line="360" w:lineRule="auto"/>
        <w:jc w:val="center"/>
        <w:rPr>
          <w:rFonts w:ascii="Times New Roman" w:eastAsia="等线" w:hAnsi="Times New Roman" w:cs="Times New Roman"/>
          <w:sz w:val="24"/>
          <w14:ligatures w14:val="none"/>
        </w:rPr>
      </w:pPr>
      <w:r w:rsidRPr="00305CCD">
        <w:rPr>
          <w:rFonts w:ascii="等线" w:eastAsia="等线" w:hAnsi="等线" w:cs="Times New Roman"/>
          <w:noProof/>
          <w:sz w:val="21"/>
          <w:szCs w:val="22"/>
          <w14:ligatures w14:val="none"/>
        </w:rPr>
        <w:lastRenderedPageBreak/>
        <w:drawing>
          <wp:inline distT="0" distB="0" distL="0" distR="0" wp14:anchorId="758E6614" wp14:editId="72EEF81C">
            <wp:extent cx="3576877" cy="4747782"/>
            <wp:effectExtent l="0" t="0" r="5080" b="0"/>
            <wp:docPr id="4196109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10907" name=""/>
                    <pic:cNvPicPr/>
                  </pic:nvPicPr>
                  <pic:blipFill>
                    <a:blip r:embed="rId9"/>
                    <a:stretch>
                      <a:fillRect/>
                    </a:stretch>
                  </pic:blipFill>
                  <pic:spPr>
                    <a:xfrm>
                      <a:off x="0" y="0"/>
                      <a:ext cx="3585810" cy="4759640"/>
                    </a:xfrm>
                    <a:prstGeom prst="rect">
                      <a:avLst/>
                    </a:prstGeom>
                  </pic:spPr>
                </pic:pic>
              </a:graphicData>
            </a:graphic>
          </wp:inline>
        </w:drawing>
      </w:r>
    </w:p>
    <w:p w14:paraId="2FAB468E"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t>eGFR&lt;30 ml/min/1.73 m</w:t>
      </w:r>
      <w:r w:rsidRPr="00305CCD">
        <w:rPr>
          <w:rFonts w:ascii="Times New Roman" w:eastAsia="等线" w:hAnsi="Times New Roman" w:cs="Times New Roman"/>
          <w:sz w:val="24"/>
          <w:vertAlign w:val="superscript"/>
          <w14:ligatures w14:val="none"/>
        </w:rPr>
        <w:t>2</w:t>
      </w:r>
      <w:r w:rsidRPr="00305CCD">
        <w:rPr>
          <w:rFonts w:ascii="Times New Roman" w:eastAsia="等线" w:hAnsi="Times New Roman" w:cs="Times New Roman"/>
          <w:sz w:val="24"/>
          <w14:ligatures w14:val="none"/>
        </w:rPr>
        <w:t xml:space="preserve">: Adjusted for age, malignant solid tumor, glycopeptide antibiotics </w:t>
      </w:r>
    </w:p>
    <w:p w14:paraId="58BE8802"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lastRenderedPageBreak/>
        <w:t>eGFR 30-60 ml/min/1.73 m</w:t>
      </w:r>
      <w:r w:rsidRPr="00305CCD">
        <w:rPr>
          <w:rFonts w:ascii="Times New Roman" w:eastAsia="等线" w:hAnsi="Times New Roman" w:cs="Times New Roman"/>
          <w:sz w:val="24"/>
          <w:vertAlign w:val="superscript"/>
          <w14:ligatures w14:val="none"/>
        </w:rPr>
        <w:t>2</w:t>
      </w:r>
      <w:r w:rsidRPr="00305CCD">
        <w:rPr>
          <w:rFonts w:ascii="Times New Roman" w:eastAsia="等线" w:hAnsi="Times New Roman" w:cs="Times New Roman"/>
          <w:sz w:val="24"/>
          <w14:ligatures w14:val="none"/>
        </w:rPr>
        <w:t>: Adjusted for age, intensive care unit,</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albumin, blood glucose</w:t>
      </w:r>
    </w:p>
    <w:p w14:paraId="20748713"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t>eGFR 60-90 ml/min/1.73 m</w:t>
      </w:r>
      <w:r w:rsidRPr="00305CCD">
        <w:rPr>
          <w:rFonts w:ascii="Times New Roman" w:eastAsia="等线" w:hAnsi="Times New Roman" w:cs="Times New Roman"/>
          <w:sz w:val="24"/>
          <w:vertAlign w:val="superscript"/>
          <w14:ligatures w14:val="none"/>
        </w:rPr>
        <w:t>2</w:t>
      </w:r>
      <w:r w:rsidRPr="00305CCD">
        <w:rPr>
          <w:rFonts w:ascii="Times New Roman" w:eastAsia="等线" w:hAnsi="Times New Roman" w:cs="Times New Roman"/>
          <w:sz w:val="24"/>
          <w14:ligatures w14:val="none"/>
        </w:rPr>
        <w:t>: Adjusted for age,</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coronary heart disease,</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malignant solid tumor,</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hemoglobin,</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diuretic,</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nonsteroidal anti-inflammatory drugs,</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invasive ventilator,</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aminoglycoside antibiotics,</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contrast agent, β-lactam antibiotics</w:t>
      </w:r>
    </w:p>
    <w:p w14:paraId="316EAF48"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t>eGFR</w:t>
      </w:r>
      <w:r w:rsidRPr="00305CCD">
        <w:rPr>
          <w:rFonts w:ascii="Times New Roman" w:eastAsia="等线" w:hAnsi="Times New Roman" w:cs="Times New Roman"/>
          <w:sz w:val="24"/>
          <w14:ligatures w14:val="none"/>
        </w:rPr>
        <w:sym w:font="Symbol" w:char="F0B3"/>
      </w:r>
      <w:r w:rsidRPr="00305CCD">
        <w:rPr>
          <w:rFonts w:ascii="Times New Roman" w:eastAsia="等线" w:hAnsi="Times New Roman" w:cs="Times New Roman"/>
          <w:sz w:val="24"/>
          <w14:ligatures w14:val="none"/>
        </w:rPr>
        <w:t>90 ml/min/1.73 m</w:t>
      </w:r>
      <w:r w:rsidRPr="00305CCD">
        <w:rPr>
          <w:rFonts w:ascii="Times New Roman" w:eastAsia="等线" w:hAnsi="Times New Roman" w:cs="Times New Roman"/>
          <w:sz w:val="24"/>
          <w:vertAlign w:val="superscript"/>
          <w14:ligatures w14:val="none"/>
        </w:rPr>
        <w:t>2</w:t>
      </w:r>
      <w:r w:rsidRPr="00305CCD">
        <w:rPr>
          <w:rFonts w:ascii="Times New Roman" w:eastAsia="等线" w:hAnsi="Times New Roman" w:cs="Times New Roman"/>
          <w:sz w:val="24"/>
          <w14:ligatures w14:val="none"/>
        </w:rPr>
        <w:t>: Adjusted for male, malignant solid tumor,</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uric acid,</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international normalized ratio, diuretic,</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glycopeptide antibiotics, proton pump inhibitors,</w:t>
      </w:r>
      <w:r w:rsidRPr="00305CCD">
        <w:rPr>
          <w:rFonts w:ascii="等线" w:eastAsia="等线" w:hAnsi="等线" w:cs="Times New Roman"/>
          <w:sz w:val="21"/>
          <w:szCs w:val="22"/>
          <w14:ligatures w14:val="none"/>
        </w:rPr>
        <w:t xml:space="preserve"> </w:t>
      </w:r>
      <w:r w:rsidRPr="00305CCD">
        <w:rPr>
          <w:rFonts w:ascii="Times New Roman" w:eastAsia="等线" w:hAnsi="Times New Roman" w:cs="Times New Roman"/>
          <w:sz w:val="24"/>
          <w14:ligatures w14:val="none"/>
        </w:rPr>
        <w:t>contrast agent, β-lactam antibiotics</w:t>
      </w:r>
    </w:p>
    <w:p w14:paraId="7E472CA7"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r w:rsidRPr="00305CCD">
        <w:rPr>
          <w:rFonts w:ascii="Times New Roman" w:eastAsia="等线" w:hAnsi="Times New Roman" w:cs="Times New Roman"/>
          <w:sz w:val="24"/>
          <w14:ligatures w14:val="none"/>
        </w:rPr>
        <w:t>OR: odds ratio, CI: confidence interval, eGFR:</w:t>
      </w:r>
      <w:r w:rsidRPr="00305CCD">
        <w:rPr>
          <w:rFonts w:ascii="Times New Roman" w:eastAsia="等线" w:hAnsi="Times New Roman" w:cs="Times New Roman"/>
          <w:sz w:val="21"/>
          <w:szCs w:val="21"/>
          <w14:ligatures w14:val="none"/>
        </w:rPr>
        <w:t xml:space="preserve"> </w:t>
      </w:r>
      <w:r w:rsidRPr="00305CCD">
        <w:rPr>
          <w:rFonts w:ascii="Times New Roman" w:eastAsia="等线" w:hAnsi="Times New Roman" w:cs="Times New Roman"/>
          <w:sz w:val="24"/>
          <w14:ligatures w14:val="none"/>
        </w:rPr>
        <w:t>estimated glomerular filtration rate, REF: reference</w:t>
      </w:r>
    </w:p>
    <w:p w14:paraId="0B88F829" w14:textId="77777777" w:rsidR="00305CCD" w:rsidRPr="00305CCD" w:rsidRDefault="00305CCD" w:rsidP="00305CCD">
      <w:pPr>
        <w:spacing w:after="0" w:line="360" w:lineRule="auto"/>
        <w:ind w:firstLineChars="200" w:firstLine="480"/>
        <w:jc w:val="both"/>
        <w:rPr>
          <w:rFonts w:ascii="Times New Roman" w:eastAsia="等线" w:hAnsi="Times New Roman" w:cs="Times New Roman"/>
          <w:sz w:val="24"/>
          <w14:ligatures w14:val="none"/>
        </w:rPr>
      </w:pPr>
    </w:p>
    <w:p w14:paraId="20A4E92E"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71924A99"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1444B4F7"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2ADF1211"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4AC4E1B4"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7E1393D3"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501AF2E6"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34E5351A"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5832EE3A"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34EA015C"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1042FB8B"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74B8C428"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6F4A295D"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t xml:space="preserve">Supplement figure 5. </w:t>
      </w:r>
      <w:r w:rsidRPr="00305CCD">
        <w:rPr>
          <w:rFonts w:ascii="Times New Roman" w:eastAsia="等线" w:hAnsi="Times New Roman" w:cs="Times New Roman"/>
          <w:sz w:val="21"/>
          <w:szCs w:val="21"/>
          <w14:ligatures w14:val="none"/>
        </w:rPr>
        <w:t>Association between admission serum phosphate level and in hospital acute kidney injury occurrence in patients without tubulointerstitial disease</w:t>
      </w:r>
    </w:p>
    <w:p w14:paraId="0B21D84A" w14:textId="77777777" w:rsidR="00305CCD" w:rsidRPr="00305CCD" w:rsidRDefault="00305CCD" w:rsidP="00305CCD">
      <w:pPr>
        <w:spacing w:after="0" w:line="360" w:lineRule="auto"/>
        <w:jc w:val="center"/>
        <w:rPr>
          <w:rFonts w:ascii="Times New Roman" w:eastAsia="等线" w:hAnsi="Times New Roman" w:cs="Times New Roman"/>
          <w:sz w:val="24"/>
          <w14:ligatures w14:val="none"/>
        </w:rPr>
      </w:pPr>
      <w:r w:rsidRPr="00305CCD">
        <w:rPr>
          <w:rFonts w:ascii="Times New Roman" w:eastAsia="等线" w:hAnsi="Times New Roman" w:cs="Times New Roman"/>
          <w:noProof/>
          <w:sz w:val="24"/>
          <w14:ligatures w14:val="none"/>
        </w:rPr>
        <w:drawing>
          <wp:inline distT="0" distB="0" distL="0" distR="0" wp14:anchorId="54B14B46" wp14:editId="30A19512">
            <wp:extent cx="4845299" cy="2330570"/>
            <wp:effectExtent l="0" t="0" r="0" b="0"/>
            <wp:docPr id="13320399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39926" name=""/>
                    <pic:cNvPicPr/>
                  </pic:nvPicPr>
                  <pic:blipFill>
                    <a:blip r:embed="rId10"/>
                    <a:stretch>
                      <a:fillRect/>
                    </a:stretch>
                  </pic:blipFill>
                  <pic:spPr>
                    <a:xfrm>
                      <a:off x="0" y="0"/>
                      <a:ext cx="4845299" cy="2330570"/>
                    </a:xfrm>
                    <a:prstGeom prst="rect">
                      <a:avLst/>
                    </a:prstGeom>
                  </pic:spPr>
                </pic:pic>
              </a:graphicData>
            </a:graphic>
          </wp:inline>
        </w:drawing>
      </w:r>
    </w:p>
    <w:p w14:paraId="2C7339F8"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Adjusted for age, gender, surgery department, intensive care unit, hypertension, diabetes, heart failure, malignant solid tumor, cirrhosis or liver failure, cerebrovascular disease, eGFR, hemoglobin, platelet, urea nitrogen, total carbon dioxide, uric acid, albumin, blood glucose, international normalized ratio, diuretic, intra-aortic balloon pump(IABP), invasive ventilator, aminoglycoside antibiotics, glycopeptide antibiotics, antifungal drugs, glucocorticoid, immunosuppressants, lipid-lowering drugs, vasoactive drugs,β-lactam antibiotics.</w:t>
      </w:r>
    </w:p>
    <w:p w14:paraId="5B83A394" w14:textId="77777777" w:rsidR="00305CCD" w:rsidRPr="00305CCD" w:rsidRDefault="00305CCD" w:rsidP="00305CCD">
      <w:pPr>
        <w:spacing w:after="0" w:line="24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OR: odds ratio, CI: confidence interval, REF: reference</w:t>
      </w:r>
    </w:p>
    <w:p w14:paraId="64273F5A"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50B650B0"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7D42467A"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7296AEA7"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19B73215" w14:textId="77777777" w:rsidR="00305CCD" w:rsidRPr="00305CCD" w:rsidRDefault="00305CCD" w:rsidP="00305CCD">
      <w:pPr>
        <w:spacing w:after="0" w:line="360" w:lineRule="auto"/>
        <w:jc w:val="both"/>
        <w:rPr>
          <w:rFonts w:ascii="Times New Roman" w:eastAsia="等线" w:hAnsi="Times New Roman" w:cs="Times New Roman"/>
          <w:sz w:val="24"/>
          <w14:ligatures w14:val="none"/>
        </w:rPr>
      </w:pPr>
    </w:p>
    <w:p w14:paraId="24091B62" w14:textId="77777777" w:rsidR="00305CCD" w:rsidRPr="00305CCD" w:rsidRDefault="00305CCD" w:rsidP="00305CCD">
      <w:pPr>
        <w:spacing w:after="0" w:line="36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t>Supplement figure 6.</w:t>
      </w:r>
      <w:r w:rsidRPr="00305CCD">
        <w:rPr>
          <w:rFonts w:ascii="Times New Roman" w:eastAsia="等线" w:hAnsi="Times New Roman" w:cs="Times New Roman"/>
          <w:sz w:val="21"/>
          <w:szCs w:val="21"/>
          <w14:ligatures w14:val="none"/>
        </w:rPr>
        <w:t xml:space="preserve"> Association between admission serum phosphate level and occurrence of AKI 2-3 stage in patients without tubulointerstitial disease</w:t>
      </w:r>
    </w:p>
    <w:p w14:paraId="0C6C4A95" w14:textId="77777777" w:rsidR="00305CCD" w:rsidRPr="00305CCD" w:rsidRDefault="00305CCD" w:rsidP="00305CCD">
      <w:pPr>
        <w:spacing w:after="0" w:line="360" w:lineRule="auto"/>
        <w:jc w:val="center"/>
        <w:rPr>
          <w:rFonts w:ascii="Times New Roman" w:eastAsia="等线" w:hAnsi="Times New Roman" w:cs="Times New Roman"/>
          <w:sz w:val="24"/>
          <w14:ligatures w14:val="none"/>
        </w:rPr>
      </w:pPr>
      <w:r w:rsidRPr="00305CCD">
        <w:rPr>
          <w:rFonts w:ascii="Times New Roman" w:eastAsia="等线" w:hAnsi="Times New Roman" w:cs="Times New Roman"/>
          <w:noProof/>
          <w:sz w:val="24"/>
          <w14:ligatures w14:val="none"/>
        </w:rPr>
        <w:drawing>
          <wp:inline distT="0" distB="0" distL="0" distR="0" wp14:anchorId="41E0A8CF" wp14:editId="62B8DBCC">
            <wp:extent cx="4883401" cy="2349621"/>
            <wp:effectExtent l="0" t="0" r="0" b="0"/>
            <wp:docPr id="8480664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66401" name=""/>
                    <pic:cNvPicPr/>
                  </pic:nvPicPr>
                  <pic:blipFill>
                    <a:blip r:embed="rId11"/>
                    <a:stretch>
                      <a:fillRect/>
                    </a:stretch>
                  </pic:blipFill>
                  <pic:spPr>
                    <a:xfrm>
                      <a:off x="0" y="0"/>
                      <a:ext cx="4883401" cy="2349621"/>
                    </a:xfrm>
                    <a:prstGeom prst="rect">
                      <a:avLst/>
                    </a:prstGeom>
                  </pic:spPr>
                </pic:pic>
              </a:graphicData>
            </a:graphic>
          </wp:inline>
        </w:drawing>
      </w:r>
    </w:p>
    <w:p w14:paraId="3175F0A6" w14:textId="77777777" w:rsidR="00305CCD" w:rsidRPr="00305CCD" w:rsidRDefault="00305CCD" w:rsidP="00305CCD">
      <w:pPr>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Adjusted for surgery department, intensive care unit, hypertension, heart failure, cirrhosis or liver failure, hemoglobin, urea nitrogen, uric acid, albumin, angiotensin receptor blockers/angiotensin-converting enzyme inhibitors (ARB/ACEI), diuretic, non-steroidal anti-inflammatory drugs (NSAIDs), intra-aortic balloon pump (IABP), invasive ventilator, glycopeptide antibiotics, antifungal drugs, uric acid-lowering medication, lipid-lowering drugs, vasoactive drugs, β-lactam antibiotics.</w:t>
      </w:r>
    </w:p>
    <w:p w14:paraId="149DE4D4" w14:textId="77777777" w:rsidR="00305CCD" w:rsidRPr="00305CCD" w:rsidRDefault="00305CCD" w:rsidP="00305CCD">
      <w:pPr>
        <w:spacing w:after="0" w:line="24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OR: odds ratio, CI: confidence interval, REF: reference, AKI: acute kidney injury, eGFR: estimated glomerular filtration rate</w:t>
      </w:r>
    </w:p>
    <w:p w14:paraId="0860484D"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70C256AF"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6A8477ED"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76F99EC7"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614D36C5"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6A3B14C8"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7799281A"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49A4596B"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41072DF8" w14:textId="77777777" w:rsidR="00305CCD" w:rsidRPr="00305CCD" w:rsidRDefault="00305CCD" w:rsidP="00305CCD">
      <w:pPr>
        <w:spacing w:after="0" w:line="240" w:lineRule="auto"/>
        <w:jc w:val="both"/>
        <w:rPr>
          <w:rFonts w:ascii="Times New Roman" w:eastAsia="等线" w:hAnsi="Times New Roman" w:cs="Times New Roman"/>
          <w:sz w:val="24"/>
          <w14:ligatures w14:val="none"/>
        </w:rPr>
      </w:pPr>
    </w:p>
    <w:p w14:paraId="4B7B639A" w14:textId="77777777" w:rsidR="00305CCD" w:rsidRPr="00305CCD" w:rsidRDefault="00305CCD" w:rsidP="00305CCD">
      <w:pPr>
        <w:spacing w:after="0" w:line="360" w:lineRule="auto"/>
        <w:jc w:val="center"/>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t xml:space="preserve">Supplement figure 7. </w:t>
      </w:r>
      <w:r w:rsidRPr="00305CCD">
        <w:rPr>
          <w:rFonts w:ascii="Times New Roman" w:eastAsia="等线" w:hAnsi="Times New Roman" w:cs="Times New Roman"/>
          <w:sz w:val="21"/>
          <w:szCs w:val="21"/>
          <w14:ligatures w14:val="none"/>
        </w:rPr>
        <w:t>Association between admission serum phosphate level and in hospital mortality in patients without tubulointerstitial disease</w:t>
      </w:r>
    </w:p>
    <w:p w14:paraId="57A8E2FC" w14:textId="77777777" w:rsidR="00305CCD" w:rsidRPr="00305CCD" w:rsidRDefault="00305CCD" w:rsidP="00305CCD">
      <w:pPr>
        <w:widowControl/>
        <w:spacing w:after="0" w:line="360" w:lineRule="auto"/>
        <w:jc w:val="center"/>
        <w:rPr>
          <w:rFonts w:ascii="Times New Roman" w:eastAsia="微软雅黑" w:hAnsi="Times New Roman" w:cs="Times New Roman"/>
          <w:sz w:val="24"/>
          <w14:ligatures w14:val="none"/>
        </w:rPr>
      </w:pPr>
      <w:r w:rsidRPr="00305CCD">
        <w:rPr>
          <w:rFonts w:ascii="Times New Roman" w:eastAsia="微软雅黑" w:hAnsi="Times New Roman" w:cs="Times New Roman"/>
          <w:noProof/>
          <w:sz w:val="24"/>
          <w14:ligatures w14:val="none"/>
        </w:rPr>
        <w:drawing>
          <wp:inline distT="0" distB="0" distL="0" distR="0" wp14:anchorId="68D50FB4" wp14:editId="50C84A20">
            <wp:extent cx="4845299" cy="2425825"/>
            <wp:effectExtent l="0" t="0" r="0" b="0"/>
            <wp:docPr id="12892913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91379" name=""/>
                    <pic:cNvPicPr/>
                  </pic:nvPicPr>
                  <pic:blipFill>
                    <a:blip r:embed="rId12"/>
                    <a:stretch>
                      <a:fillRect/>
                    </a:stretch>
                  </pic:blipFill>
                  <pic:spPr>
                    <a:xfrm>
                      <a:off x="0" y="0"/>
                      <a:ext cx="4845299" cy="2425825"/>
                    </a:xfrm>
                    <a:prstGeom prst="rect">
                      <a:avLst/>
                    </a:prstGeom>
                  </pic:spPr>
                </pic:pic>
              </a:graphicData>
            </a:graphic>
          </wp:inline>
        </w:drawing>
      </w:r>
    </w:p>
    <w:p w14:paraId="0518C7CD" w14:textId="77777777" w:rsidR="00305CCD" w:rsidRPr="00305CCD" w:rsidRDefault="00305CCD" w:rsidP="00305CCD">
      <w:pPr>
        <w:widowControl/>
        <w:spacing w:after="0" w:line="240" w:lineRule="auto"/>
        <w:rPr>
          <w:rFonts w:ascii="Times New Roman" w:eastAsia="微软雅黑" w:hAnsi="Times New Roman" w:cs="Times New Roman"/>
          <w:sz w:val="21"/>
          <w:szCs w:val="21"/>
          <w14:ligatures w14:val="none"/>
        </w:rPr>
      </w:pPr>
      <w:r w:rsidRPr="00305CCD">
        <w:rPr>
          <w:rFonts w:ascii="Times New Roman" w:eastAsia="等线" w:hAnsi="Times New Roman" w:cs="Times New Roman"/>
          <w:sz w:val="21"/>
          <w:szCs w:val="21"/>
          <w14:ligatures w14:val="none"/>
        </w:rPr>
        <w:t>Adjusted for age, surgery department, intensive care unit, diabetes, heart failure, malignant solid tumor, chronic lung disease, cirrhosis or liver failure, cerebrovascular disease, eGFR,</w:t>
      </w:r>
      <w:r w:rsidRPr="00305CCD">
        <w:rPr>
          <w:rFonts w:ascii="Times New Roman" w:eastAsia="微软雅黑" w:hAnsi="Times New Roman" w:cs="Times New Roman"/>
          <w:sz w:val="21"/>
          <w:szCs w:val="21"/>
          <w14:ligatures w14:val="none"/>
        </w:rPr>
        <w:t xml:space="preserve"> </w:t>
      </w:r>
      <w:r w:rsidRPr="00305CCD">
        <w:rPr>
          <w:rFonts w:ascii="Times New Roman" w:eastAsia="等线" w:hAnsi="Times New Roman" w:cs="Times New Roman"/>
          <w:sz w:val="21"/>
          <w:szCs w:val="21"/>
          <w14:ligatures w14:val="none"/>
        </w:rPr>
        <w:t>urea nitrogen, uric acid, albumin, blood glucose, Angiotensin Receptor Blockers/ Angiotensin-Converting Enzyme Inhibitors(ARB/ACEI), diuretic, non-steroidal anti-inflammatory drugs (NSAIDs), intra-aortic balloon pump(IABP), glycopeptide antibiotics, antifungal drugs, proton pump inhibitors, glucocorticoid, contrast agent, vasoactive drugs,β-lactam antibiotics.</w:t>
      </w:r>
    </w:p>
    <w:p w14:paraId="22B5A651" w14:textId="77777777" w:rsidR="00305CCD" w:rsidRPr="00305CCD" w:rsidRDefault="00305CCD" w:rsidP="00305CCD">
      <w:pPr>
        <w:widowControl/>
        <w:spacing w:after="0" w:line="240" w:lineRule="auto"/>
        <w:rPr>
          <w:rFonts w:ascii="Times New Roman" w:eastAsia="微软雅黑" w:hAnsi="Times New Roman" w:cs="Times New Roman"/>
          <w:sz w:val="21"/>
          <w:szCs w:val="21"/>
          <w14:ligatures w14:val="none"/>
        </w:rPr>
      </w:pPr>
      <w:r w:rsidRPr="00305CCD">
        <w:rPr>
          <w:rFonts w:ascii="Times New Roman" w:eastAsia="微软雅黑" w:hAnsi="Times New Roman" w:cs="Times New Roman"/>
          <w:sz w:val="21"/>
          <w:szCs w:val="21"/>
          <w14:ligatures w14:val="none"/>
        </w:rPr>
        <w:t>OR: odds ratio, CI: confidence interval, REF: reference, eGFR: estimated glomerular filtration rate</w:t>
      </w:r>
    </w:p>
    <w:p w14:paraId="2DBA36A9" w14:textId="2E20FA30" w:rsidR="00305CCD" w:rsidRPr="00305CCD" w:rsidRDefault="00305CCD" w:rsidP="00305CCD">
      <w:pPr>
        <w:widowControl/>
        <w:spacing w:after="0" w:line="360" w:lineRule="auto"/>
        <w:rPr>
          <w:rFonts w:ascii="Times New Roman" w:eastAsia="微软雅黑" w:hAnsi="Times New Roman" w:cs="Times New Roman"/>
          <w:sz w:val="24"/>
          <w14:ligatures w14:val="none"/>
        </w:rPr>
      </w:pPr>
    </w:p>
    <w:p w14:paraId="5BCFC4F0" w14:textId="77777777" w:rsidR="00305CCD" w:rsidRPr="00305CCD" w:rsidRDefault="00305CCD" w:rsidP="00305CCD">
      <w:pPr>
        <w:widowControl/>
        <w:spacing w:after="0" w:line="360" w:lineRule="auto"/>
        <w:rPr>
          <w:rFonts w:ascii="Times New Roman" w:eastAsia="等线" w:hAnsi="Times New Roman" w:cs="Times New Roman"/>
          <w:sz w:val="21"/>
          <w:szCs w:val="21"/>
          <w14:ligatures w14:val="none"/>
        </w:rPr>
      </w:pPr>
      <w:r w:rsidRPr="00305CCD">
        <w:rPr>
          <w:rFonts w:ascii="Times New Roman" w:eastAsia="等线" w:hAnsi="Times New Roman" w:cs="Times New Roman"/>
          <w:b/>
          <w:bCs/>
          <w:sz w:val="21"/>
          <w:szCs w:val="21"/>
          <w14:ligatures w14:val="none"/>
        </w:rPr>
        <w:t>Supplement figure 8.</w:t>
      </w:r>
      <w:r w:rsidRPr="00305CCD">
        <w:rPr>
          <w:rFonts w:ascii="Times New Roman" w:eastAsia="等线" w:hAnsi="Times New Roman" w:cs="Times New Roman"/>
          <w:sz w:val="21"/>
          <w:szCs w:val="21"/>
          <w14:ligatures w14:val="none"/>
        </w:rPr>
        <w:t xml:space="preserve"> Association between admission serum phosphate level and acute kidney injury non-recovery in patients without tubulointerstitial disease</w:t>
      </w:r>
    </w:p>
    <w:p w14:paraId="4CC31955" w14:textId="77777777" w:rsidR="00305CCD" w:rsidRPr="00305CCD" w:rsidRDefault="00305CCD" w:rsidP="00305CCD">
      <w:pPr>
        <w:widowControl/>
        <w:spacing w:after="0" w:line="360" w:lineRule="auto"/>
        <w:jc w:val="center"/>
        <w:rPr>
          <w:rFonts w:ascii="Times New Roman" w:eastAsia="等线" w:hAnsi="Times New Roman" w:cs="Times New Roman"/>
          <w:sz w:val="24"/>
          <w14:ligatures w14:val="none"/>
        </w:rPr>
      </w:pPr>
      <w:r w:rsidRPr="00305CCD">
        <w:rPr>
          <w:rFonts w:ascii="Times New Roman" w:eastAsia="等线" w:hAnsi="Times New Roman" w:cs="Times New Roman"/>
          <w:noProof/>
          <w:sz w:val="24"/>
          <w:szCs w:val="22"/>
          <w14:ligatures w14:val="none"/>
        </w:rPr>
        <w:drawing>
          <wp:inline distT="0" distB="0" distL="0" distR="0" wp14:anchorId="2ED09062" wp14:editId="123FC284">
            <wp:extent cx="4700587" cy="2461895"/>
            <wp:effectExtent l="0" t="0" r="5080" b="0"/>
            <wp:docPr id="5304057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05705" name=""/>
                    <pic:cNvPicPr/>
                  </pic:nvPicPr>
                  <pic:blipFill>
                    <a:blip r:embed="rId13"/>
                    <a:stretch>
                      <a:fillRect/>
                    </a:stretch>
                  </pic:blipFill>
                  <pic:spPr>
                    <a:xfrm>
                      <a:off x="0" y="0"/>
                      <a:ext cx="4710921" cy="2467307"/>
                    </a:xfrm>
                    <a:prstGeom prst="rect">
                      <a:avLst/>
                    </a:prstGeom>
                  </pic:spPr>
                </pic:pic>
              </a:graphicData>
            </a:graphic>
          </wp:inline>
        </w:drawing>
      </w:r>
    </w:p>
    <w:p w14:paraId="73AFAC2A" w14:textId="77777777" w:rsidR="00305CCD" w:rsidRPr="00305CCD" w:rsidRDefault="00305CCD" w:rsidP="00305CCD">
      <w:pPr>
        <w:spacing w:after="0" w:line="240" w:lineRule="auto"/>
        <w:jc w:val="both"/>
        <w:rPr>
          <w:rFonts w:ascii="Times New Roman" w:eastAsia="等线" w:hAnsi="Times New Roman" w:cs="Times New Roman"/>
          <w:sz w:val="21"/>
          <w:szCs w:val="21"/>
          <w14:ligatures w14:val="none"/>
        </w:rPr>
      </w:pPr>
      <w:r w:rsidRPr="00305CCD">
        <w:rPr>
          <w:rFonts w:ascii="Times New Roman" w:eastAsia="等线" w:hAnsi="Times New Roman" w:cs="Times New Roman"/>
          <w:sz w:val="21"/>
          <w:szCs w:val="21"/>
          <w14:ligatures w14:val="none"/>
        </w:rPr>
        <w:t>Adjusted for heart failure, malignant solid tumor, eGFR, urea nitrogen, diuretic, aminoglycoside antibiotics, antifungal drugs, proton pump inhibitors (PPI), uric acid-lowering medication, lipid-lowering drugs, contrast agent, vasoactive drugs, β-lactam antibiotics.</w:t>
      </w:r>
    </w:p>
    <w:p w14:paraId="51FE2F60" w14:textId="356CC2BE" w:rsidR="00305CCD" w:rsidRDefault="00305CCD" w:rsidP="00305CCD">
      <w:pPr>
        <w:rPr>
          <w:rFonts w:ascii="Times New Roman" w:eastAsia="等线" w:hAnsi="Times New Roman" w:cs="Times New Roman"/>
          <w:sz w:val="24"/>
          <w14:ligatures w14:val="none"/>
        </w:rPr>
      </w:pPr>
      <w:r w:rsidRPr="00305CCD">
        <w:rPr>
          <w:rFonts w:ascii="Times New Roman" w:eastAsia="等线" w:hAnsi="Times New Roman" w:cs="Times New Roman"/>
          <w:sz w:val="21"/>
          <w:szCs w:val="21"/>
          <w14:ligatures w14:val="none"/>
        </w:rPr>
        <w:t>OR: odds ratio, CI: confidence interval, REF: reference</w:t>
      </w:r>
    </w:p>
    <w:p w14:paraId="19660F37" w14:textId="77777777" w:rsidR="00305CCD" w:rsidRDefault="00305CCD" w:rsidP="00305CCD">
      <w:pPr>
        <w:rPr>
          <w:rFonts w:hint="eastAsia"/>
        </w:rPr>
      </w:pPr>
    </w:p>
    <w:sectPr w:rsidR="00305CCD" w:rsidSect="00305CC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D59CF" w14:textId="77777777" w:rsidR="00EA0AB3" w:rsidRDefault="00EA0AB3" w:rsidP="00305CCD">
      <w:pPr>
        <w:spacing w:after="0" w:line="240" w:lineRule="auto"/>
        <w:rPr>
          <w:rFonts w:hint="eastAsia"/>
        </w:rPr>
      </w:pPr>
      <w:r>
        <w:separator/>
      </w:r>
    </w:p>
  </w:endnote>
  <w:endnote w:type="continuationSeparator" w:id="0">
    <w:p w14:paraId="5B8A543A" w14:textId="77777777" w:rsidR="00EA0AB3" w:rsidRDefault="00EA0AB3" w:rsidP="00305CC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CEDCD" w14:textId="77777777" w:rsidR="00EA0AB3" w:rsidRDefault="00EA0AB3" w:rsidP="00305CCD">
      <w:pPr>
        <w:spacing w:after="0" w:line="240" w:lineRule="auto"/>
        <w:rPr>
          <w:rFonts w:hint="eastAsia"/>
        </w:rPr>
      </w:pPr>
      <w:r>
        <w:separator/>
      </w:r>
    </w:p>
  </w:footnote>
  <w:footnote w:type="continuationSeparator" w:id="0">
    <w:p w14:paraId="54623E8C" w14:textId="77777777" w:rsidR="00EA0AB3" w:rsidRDefault="00EA0AB3" w:rsidP="00305CCD">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09"/>
    <w:rsid w:val="00305CCD"/>
    <w:rsid w:val="00394609"/>
    <w:rsid w:val="00B02361"/>
    <w:rsid w:val="00CC053D"/>
    <w:rsid w:val="00EA0AB3"/>
    <w:rsid w:val="00FA1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25EE9"/>
  <w15:chartTrackingRefBased/>
  <w15:docId w15:val="{1DD6AFB3-6A66-412D-BC17-1EFF6F96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9460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9460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9460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9460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9460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9460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9460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9460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9460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9460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9460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9460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94609"/>
    <w:rPr>
      <w:rFonts w:cstheme="majorBidi"/>
      <w:color w:val="0F4761" w:themeColor="accent1" w:themeShade="BF"/>
      <w:sz w:val="28"/>
      <w:szCs w:val="28"/>
    </w:rPr>
  </w:style>
  <w:style w:type="character" w:customStyle="1" w:styleId="50">
    <w:name w:val="标题 5 字符"/>
    <w:basedOn w:val="a0"/>
    <w:link w:val="5"/>
    <w:uiPriority w:val="9"/>
    <w:semiHidden/>
    <w:rsid w:val="00394609"/>
    <w:rPr>
      <w:rFonts w:cstheme="majorBidi"/>
      <w:color w:val="0F4761" w:themeColor="accent1" w:themeShade="BF"/>
      <w:sz w:val="24"/>
    </w:rPr>
  </w:style>
  <w:style w:type="character" w:customStyle="1" w:styleId="60">
    <w:name w:val="标题 6 字符"/>
    <w:basedOn w:val="a0"/>
    <w:link w:val="6"/>
    <w:uiPriority w:val="9"/>
    <w:semiHidden/>
    <w:rsid w:val="00394609"/>
    <w:rPr>
      <w:rFonts w:cstheme="majorBidi"/>
      <w:b/>
      <w:bCs/>
      <w:color w:val="0F4761" w:themeColor="accent1" w:themeShade="BF"/>
    </w:rPr>
  </w:style>
  <w:style w:type="character" w:customStyle="1" w:styleId="70">
    <w:name w:val="标题 7 字符"/>
    <w:basedOn w:val="a0"/>
    <w:link w:val="7"/>
    <w:uiPriority w:val="9"/>
    <w:semiHidden/>
    <w:rsid w:val="00394609"/>
    <w:rPr>
      <w:rFonts w:cstheme="majorBidi"/>
      <w:b/>
      <w:bCs/>
      <w:color w:val="595959" w:themeColor="text1" w:themeTint="A6"/>
    </w:rPr>
  </w:style>
  <w:style w:type="character" w:customStyle="1" w:styleId="80">
    <w:name w:val="标题 8 字符"/>
    <w:basedOn w:val="a0"/>
    <w:link w:val="8"/>
    <w:uiPriority w:val="9"/>
    <w:semiHidden/>
    <w:rsid w:val="00394609"/>
    <w:rPr>
      <w:rFonts w:cstheme="majorBidi"/>
      <w:color w:val="595959" w:themeColor="text1" w:themeTint="A6"/>
    </w:rPr>
  </w:style>
  <w:style w:type="character" w:customStyle="1" w:styleId="90">
    <w:name w:val="标题 9 字符"/>
    <w:basedOn w:val="a0"/>
    <w:link w:val="9"/>
    <w:uiPriority w:val="9"/>
    <w:semiHidden/>
    <w:rsid w:val="00394609"/>
    <w:rPr>
      <w:rFonts w:eastAsiaTheme="majorEastAsia" w:cstheme="majorBidi"/>
      <w:color w:val="595959" w:themeColor="text1" w:themeTint="A6"/>
    </w:rPr>
  </w:style>
  <w:style w:type="paragraph" w:styleId="a3">
    <w:name w:val="Title"/>
    <w:basedOn w:val="a"/>
    <w:next w:val="a"/>
    <w:link w:val="a4"/>
    <w:uiPriority w:val="10"/>
    <w:qFormat/>
    <w:rsid w:val="0039460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946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460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9460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4609"/>
    <w:pPr>
      <w:spacing w:before="160"/>
      <w:jc w:val="center"/>
    </w:pPr>
    <w:rPr>
      <w:i/>
      <w:iCs/>
      <w:color w:val="404040" w:themeColor="text1" w:themeTint="BF"/>
    </w:rPr>
  </w:style>
  <w:style w:type="character" w:customStyle="1" w:styleId="a8">
    <w:name w:val="引用 字符"/>
    <w:basedOn w:val="a0"/>
    <w:link w:val="a7"/>
    <w:uiPriority w:val="29"/>
    <w:rsid w:val="00394609"/>
    <w:rPr>
      <w:i/>
      <w:iCs/>
      <w:color w:val="404040" w:themeColor="text1" w:themeTint="BF"/>
    </w:rPr>
  </w:style>
  <w:style w:type="paragraph" w:styleId="a9">
    <w:name w:val="List Paragraph"/>
    <w:basedOn w:val="a"/>
    <w:uiPriority w:val="34"/>
    <w:qFormat/>
    <w:rsid w:val="00394609"/>
    <w:pPr>
      <w:ind w:left="720"/>
      <w:contextualSpacing/>
    </w:pPr>
  </w:style>
  <w:style w:type="character" w:styleId="aa">
    <w:name w:val="Intense Emphasis"/>
    <w:basedOn w:val="a0"/>
    <w:uiPriority w:val="21"/>
    <w:qFormat/>
    <w:rsid w:val="00394609"/>
    <w:rPr>
      <w:i/>
      <w:iCs/>
      <w:color w:val="0F4761" w:themeColor="accent1" w:themeShade="BF"/>
    </w:rPr>
  </w:style>
  <w:style w:type="paragraph" w:styleId="ab">
    <w:name w:val="Intense Quote"/>
    <w:basedOn w:val="a"/>
    <w:next w:val="a"/>
    <w:link w:val="ac"/>
    <w:uiPriority w:val="30"/>
    <w:qFormat/>
    <w:rsid w:val="00394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94609"/>
    <w:rPr>
      <w:i/>
      <w:iCs/>
      <w:color w:val="0F4761" w:themeColor="accent1" w:themeShade="BF"/>
    </w:rPr>
  </w:style>
  <w:style w:type="character" w:styleId="ad">
    <w:name w:val="Intense Reference"/>
    <w:basedOn w:val="a0"/>
    <w:uiPriority w:val="32"/>
    <w:qFormat/>
    <w:rsid w:val="00394609"/>
    <w:rPr>
      <w:b/>
      <w:bCs/>
      <w:smallCaps/>
      <w:color w:val="0F4761" w:themeColor="accent1" w:themeShade="BF"/>
      <w:spacing w:val="5"/>
    </w:rPr>
  </w:style>
  <w:style w:type="paragraph" w:styleId="ae">
    <w:name w:val="header"/>
    <w:basedOn w:val="a"/>
    <w:link w:val="af"/>
    <w:uiPriority w:val="99"/>
    <w:unhideWhenUsed/>
    <w:rsid w:val="00305CCD"/>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305CCD"/>
    <w:rPr>
      <w:sz w:val="18"/>
      <w:szCs w:val="18"/>
    </w:rPr>
  </w:style>
  <w:style w:type="paragraph" w:styleId="af0">
    <w:name w:val="footer"/>
    <w:basedOn w:val="a"/>
    <w:link w:val="af1"/>
    <w:uiPriority w:val="99"/>
    <w:unhideWhenUsed/>
    <w:rsid w:val="00305CCD"/>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305CCD"/>
    <w:rPr>
      <w:sz w:val="18"/>
      <w:szCs w:val="18"/>
    </w:rPr>
  </w:style>
  <w:style w:type="table" w:styleId="af2">
    <w:name w:val="Table Grid"/>
    <w:basedOn w:val="a1"/>
    <w:uiPriority w:val="39"/>
    <w:rsid w:val="00305CCD"/>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next w:val="af2"/>
    <w:uiPriority w:val="39"/>
    <w:rsid w:val="00305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2117</Words>
  <Characters>15518</Characters>
  <Application>Microsoft Office Word</Application>
  <DocSecurity>0</DocSecurity>
  <Lines>1034</Lines>
  <Paragraphs>1037</Paragraphs>
  <ScaleCrop>false</ScaleCrop>
  <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xyjningbo@163.com</dc:creator>
  <cp:keywords/>
  <dc:description/>
  <cp:lastModifiedBy>xyjningbo@163.com</cp:lastModifiedBy>
  <cp:revision>2</cp:revision>
  <dcterms:created xsi:type="dcterms:W3CDTF">2026-09-29T11:49:00Z</dcterms:created>
  <dcterms:modified xsi:type="dcterms:W3CDTF">2026-09-29T11:52:00Z</dcterms:modified>
</cp:coreProperties>
</file>