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D5E09" w14:textId="617E4813" w:rsidR="005B4E4B" w:rsidRDefault="004E32B4">
      <w:pPr>
        <w:spacing w:before="120" w:after="40"/>
      </w:pPr>
      <w:r>
        <w:rPr>
          <w:b/>
          <w:sz w:val="21"/>
        </w:rPr>
        <w:t>Supplementary table 1</w:t>
      </w:r>
      <w:r w:rsidR="00000000">
        <w:rPr>
          <w:b/>
          <w:sz w:val="21"/>
        </w:rPr>
        <w:t>. Complete-case sensitivity analysis excluding the 4 post-HD examinations with collapsed IJV at rest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814"/>
        <w:gridCol w:w="2304"/>
        <w:gridCol w:w="2560"/>
        <w:gridCol w:w="2194"/>
      </w:tblGrid>
      <w:tr w:rsidR="005B4E4B" w14:paraId="6BDE76F3" w14:textId="77777777">
        <w:trPr>
          <w:tblHeader/>
          <w:jc w:val="center"/>
        </w:trPr>
        <w:tc>
          <w:tcPr>
            <w:tcW w:w="4176" w:type="dxa"/>
            <w:shd w:val="clear" w:color="auto" w:fill="D9EAF7"/>
            <w:vAlign w:val="center"/>
          </w:tcPr>
          <w:p w14:paraId="459D55BD" w14:textId="77777777" w:rsidR="005B4E4B" w:rsidRDefault="00000000">
            <w:r>
              <w:rPr>
                <w:b/>
                <w:sz w:val="17"/>
              </w:rPr>
              <w:t>Analysis</w:t>
            </w:r>
          </w:p>
        </w:tc>
        <w:tc>
          <w:tcPr>
            <w:tcW w:w="2448" w:type="dxa"/>
            <w:shd w:val="clear" w:color="auto" w:fill="D9EAF7"/>
            <w:vAlign w:val="center"/>
          </w:tcPr>
          <w:p w14:paraId="3FEEFEAA" w14:textId="77777777" w:rsidR="005B4E4B" w:rsidRDefault="00000000">
            <w:r>
              <w:rPr>
                <w:b/>
                <w:sz w:val="17"/>
              </w:rPr>
              <w:t>Full cohort (n=49)</w:t>
            </w:r>
          </w:p>
        </w:tc>
        <w:tc>
          <w:tcPr>
            <w:tcW w:w="2736" w:type="dxa"/>
            <w:shd w:val="clear" w:color="auto" w:fill="D9EAF7"/>
            <w:vAlign w:val="center"/>
          </w:tcPr>
          <w:p w14:paraId="4EAC92C7" w14:textId="77777777" w:rsidR="005B4E4B" w:rsidRDefault="00000000">
            <w:r>
              <w:rPr>
                <w:b/>
                <w:sz w:val="17"/>
              </w:rPr>
              <w:t>Complete-case cohort (n=45)</w:t>
            </w:r>
          </w:p>
        </w:tc>
        <w:tc>
          <w:tcPr>
            <w:tcW w:w="2304" w:type="dxa"/>
            <w:shd w:val="clear" w:color="auto" w:fill="D9EAF7"/>
            <w:vAlign w:val="center"/>
          </w:tcPr>
          <w:p w14:paraId="4D87C006" w14:textId="77777777" w:rsidR="005B4E4B" w:rsidRDefault="00000000">
            <w:r>
              <w:rPr>
                <w:b/>
                <w:sz w:val="17"/>
              </w:rPr>
              <w:t>Interpretation</w:t>
            </w:r>
          </w:p>
        </w:tc>
      </w:tr>
      <w:tr w:rsidR="005B4E4B" w14:paraId="33B8D63C" w14:textId="77777777">
        <w:trPr>
          <w:jc w:val="center"/>
        </w:trPr>
        <w:tc>
          <w:tcPr>
            <w:tcW w:w="4176" w:type="dxa"/>
            <w:vAlign w:val="center"/>
          </w:tcPr>
          <w:p w14:paraId="50864123" w14:textId="77777777" w:rsidR="005B4E4B" w:rsidRDefault="00000000">
            <w:r>
              <w:rPr>
                <w:sz w:val="17"/>
              </w:rPr>
              <w:t>Pre-HD collapsed IJV at rest</w:t>
            </w:r>
          </w:p>
        </w:tc>
        <w:tc>
          <w:tcPr>
            <w:tcW w:w="2448" w:type="dxa"/>
            <w:vAlign w:val="center"/>
          </w:tcPr>
          <w:p w14:paraId="497DB51B" w14:textId="77777777" w:rsidR="005B4E4B" w:rsidRDefault="00000000">
            <w:r>
              <w:rPr>
                <w:sz w:val="17"/>
              </w:rPr>
              <w:t>0</w:t>
            </w:r>
          </w:p>
        </w:tc>
        <w:tc>
          <w:tcPr>
            <w:tcW w:w="2736" w:type="dxa"/>
            <w:vAlign w:val="center"/>
          </w:tcPr>
          <w:p w14:paraId="76999B08" w14:textId="77777777" w:rsidR="005B4E4B" w:rsidRDefault="00000000">
            <w:r>
              <w:rPr>
                <w:sz w:val="17"/>
              </w:rPr>
              <w:t>0</w:t>
            </w:r>
          </w:p>
        </w:tc>
        <w:tc>
          <w:tcPr>
            <w:tcW w:w="2304" w:type="dxa"/>
            <w:vAlign w:val="center"/>
          </w:tcPr>
          <w:p w14:paraId="7DDD7405" w14:textId="77777777" w:rsidR="005B4E4B" w:rsidRDefault="00000000">
            <w:r>
              <w:rPr>
                <w:sz w:val="17"/>
              </w:rPr>
              <w:t>Main pre-HD ratio analyses unaffected by arbitrary constants</w:t>
            </w:r>
          </w:p>
        </w:tc>
      </w:tr>
      <w:tr w:rsidR="005B4E4B" w14:paraId="44817A38" w14:textId="77777777">
        <w:trPr>
          <w:jc w:val="center"/>
        </w:trPr>
        <w:tc>
          <w:tcPr>
            <w:tcW w:w="4176" w:type="dxa"/>
            <w:vAlign w:val="center"/>
          </w:tcPr>
          <w:p w14:paraId="54FF7D5C" w14:textId="77777777" w:rsidR="005B4E4B" w:rsidRDefault="00000000">
            <w:r>
              <w:rPr>
                <w:sz w:val="17"/>
              </w:rPr>
              <w:t>Post-HD collapsed IJV at rest</w:t>
            </w:r>
          </w:p>
        </w:tc>
        <w:tc>
          <w:tcPr>
            <w:tcW w:w="2448" w:type="dxa"/>
            <w:vAlign w:val="center"/>
          </w:tcPr>
          <w:p w14:paraId="687909C9" w14:textId="77777777" w:rsidR="005B4E4B" w:rsidRDefault="00000000">
            <w:r>
              <w:rPr>
                <w:sz w:val="17"/>
              </w:rPr>
              <w:t>4</w:t>
            </w:r>
          </w:p>
        </w:tc>
        <w:tc>
          <w:tcPr>
            <w:tcW w:w="2736" w:type="dxa"/>
            <w:vAlign w:val="center"/>
          </w:tcPr>
          <w:p w14:paraId="06795C49" w14:textId="77777777" w:rsidR="005B4E4B" w:rsidRDefault="00000000">
            <w:r>
              <w:rPr>
                <w:sz w:val="17"/>
              </w:rPr>
              <w:t>Excluded</w:t>
            </w:r>
          </w:p>
        </w:tc>
        <w:tc>
          <w:tcPr>
            <w:tcW w:w="2304" w:type="dxa"/>
            <w:vAlign w:val="center"/>
          </w:tcPr>
          <w:p w14:paraId="78D5FE16" w14:textId="77777777" w:rsidR="005B4E4B" w:rsidRDefault="00000000">
            <w:r>
              <w:rPr>
                <w:sz w:val="17"/>
              </w:rPr>
              <w:t>Sensitivity set</w:t>
            </w:r>
          </w:p>
        </w:tc>
      </w:tr>
      <w:tr w:rsidR="005B4E4B" w14:paraId="07791A7A" w14:textId="77777777">
        <w:trPr>
          <w:jc w:val="center"/>
        </w:trPr>
        <w:tc>
          <w:tcPr>
            <w:tcW w:w="4176" w:type="dxa"/>
            <w:vAlign w:val="center"/>
          </w:tcPr>
          <w:p w14:paraId="363A834C" w14:textId="77777777" w:rsidR="005B4E4B" w:rsidRDefault="00000000">
            <w:r>
              <w:rPr>
                <w:sz w:val="17"/>
              </w:rPr>
              <w:t>JVD Ratio, pre vs post</w:t>
            </w:r>
          </w:p>
        </w:tc>
        <w:tc>
          <w:tcPr>
            <w:tcW w:w="2448" w:type="dxa"/>
            <w:vAlign w:val="center"/>
          </w:tcPr>
          <w:p w14:paraId="7DCBC2FD" w14:textId="77777777" w:rsidR="005B4E4B" w:rsidRDefault="00000000">
            <w:r>
              <w:rPr>
                <w:sz w:val="17"/>
              </w:rPr>
              <w:t>1.52 → 2.62, p = 4.24e-09</w:t>
            </w:r>
          </w:p>
        </w:tc>
        <w:tc>
          <w:tcPr>
            <w:tcW w:w="2736" w:type="dxa"/>
            <w:vAlign w:val="center"/>
          </w:tcPr>
          <w:p w14:paraId="0D044F96" w14:textId="77777777" w:rsidR="005B4E4B" w:rsidRDefault="00000000">
            <w:r>
              <w:rPr>
                <w:sz w:val="17"/>
              </w:rPr>
              <w:t>1.51 → 2.36, p = 6.65e-08</w:t>
            </w:r>
          </w:p>
        </w:tc>
        <w:tc>
          <w:tcPr>
            <w:tcW w:w="2304" w:type="dxa"/>
            <w:vAlign w:val="center"/>
          </w:tcPr>
          <w:p w14:paraId="796DE1B7" w14:textId="77777777" w:rsidR="005B4E4B" w:rsidRDefault="00000000">
            <w:r>
              <w:rPr>
                <w:sz w:val="17"/>
              </w:rPr>
              <w:t>Remained significant</w:t>
            </w:r>
          </w:p>
        </w:tc>
      </w:tr>
      <w:tr w:rsidR="005B4E4B" w14:paraId="1DFF0203" w14:textId="77777777">
        <w:trPr>
          <w:jc w:val="center"/>
        </w:trPr>
        <w:tc>
          <w:tcPr>
            <w:tcW w:w="4176" w:type="dxa"/>
            <w:vAlign w:val="center"/>
          </w:tcPr>
          <w:p w14:paraId="4BF96A80" w14:textId="77777777" w:rsidR="005B4E4B" w:rsidRDefault="00000000">
            <w:r>
              <w:rPr>
                <w:sz w:val="17"/>
              </w:rPr>
              <w:t>CSA Ratio, pre vs post</w:t>
            </w:r>
          </w:p>
        </w:tc>
        <w:tc>
          <w:tcPr>
            <w:tcW w:w="2448" w:type="dxa"/>
            <w:vAlign w:val="center"/>
          </w:tcPr>
          <w:p w14:paraId="3A778279" w14:textId="77777777" w:rsidR="005B4E4B" w:rsidRDefault="00000000">
            <w:r>
              <w:rPr>
                <w:sz w:val="17"/>
              </w:rPr>
              <w:t>2.28 → 4.29, p = 1.02e-06</w:t>
            </w:r>
          </w:p>
        </w:tc>
        <w:tc>
          <w:tcPr>
            <w:tcW w:w="2736" w:type="dxa"/>
            <w:vAlign w:val="center"/>
          </w:tcPr>
          <w:p w14:paraId="15D52ADC" w14:textId="77777777" w:rsidR="005B4E4B" w:rsidRDefault="00000000">
            <w:r>
              <w:rPr>
                <w:sz w:val="17"/>
              </w:rPr>
              <w:t>1.94 → 3.91, p = 1.44e-05</w:t>
            </w:r>
          </w:p>
        </w:tc>
        <w:tc>
          <w:tcPr>
            <w:tcW w:w="2304" w:type="dxa"/>
            <w:vAlign w:val="center"/>
          </w:tcPr>
          <w:p w14:paraId="2DD9F7AA" w14:textId="77777777" w:rsidR="005B4E4B" w:rsidRDefault="00000000">
            <w:r>
              <w:rPr>
                <w:sz w:val="17"/>
              </w:rPr>
              <w:t>Remained significant</w:t>
            </w:r>
          </w:p>
        </w:tc>
      </w:tr>
      <w:tr w:rsidR="005B4E4B" w14:paraId="3316EC5E" w14:textId="77777777">
        <w:trPr>
          <w:jc w:val="center"/>
        </w:trPr>
        <w:tc>
          <w:tcPr>
            <w:tcW w:w="4176" w:type="dxa"/>
            <w:vAlign w:val="center"/>
          </w:tcPr>
          <w:p w14:paraId="5AFCEAFB" w14:textId="77777777" w:rsidR="005B4E4B" w:rsidRDefault="00000000">
            <w:r>
              <w:rPr>
                <w:sz w:val="17"/>
              </w:rPr>
              <w:t>JCI, pre vs post</w:t>
            </w:r>
          </w:p>
        </w:tc>
        <w:tc>
          <w:tcPr>
            <w:tcW w:w="2448" w:type="dxa"/>
            <w:vAlign w:val="center"/>
          </w:tcPr>
          <w:p w14:paraId="33CF7A5F" w14:textId="77777777" w:rsidR="005B4E4B" w:rsidRDefault="00000000">
            <w:r>
              <w:rPr>
                <w:sz w:val="17"/>
              </w:rPr>
              <w:t>37.14 → 100.00, p = 7.30e-05</w:t>
            </w:r>
          </w:p>
        </w:tc>
        <w:tc>
          <w:tcPr>
            <w:tcW w:w="2736" w:type="dxa"/>
            <w:vAlign w:val="center"/>
          </w:tcPr>
          <w:p w14:paraId="39966A86" w14:textId="77777777" w:rsidR="005B4E4B" w:rsidRDefault="00000000">
            <w:r>
              <w:rPr>
                <w:sz w:val="17"/>
              </w:rPr>
              <w:t>33.33 → 67.19, p = 1.23e-04</w:t>
            </w:r>
          </w:p>
        </w:tc>
        <w:tc>
          <w:tcPr>
            <w:tcW w:w="2304" w:type="dxa"/>
            <w:vAlign w:val="center"/>
          </w:tcPr>
          <w:p w14:paraId="5A81729E" w14:textId="77777777" w:rsidR="005B4E4B" w:rsidRDefault="00000000">
            <w:r>
              <w:rPr>
                <w:sz w:val="17"/>
              </w:rPr>
              <w:t>Remained significant</w:t>
            </w:r>
          </w:p>
        </w:tc>
      </w:tr>
      <w:tr w:rsidR="005B4E4B" w14:paraId="15411990" w14:textId="77777777">
        <w:trPr>
          <w:jc w:val="center"/>
        </w:trPr>
        <w:tc>
          <w:tcPr>
            <w:tcW w:w="4176" w:type="dxa"/>
            <w:vAlign w:val="center"/>
          </w:tcPr>
          <w:p w14:paraId="1176AB3E" w14:textId="77777777" w:rsidR="005B4E4B" w:rsidRDefault="00000000">
            <w:r>
              <w:rPr>
                <w:sz w:val="17"/>
              </w:rPr>
              <w:t>Post-HD JVD Ratio / CSA Ratio / JCI vs UF or UF Rate</w:t>
            </w:r>
          </w:p>
        </w:tc>
        <w:tc>
          <w:tcPr>
            <w:tcW w:w="2448" w:type="dxa"/>
            <w:vAlign w:val="center"/>
          </w:tcPr>
          <w:p w14:paraId="10941BE1" w14:textId="77777777" w:rsidR="005B4E4B" w:rsidRDefault="00000000">
            <w:r>
              <w:rPr>
                <w:sz w:val="17"/>
              </w:rPr>
              <w:t>No significant associations</w:t>
            </w:r>
          </w:p>
        </w:tc>
        <w:tc>
          <w:tcPr>
            <w:tcW w:w="2736" w:type="dxa"/>
            <w:vAlign w:val="center"/>
          </w:tcPr>
          <w:p w14:paraId="1CFE3C9D" w14:textId="77777777" w:rsidR="005B4E4B" w:rsidRDefault="00000000">
            <w:r>
              <w:rPr>
                <w:sz w:val="17"/>
              </w:rPr>
              <w:t>No significant associations</w:t>
            </w:r>
          </w:p>
        </w:tc>
        <w:tc>
          <w:tcPr>
            <w:tcW w:w="2304" w:type="dxa"/>
            <w:vAlign w:val="center"/>
          </w:tcPr>
          <w:p w14:paraId="60681D83" w14:textId="77777777" w:rsidR="005B4E4B" w:rsidRDefault="00000000">
            <w:r>
              <w:rPr>
                <w:sz w:val="17"/>
              </w:rPr>
              <w:t>Unchanged</w:t>
            </w:r>
          </w:p>
        </w:tc>
      </w:tr>
      <w:tr w:rsidR="005B4E4B" w14:paraId="6980D44A" w14:textId="77777777">
        <w:trPr>
          <w:jc w:val="center"/>
        </w:trPr>
        <w:tc>
          <w:tcPr>
            <w:tcW w:w="4176" w:type="dxa"/>
            <w:vAlign w:val="center"/>
          </w:tcPr>
          <w:p w14:paraId="7D7E5D29" w14:textId="77777777" w:rsidR="005B4E4B" w:rsidRDefault="00000000">
            <w:r>
              <w:rPr>
                <w:sz w:val="17"/>
              </w:rPr>
              <w:t>% change in JVD Ratio / CSA Ratio / JCI vs UF or UF Rate</w:t>
            </w:r>
          </w:p>
        </w:tc>
        <w:tc>
          <w:tcPr>
            <w:tcW w:w="2448" w:type="dxa"/>
            <w:vAlign w:val="center"/>
          </w:tcPr>
          <w:p w14:paraId="73C8E268" w14:textId="77777777" w:rsidR="005B4E4B" w:rsidRDefault="00000000">
            <w:r>
              <w:rPr>
                <w:sz w:val="17"/>
              </w:rPr>
              <w:t>No significant associations</w:t>
            </w:r>
          </w:p>
        </w:tc>
        <w:tc>
          <w:tcPr>
            <w:tcW w:w="2736" w:type="dxa"/>
            <w:vAlign w:val="center"/>
          </w:tcPr>
          <w:p w14:paraId="7CA29B00" w14:textId="77777777" w:rsidR="005B4E4B" w:rsidRDefault="00000000">
            <w:r>
              <w:rPr>
                <w:sz w:val="17"/>
              </w:rPr>
              <w:t>No significant associations</w:t>
            </w:r>
          </w:p>
        </w:tc>
        <w:tc>
          <w:tcPr>
            <w:tcW w:w="2304" w:type="dxa"/>
            <w:vAlign w:val="center"/>
          </w:tcPr>
          <w:p w14:paraId="05214C82" w14:textId="77777777" w:rsidR="005B4E4B" w:rsidRDefault="00000000">
            <w:r>
              <w:rPr>
                <w:sz w:val="17"/>
              </w:rPr>
              <w:t>Unchanged</w:t>
            </w:r>
          </w:p>
        </w:tc>
      </w:tr>
    </w:tbl>
    <w:p w14:paraId="57160FD0" w14:textId="77777777" w:rsidR="004E32B4" w:rsidRDefault="004E32B4">
      <w:pPr>
        <w:spacing w:before="120" w:after="40"/>
        <w:rPr>
          <w:b/>
        </w:rPr>
      </w:pPr>
    </w:p>
    <w:p w14:paraId="251B8A35" w14:textId="1B9B6F20" w:rsidR="005B4E4B" w:rsidRDefault="004E32B4">
      <w:pPr>
        <w:spacing w:before="120" w:after="40"/>
      </w:pPr>
      <w:r>
        <w:rPr>
          <w:b/>
          <w:sz w:val="21"/>
        </w:rPr>
        <w:t>Supplementary table 2</w:t>
      </w:r>
      <w:r w:rsidR="00000000">
        <w:rPr>
          <w:b/>
          <w:sz w:val="21"/>
        </w:rPr>
        <w:t>. Alternative denominator-free analysis using absolute distension indices</w:t>
      </w:r>
    </w:p>
    <w:p w14:paraId="2C91EB12" w14:textId="77777777" w:rsidR="005B4E4B" w:rsidRDefault="00000000">
      <w:pPr>
        <w:spacing w:after="40"/>
      </w:pPr>
      <w:r>
        <w:rPr>
          <w:b/>
        </w:rPr>
        <w:t xml:space="preserve">Definitions: </w:t>
      </w:r>
      <w:r>
        <w:t>AP Distension = AP Valsalva − AP Resting; CSA Distension = CSA Valsalva − CSA Resting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74"/>
        <w:gridCol w:w="2683"/>
        <w:gridCol w:w="1288"/>
        <w:gridCol w:w="1138"/>
        <w:gridCol w:w="1138"/>
        <w:gridCol w:w="1136"/>
        <w:gridCol w:w="1715"/>
      </w:tblGrid>
      <w:tr w:rsidR="005B4E4B" w14:paraId="587BD3AE" w14:textId="77777777">
        <w:trPr>
          <w:tblHeader/>
          <w:jc w:val="center"/>
        </w:trPr>
        <w:tc>
          <w:tcPr>
            <w:tcW w:w="1800" w:type="dxa"/>
            <w:shd w:val="clear" w:color="auto" w:fill="D9EAF7"/>
            <w:vAlign w:val="center"/>
          </w:tcPr>
          <w:p w14:paraId="74F3E6E1" w14:textId="77777777" w:rsidR="005B4E4B" w:rsidRDefault="00000000">
            <w:r>
              <w:rPr>
                <w:b/>
                <w:sz w:val="17"/>
              </w:rPr>
              <w:t>Variable</w:t>
            </w:r>
          </w:p>
        </w:tc>
        <w:tc>
          <w:tcPr>
            <w:tcW w:w="2736" w:type="dxa"/>
            <w:shd w:val="clear" w:color="auto" w:fill="D9EAF7"/>
            <w:vAlign w:val="center"/>
          </w:tcPr>
          <w:p w14:paraId="4BED41AB" w14:textId="77777777" w:rsidR="005B4E4B" w:rsidRDefault="00000000">
            <w:r>
              <w:rPr>
                <w:b/>
                <w:sz w:val="17"/>
              </w:rPr>
              <w:t>Endpoint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67FD27BE" w14:textId="77777777" w:rsidR="005B4E4B" w:rsidRDefault="00000000">
            <w:r>
              <w:rPr>
                <w:b/>
                <w:sz w:val="17"/>
              </w:rPr>
              <w:t>Spearman rho</w:t>
            </w:r>
          </w:p>
        </w:tc>
        <w:tc>
          <w:tcPr>
            <w:tcW w:w="1152" w:type="dxa"/>
            <w:shd w:val="clear" w:color="auto" w:fill="D9EAF7"/>
            <w:vAlign w:val="center"/>
          </w:tcPr>
          <w:p w14:paraId="75EA9011" w14:textId="77777777" w:rsidR="005B4E4B" w:rsidRDefault="00000000">
            <w:r>
              <w:rPr>
                <w:b/>
                <w:sz w:val="17"/>
              </w:rPr>
              <w:t>Raw p</w:t>
            </w:r>
          </w:p>
        </w:tc>
        <w:tc>
          <w:tcPr>
            <w:tcW w:w="1152" w:type="dxa"/>
            <w:shd w:val="clear" w:color="auto" w:fill="D9EAF7"/>
            <w:vAlign w:val="center"/>
          </w:tcPr>
          <w:p w14:paraId="42A5D988" w14:textId="77777777" w:rsidR="005B4E4B" w:rsidRDefault="00000000">
            <w:r>
              <w:rPr>
                <w:b/>
                <w:sz w:val="17"/>
              </w:rPr>
              <w:t>BH-FDR q</w:t>
            </w:r>
          </w:p>
        </w:tc>
        <w:tc>
          <w:tcPr>
            <w:tcW w:w="1152" w:type="dxa"/>
            <w:shd w:val="clear" w:color="auto" w:fill="D9EAF7"/>
            <w:vAlign w:val="center"/>
          </w:tcPr>
          <w:p w14:paraId="6F970BE6" w14:textId="77777777" w:rsidR="005B4E4B" w:rsidRDefault="00000000">
            <w:r>
              <w:rPr>
                <w:b/>
                <w:sz w:val="17"/>
              </w:rPr>
              <w:t>Holm p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10B05A10" w14:textId="77777777" w:rsidR="005B4E4B" w:rsidRDefault="00000000">
            <w:r>
              <w:rPr>
                <w:b/>
                <w:sz w:val="17"/>
              </w:rPr>
              <w:t>Interpretation</w:t>
            </w:r>
          </w:p>
        </w:tc>
      </w:tr>
      <w:tr w:rsidR="005B4E4B" w14:paraId="52CA9752" w14:textId="77777777">
        <w:trPr>
          <w:jc w:val="center"/>
        </w:trPr>
        <w:tc>
          <w:tcPr>
            <w:tcW w:w="1800" w:type="dxa"/>
            <w:vAlign w:val="center"/>
          </w:tcPr>
          <w:p w14:paraId="21749913" w14:textId="77777777" w:rsidR="005B4E4B" w:rsidRDefault="00000000">
            <w:r>
              <w:rPr>
                <w:sz w:val="17"/>
              </w:rPr>
              <w:t>AP Distension Pre</w:t>
            </w:r>
          </w:p>
        </w:tc>
        <w:tc>
          <w:tcPr>
            <w:tcW w:w="2736" w:type="dxa"/>
            <w:vAlign w:val="center"/>
          </w:tcPr>
          <w:p w14:paraId="11211FBC" w14:textId="77777777" w:rsidR="005B4E4B" w:rsidRDefault="00000000">
            <w:r>
              <w:rPr>
                <w:sz w:val="17"/>
              </w:rPr>
              <w:t>Interdialytic Weight Gain</w:t>
            </w:r>
          </w:p>
        </w:tc>
        <w:tc>
          <w:tcPr>
            <w:tcW w:w="1296" w:type="dxa"/>
            <w:vAlign w:val="center"/>
          </w:tcPr>
          <w:p w14:paraId="3ECB1AC1" w14:textId="77777777" w:rsidR="005B4E4B" w:rsidRDefault="00000000">
            <w:r>
              <w:rPr>
                <w:sz w:val="17"/>
              </w:rPr>
              <w:t>-0.301</w:t>
            </w:r>
          </w:p>
        </w:tc>
        <w:tc>
          <w:tcPr>
            <w:tcW w:w="1152" w:type="dxa"/>
            <w:vAlign w:val="center"/>
          </w:tcPr>
          <w:p w14:paraId="10CE4571" w14:textId="77777777" w:rsidR="005B4E4B" w:rsidRDefault="00000000">
            <w:r>
              <w:rPr>
                <w:sz w:val="17"/>
              </w:rPr>
              <w:t>0.035</w:t>
            </w:r>
          </w:p>
        </w:tc>
        <w:tc>
          <w:tcPr>
            <w:tcW w:w="1152" w:type="dxa"/>
            <w:vAlign w:val="center"/>
          </w:tcPr>
          <w:p w14:paraId="544AC608" w14:textId="77777777" w:rsidR="005B4E4B" w:rsidRDefault="00000000">
            <w:r>
              <w:rPr>
                <w:sz w:val="17"/>
              </w:rPr>
              <w:t>0.039</w:t>
            </w:r>
          </w:p>
        </w:tc>
        <w:tc>
          <w:tcPr>
            <w:tcW w:w="1152" w:type="dxa"/>
            <w:vAlign w:val="center"/>
          </w:tcPr>
          <w:p w14:paraId="539C13C5" w14:textId="77777777" w:rsidR="005B4E4B" w:rsidRDefault="00000000">
            <w:r>
              <w:rPr>
                <w:sz w:val="17"/>
              </w:rPr>
              <w:t>0.071</w:t>
            </w:r>
          </w:p>
        </w:tc>
        <w:tc>
          <w:tcPr>
            <w:tcW w:w="1728" w:type="dxa"/>
            <w:vAlign w:val="center"/>
          </w:tcPr>
          <w:p w14:paraId="25AF57DE" w14:textId="77777777" w:rsidR="005B4E4B" w:rsidRDefault="00000000">
            <w:r>
              <w:rPr>
                <w:sz w:val="17"/>
              </w:rPr>
              <w:t>Significant after FDR only</w:t>
            </w:r>
          </w:p>
        </w:tc>
      </w:tr>
      <w:tr w:rsidR="005B4E4B" w14:paraId="4606903A" w14:textId="77777777">
        <w:trPr>
          <w:jc w:val="center"/>
        </w:trPr>
        <w:tc>
          <w:tcPr>
            <w:tcW w:w="1800" w:type="dxa"/>
            <w:vAlign w:val="center"/>
          </w:tcPr>
          <w:p w14:paraId="411BFD0E" w14:textId="77777777" w:rsidR="005B4E4B" w:rsidRDefault="00000000">
            <w:r>
              <w:rPr>
                <w:sz w:val="17"/>
              </w:rPr>
              <w:t>AP Distension Pre</w:t>
            </w:r>
          </w:p>
        </w:tc>
        <w:tc>
          <w:tcPr>
            <w:tcW w:w="2736" w:type="dxa"/>
            <w:vAlign w:val="center"/>
          </w:tcPr>
          <w:p w14:paraId="69C7DAE0" w14:textId="77777777" w:rsidR="005B4E4B" w:rsidRDefault="00000000">
            <w:r>
              <w:rPr>
                <w:sz w:val="17"/>
              </w:rPr>
              <w:t>Delta on Dry Weight (Kg)</w:t>
            </w:r>
          </w:p>
        </w:tc>
        <w:tc>
          <w:tcPr>
            <w:tcW w:w="1296" w:type="dxa"/>
            <w:vAlign w:val="center"/>
          </w:tcPr>
          <w:p w14:paraId="3324A695" w14:textId="77777777" w:rsidR="005B4E4B" w:rsidRDefault="00000000">
            <w:r>
              <w:rPr>
                <w:sz w:val="17"/>
              </w:rPr>
              <w:t>-0.487</w:t>
            </w:r>
          </w:p>
        </w:tc>
        <w:tc>
          <w:tcPr>
            <w:tcW w:w="1152" w:type="dxa"/>
            <w:vAlign w:val="center"/>
          </w:tcPr>
          <w:p w14:paraId="2017687D" w14:textId="77777777" w:rsidR="005B4E4B" w:rsidRDefault="00000000">
            <w:r>
              <w:rPr>
                <w:sz w:val="17"/>
              </w:rPr>
              <w:t>3.83e-04</w:t>
            </w:r>
          </w:p>
        </w:tc>
        <w:tc>
          <w:tcPr>
            <w:tcW w:w="1152" w:type="dxa"/>
            <w:vAlign w:val="center"/>
          </w:tcPr>
          <w:p w14:paraId="3D104C64" w14:textId="77777777" w:rsidR="005B4E4B" w:rsidRDefault="00000000">
            <w:r>
              <w:rPr>
                <w:sz w:val="17"/>
              </w:rPr>
              <w:t>9.19e-04</w:t>
            </w:r>
          </w:p>
        </w:tc>
        <w:tc>
          <w:tcPr>
            <w:tcW w:w="1152" w:type="dxa"/>
            <w:vAlign w:val="center"/>
          </w:tcPr>
          <w:p w14:paraId="354F6F05" w14:textId="77777777" w:rsidR="005B4E4B" w:rsidRDefault="00000000">
            <w:r>
              <w:rPr>
                <w:sz w:val="17"/>
              </w:rPr>
              <w:t>0.003</w:t>
            </w:r>
          </w:p>
        </w:tc>
        <w:tc>
          <w:tcPr>
            <w:tcW w:w="1728" w:type="dxa"/>
            <w:vAlign w:val="center"/>
          </w:tcPr>
          <w:p w14:paraId="4362F2BA" w14:textId="77777777" w:rsidR="005B4E4B" w:rsidRDefault="00000000">
            <w:r>
              <w:rPr>
                <w:sz w:val="17"/>
              </w:rPr>
              <w:t>Robust</w:t>
            </w:r>
          </w:p>
        </w:tc>
      </w:tr>
      <w:tr w:rsidR="005B4E4B" w14:paraId="3BB35537" w14:textId="77777777">
        <w:trPr>
          <w:jc w:val="center"/>
        </w:trPr>
        <w:tc>
          <w:tcPr>
            <w:tcW w:w="1800" w:type="dxa"/>
            <w:vAlign w:val="center"/>
          </w:tcPr>
          <w:p w14:paraId="04D7E5ED" w14:textId="77777777" w:rsidR="005B4E4B" w:rsidRDefault="00000000">
            <w:r>
              <w:rPr>
                <w:sz w:val="17"/>
              </w:rPr>
              <w:t>AP Distension Pre</w:t>
            </w:r>
          </w:p>
        </w:tc>
        <w:tc>
          <w:tcPr>
            <w:tcW w:w="2736" w:type="dxa"/>
            <w:vAlign w:val="center"/>
          </w:tcPr>
          <w:p w14:paraId="699C7B4E" w14:textId="77777777" w:rsidR="005B4E4B" w:rsidRDefault="00000000">
            <w:r>
              <w:rPr>
                <w:sz w:val="17"/>
              </w:rPr>
              <w:t>Delta on Dry Weight (%)</w:t>
            </w:r>
          </w:p>
        </w:tc>
        <w:tc>
          <w:tcPr>
            <w:tcW w:w="1296" w:type="dxa"/>
            <w:vAlign w:val="center"/>
          </w:tcPr>
          <w:p w14:paraId="333340BE" w14:textId="77777777" w:rsidR="005B4E4B" w:rsidRDefault="00000000">
            <w:r>
              <w:rPr>
                <w:sz w:val="17"/>
              </w:rPr>
              <w:t>-0.468</w:t>
            </w:r>
          </w:p>
        </w:tc>
        <w:tc>
          <w:tcPr>
            <w:tcW w:w="1152" w:type="dxa"/>
            <w:vAlign w:val="center"/>
          </w:tcPr>
          <w:p w14:paraId="504797F5" w14:textId="77777777" w:rsidR="005B4E4B" w:rsidRDefault="00000000">
            <w:r>
              <w:rPr>
                <w:sz w:val="17"/>
              </w:rPr>
              <w:t>6.88e-04</w:t>
            </w:r>
          </w:p>
        </w:tc>
        <w:tc>
          <w:tcPr>
            <w:tcW w:w="1152" w:type="dxa"/>
            <w:vAlign w:val="center"/>
          </w:tcPr>
          <w:p w14:paraId="659D7129" w14:textId="77777777" w:rsidR="005B4E4B" w:rsidRDefault="00000000">
            <w:r>
              <w:rPr>
                <w:sz w:val="17"/>
              </w:rPr>
              <w:t>0.001</w:t>
            </w:r>
          </w:p>
        </w:tc>
        <w:tc>
          <w:tcPr>
            <w:tcW w:w="1152" w:type="dxa"/>
            <w:vAlign w:val="center"/>
          </w:tcPr>
          <w:p w14:paraId="640B25F5" w14:textId="77777777" w:rsidR="005B4E4B" w:rsidRDefault="00000000">
            <w:r>
              <w:rPr>
                <w:sz w:val="17"/>
              </w:rPr>
              <w:t>0.005</w:t>
            </w:r>
          </w:p>
        </w:tc>
        <w:tc>
          <w:tcPr>
            <w:tcW w:w="1728" w:type="dxa"/>
            <w:vAlign w:val="center"/>
          </w:tcPr>
          <w:p w14:paraId="1ABC0FB5" w14:textId="77777777" w:rsidR="005B4E4B" w:rsidRDefault="00000000">
            <w:r>
              <w:rPr>
                <w:sz w:val="17"/>
              </w:rPr>
              <w:t>Robust</w:t>
            </w:r>
          </w:p>
        </w:tc>
      </w:tr>
      <w:tr w:rsidR="005B4E4B" w14:paraId="55223F18" w14:textId="77777777">
        <w:trPr>
          <w:jc w:val="center"/>
        </w:trPr>
        <w:tc>
          <w:tcPr>
            <w:tcW w:w="1800" w:type="dxa"/>
            <w:vAlign w:val="center"/>
          </w:tcPr>
          <w:p w14:paraId="69D8FD3D" w14:textId="77777777" w:rsidR="005B4E4B" w:rsidRDefault="00000000">
            <w:r>
              <w:rPr>
                <w:sz w:val="17"/>
              </w:rPr>
              <w:t>CSA Distension Pre</w:t>
            </w:r>
          </w:p>
        </w:tc>
        <w:tc>
          <w:tcPr>
            <w:tcW w:w="2736" w:type="dxa"/>
            <w:vAlign w:val="center"/>
          </w:tcPr>
          <w:p w14:paraId="4477FA55" w14:textId="77777777" w:rsidR="005B4E4B" w:rsidRDefault="00000000">
            <w:r>
              <w:rPr>
                <w:sz w:val="17"/>
              </w:rPr>
              <w:t>Interdialytic Weight Gain</w:t>
            </w:r>
          </w:p>
        </w:tc>
        <w:tc>
          <w:tcPr>
            <w:tcW w:w="1296" w:type="dxa"/>
            <w:vAlign w:val="center"/>
          </w:tcPr>
          <w:p w14:paraId="49CB5B4E" w14:textId="77777777" w:rsidR="005B4E4B" w:rsidRDefault="00000000">
            <w:r>
              <w:rPr>
                <w:sz w:val="17"/>
              </w:rPr>
              <w:t>-0.234</w:t>
            </w:r>
          </w:p>
        </w:tc>
        <w:tc>
          <w:tcPr>
            <w:tcW w:w="1152" w:type="dxa"/>
            <w:vAlign w:val="center"/>
          </w:tcPr>
          <w:p w14:paraId="197AA3AB" w14:textId="77777777" w:rsidR="005B4E4B" w:rsidRDefault="00000000">
            <w:r>
              <w:rPr>
                <w:sz w:val="17"/>
              </w:rPr>
              <w:t>0.106</w:t>
            </w:r>
          </w:p>
        </w:tc>
        <w:tc>
          <w:tcPr>
            <w:tcW w:w="1152" w:type="dxa"/>
            <w:vAlign w:val="center"/>
          </w:tcPr>
          <w:p w14:paraId="10E592EB" w14:textId="77777777" w:rsidR="005B4E4B" w:rsidRDefault="00000000">
            <w:r>
              <w:rPr>
                <w:sz w:val="17"/>
              </w:rPr>
              <w:t>0.106</w:t>
            </w:r>
          </w:p>
        </w:tc>
        <w:tc>
          <w:tcPr>
            <w:tcW w:w="1152" w:type="dxa"/>
            <w:vAlign w:val="center"/>
          </w:tcPr>
          <w:p w14:paraId="5241F2E6" w14:textId="77777777" w:rsidR="005B4E4B" w:rsidRDefault="00000000">
            <w:r>
              <w:rPr>
                <w:sz w:val="17"/>
              </w:rPr>
              <w:t>0.106</w:t>
            </w:r>
          </w:p>
        </w:tc>
        <w:tc>
          <w:tcPr>
            <w:tcW w:w="1728" w:type="dxa"/>
            <w:vAlign w:val="center"/>
          </w:tcPr>
          <w:p w14:paraId="47103DDE" w14:textId="77777777" w:rsidR="005B4E4B" w:rsidRDefault="00000000">
            <w:r>
              <w:rPr>
                <w:sz w:val="17"/>
              </w:rPr>
              <w:t>Not significant</w:t>
            </w:r>
          </w:p>
        </w:tc>
      </w:tr>
      <w:tr w:rsidR="005B4E4B" w14:paraId="16489378" w14:textId="77777777">
        <w:trPr>
          <w:jc w:val="center"/>
        </w:trPr>
        <w:tc>
          <w:tcPr>
            <w:tcW w:w="1800" w:type="dxa"/>
            <w:vAlign w:val="center"/>
          </w:tcPr>
          <w:p w14:paraId="1DDB6692" w14:textId="77777777" w:rsidR="005B4E4B" w:rsidRDefault="00000000">
            <w:r>
              <w:rPr>
                <w:sz w:val="17"/>
              </w:rPr>
              <w:t>CSA Distension Pre</w:t>
            </w:r>
          </w:p>
        </w:tc>
        <w:tc>
          <w:tcPr>
            <w:tcW w:w="2736" w:type="dxa"/>
            <w:vAlign w:val="center"/>
          </w:tcPr>
          <w:p w14:paraId="04FAA345" w14:textId="77777777" w:rsidR="005B4E4B" w:rsidRDefault="00000000">
            <w:r>
              <w:rPr>
                <w:sz w:val="17"/>
              </w:rPr>
              <w:t>Delta on Dry Weight (Kg)</w:t>
            </w:r>
          </w:p>
        </w:tc>
        <w:tc>
          <w:tcPr>
            <w:tcW w:w="1296" w:type="dxa"/>
            <w:vAlign w:val="center"/>
          </w:tcPr>
          <w:p w14:paraId="1E563256" w14:textId="77777777" w:rsidR="005B4E4B" w:rsidRDefault="00000000">
            <w:r>
              <w:rPr>
                <w:sz w:val="17"/>
              </w:rPr>
              <w:t>-0.394</w:t>
            </w:r>
          </w:p>
        </w:tc>
        <w:tc>
          <w:tcPr>
            <w:tcW w:w="1152" w:type="dxa"/>
            <w:vAlign w:val="center"/>
          </w:tcPr>
          <w:p w14:paraId="6BD5BD6B" w14:textId="77777777" w:rsidR="005B4E4B" w:rsidRDefault="00000000">
            <w:r>
              <w:rPr>
                <w:sz w:val="17"/>
              </w:rPr>
              <w:t>0.005</w:t>
            </w:r>
          </w:p>
        </w:tc>
        <w:tc>
          <w:tcPr>
            <w:tcW w:w="1152" w:type="dxa"/>
            <w:vAlign w:val="center"/>
          </w:tcPr>
          <w:p w14:paraId="01D0AA36" w14:textId="77777777" w:rsidR="005B4E4B" w:rsidRDefault="00000000">
            <w:r>
              <w:rPr>
                <w:sz w:val="17"/>
              </w:rPr>
              <w:t>0.009</w:t>
            </w:r>
          </w:p>
        </w:tc>
        <w:tc>
          <w:tcPr>
            <w:tcW w:w="1152" w:type="dxa"/>
            <w:vAlign w:val="center"/>
          </w:tcPr>
          <w:p w14:paraId="3D1E824E" w14:textId="77777777" w:rsidR="005B4E4B" w:rsidRDefault="00000000">
            <w:r>
              <w:rPr>
                <w:sz w:val="17"/>
              </w:rPr>
              <w:t>0.031</w:t>
            </w:r>
          </w:p>
        </w:tc>
        <w:tc>
          <w:tcPr>
            <w:tcW w:w="1728" w:type="dxa"/>
            <w:vAlign w:val="center"/>
          </w:tcPr>
          <w:p w14:paraId="5679B604" w14:textId="77777777" w:rsidR="005B4E4B" w:rsidRDefault="00000000">
            <w:r>
              <w:rPr>
                <w:sz w:val="17"/>
              </w:rPr>
              <w:t>Robust</w:t>
            </w:r>
          </w:p>
        </w:tc>
      </w:tr>
      <w:tr w:rsidR="005B4E4B" w14:paraId="17AAFA8C" w14:textId="77777777">
        <w:trPr>
          <w:jc w:val="center"/>
        </w:trPr>
        <w:tc>
          <w:tcPr>
            <w:tcW w:w="1800" w:type="dxa"/>
            <w:vAlign w:val="center"/>
          </w:tcPr>
          <w:p w14:paraId="794E182A" w14:textId="77777777" w:rsidR="005B4E4B" w:rsidRDefault="00000000">
            <w:r>
              <w:rPr>
                <w:sz w:val="17"/>
              </w:rPr>
              <w:t>CSA Distension Pre</w:t>
            </w:r>
          </w:p>
        </w:tc>
        <w:tc>
          <w:tcPr>
            <w:tcW w:w="2736" w:type="dxa"/>
            <w:vAlign w:val="center"/>
          </w:tcPr>
          <w:p w14:paraId="4401FE97" w14:textId="77777777" w:rsidR="005B4E4B" w:rsidRDefault="00000000">
            <w:r>
              <w:rPr>
                <w:sz w:val="17"/>
              </w:rPr>
              <w:t>Delta on Dry Weight (%)</w:t>
            </w:r>
          </w:p>
        </w:tc>
        <w:tc>
          <w:tcPr>
            <w:tcW w:w="1296" w:type="dxa"/>
            <w:vAlign w:val="center"/>
          </w:tcPr>
          <w:p w14:paraId="1B90C019" w14:textId="77777777" w:rsidR="005B4E4B" w:rsidRDefault="00000000">
            <w:r>
              <w:rPr>
                <w:sz w:val="17"/>
              </w:rPr>
              <w:t>-0.369</w:t>
            </w:r>
          </w:p>
        </w:tc>
        <w:tc>
          <w:tcPr>
            <w:tcW w:w="1152" w:type="dxa"/>
            <w:vAlign w:val="center"/>
          </w:tcPr>
          <w:p w14:paraId="1B263F60" w14:textId="77777777" w:rsidR="005B4E4B" w:rsidRDefault="00000000">
            <w:r>
              <w:rPr>
                <w:sz w:val="17"/>
              </w:rPr>
              <w:t>0.009</w:t>
            </w:r>
          </w:p>
        </w:tc>
        <w:tc>
          <w:tcPr>
            <w:tcW w:w="1152" w:type="dxa"/>
            <w:vAlign w:val="center"/>
          </w:tcPr>
          <w:p w14:paraId="2559F382" w14:textId="77777777" w:rsidR="005B4E4B" w:rsidRDefault="00000000">
            <w:r>
              <w:rPr>
                <w:sz w:val="17"/>
              </w:rPr>
              <w:t>0.012</w:t>
            </w:r>
          </w:p>
        </w:tc>
        <w:tc>
          <w:tcPr>
            <w:tcW w:w="1152" w:type="dxa"/>
            <w:vAlign w:val="center"/>
          </w:tcPr>
          <w:p w14:paraId="06DF8D75" w14:textId="77777777" w:rsidR="005B4E4B" w:rsidRDefault="00000000">
            <w:r>
              <w:rPr>
                <w:sz w:val="17"/>
              </w:rPr>
              <w:t>0.038</w:t>
            </w:r>
          </w:p>
        </w:tc>
        <w:tc>
          <w:tcPr>
            <w:tcW w:w="1728" w:type="dxa"/>
            <w:vAlign w:val="center"/>
          </w:tcPr>
          <w:p w14:paraId="49428311" w14:textId="77777777" w:rsidR="005B4E4B" w:rsidRDefault="00000000">
            <w:r>
              <w:rPr>
                <w:sz w:val="17"/>
              </w:rPr>
              <w:t>Robust</w:t>
            </w:r>
          </w:p>
        </w:tc>
      </w:tr>
    </w:tbl>
    <w:p w14:paraId="5E8D9CC1" w14:textId="77777777" w:rsidR="004E32B4" w:rsidRDefault="004E32B4">
      <w:pPr>
        <w:spacing w:before="120" w:after="40"/>
        <w:rPr>
          <w:b/>
        </w:rPr>
      </w:pPr>
    </w:p>
    <w:p w14:paraId="4AC9829F" w14:textId="04539B19" w:rsidR="005B4E4B" w:rsidRPr="004E32B4" w:rsidRDefault="004E32B4">
      <w:pPr>
        <w:spacing w:before="120" w:after="40"/>
        <w:rPr>
          <w:sz w:val="21"/>
          <w:szCs w:val="21"/>
        </w:rPr>
      </w:pPr>
      <w:r w:rsidRPr="004E32B4">
        <w:rPr>
          <w:b/>
          <w:sz w:val="21"/>
          <w:szCs w:val="21"/>
        </w:rPr>
        <w:t>Supplementary table 3</w:t>
      </w:r>
      <w:r w:rsidR="00000000" w:rsidRPr="004E32B4">
        <w:rPr>
          <w:b/>
          <w:sz w:val="21"/>
          <w:szCs w:val="21"/>
        </w:rPr>
        <w:t>. Paired pre/post changes for denominator-free indices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58"/>
        <w:gridCol w:w="1860"/>
        <w:gridCol w:w="1860"/>
        <w:gridCol w:w="1432"/>
        <w:gridCol w:w="2862"/>
      </w:tblGrid>
      <w:tr w:rsidR="005B4E4B" w14:paraId="6479B265" w14:textId="77777777">
        <w:trPr>
          <w:tblHeader/>
          <w:jc w:val="center"/>
        </w:trPr>
        <w:tc>
          <w:tcPr>
            <w:tcW w:w="2880" w:type="dxa"/>
            <w:shd w:val="clear" w:color="auto" w:fill="D9EAF7"/>
            <w:vAlign w:val="center"/>
          </w:tcPr>
          <w:p w14:paraId="2FA4F5FD" w14:textId="77777777" w:rsidR="005B4E4B" w:rsidRDefault="00000000">
            <w:r>
              <w:rPr>
                <w:b/>
                <w:sz w:val="17"/>
              </w:rPr>
              <w:t>Variable</w:t>
            </w:r>
          </w:p>
        </w:tc>
        <w:tc>
          <w:tcPr>
            <w:tcW w:w="1872" w:type="dxa"/>
            <w:shd w:val="clear" w:color="auto" w:fill="D9EAF7"/>
            <w:vAlign w:val="center"/>
          </w:tcPr>
          <w:p w14:paraId="667DB7C9" w14:textId="77777777" w:rsidR="005B4E4B" w:rsidRDefault="00000000">
            <w:r>
              <w:rPr>
                <w:b/>
                <w:sz w:val="17"/>
              </w:rPr>
              <w:t>Pre-HD median</w:t>
            </w:r>
          </w:p>
        </w:tc>
        <w:tc>
          <w:tcPr>
            <w:tcW w:w="1872" w:type="dxa"/>
            <w:shd w:val="clear" w:color="auto" w:fill="D9EAF7"/>
            <w:vAlign w:val="center"/>
          </w:tcPr>
          <w:p w14:paraId="000081CD" w14:textId="77777777" w:rsidR="005B4E4B" w:rsidRDefault="00000000">
            <w:r>
              <w:rPr>
                <w:b/>
                <w:sz w:val="17"/>
              </w:rPr>
              <w:t>Post-HD median</w:t>
            </w:r>
          </w:p>
        </w:tc>
        <w:tc>
          <w:tcPr>
            <w:tcW w:w="1440" w:type="dxa"/>
            <w:shd w:val="clear" w:color="auto" w:fill="D9EAF7"/>
            <w:vAlign w:val="center"/>
          </w:tcPr>
          <w:p w14:paraId="2E80388A" w14:textId="77777777" w:rsidR="005B4E4B" w:rsidRDefault="00000000">
            <w:r>
              <w:rPr>
                <w:b/>
                <w:sz w:val="17"/>
              </w:rPr>
              <w:t>p value</w:t>
            </w:r>
          </w:p>
        </w:tc>
        <w:tc>
          <w:tcPr>
            <w:tcW w:w="2880" w:type="dxa"/>
            <w:shd w:val="clear" w:color="auto" w:fill="D9EAF7"/>
            <w:vAlign w:val="center"/>
          </w:tcPr>
          <w:p w14:paraId="0805E047" w14:textId="77777777" w:rsidR="005B4E4B" w:rsidRDefault="00000000">
            <w:r>
              <w:rPr>
                <w:b/>
                <w:sz w:val="17"/>
              </w:rPr>
              <w:t>Interpretation</w:t>
            </w:r>
          </w:p>
        </w:tc>
      </w:tr>
      <w:tr w:rsidR="005B4E4B" w14:paraId="53323405" w14:textId="77777777">
        <w:trPr>
          <w:jc w:val="center"/>
        </w:trPr>
        <w:tc>
          <w:tcPr>
            <w:tcW w:w="2880" w:type="dxa"/>
            <w:vAlign w:val="center"/>
          </w:tcPr>
          <w:p w14:paraId="2BBDCC25" w14:textId="77777777" w:rsidR="005B4E4B" w:rsidRDefault="00000000">
            <w:r>
              <w:rPr>
                <w:sz w:val="17"/>
              </w:rPr>
              <w:t>AP Distension</w:t>
            </w:r>
          </w:p>
        </w:tc>
        <w:tc>
          <w:tcPr>
            <w:tcW w:w="1872" w:type="dxa"/>
            <w:vAlign w:val="center"/>
          </w:tcPr>
          <w:p w14:paraId="2B4D8028" w14:textId="77777777" w:rsidR="005B4E4B" w:rsidRDefault="00000000">
            <w:r>
              <w:rPr>
                <w:sz w:val="17"/>
              </w:rPr>
              <w:t>4.40</w:t>
            </w:r>
          </w:p>
        </w:tc>
        <w:tc>
          <w:tcPr>
            <w:tcW w:w="1872" w:type="dxa"/>
            <w:vAlign w:val="center"/>
          </w:tcPr>
          <w:p w14:paraId="573A5AC4" w14:textId="77777777" w:rsidR="005B4E4B" w:rsidRDefault="00000000">
            <w:r>
              <w:rPr>
                <w:sz w:val="17"/>
              </w:rPr>
              <w:t>7.20</w:t>
            </w:r>
          </w:p>
        </w:tc>
        <w:tc>
          <w:tcPr>
            <w:tcW w:w="1440" w:type="dxa"/>
            <w:vAlign w:val="center"/>
          </w:tcPr>
          <w:p w14:paraId="74B9020B" w14:textId="77777777" w:rsidR="005B4E4B" w:rsidRDefault="00000000">
            <w:r>
              <w:rPr>
                <w:sz w:val="17"/>
              </w:rPr>
              <w:t>4.71e-04</w:t>
            </w:r>
          </w:p>
        </w:tc>
        <w:tc>
          <w:tcPr>
            <w:tcW w:w="2880" w:type="dxa"/>
            <w:vAlign w:val="center"/>
          </w:tcPr>
          <w:p w14:paraId="78904EF6" w14:textId="77777777" w:rsidR="005B4E4B" w:rsidRDefault="00000000">
            <w:r>
              <w:rPr>
                <w:sz w:val="17"/>
              </w:rPr>
              <w:t>Increased after HD</w:t>
            </w:r>
          </w:p>
        </w:tc>
      </w:tr>
      <w:tr w:rsidR="005B4E4B" w14:paraId="635D7556" w14:textId="77777777">
        <w:trPr>
          <w:jc w:val="center"/>
        </w:trPr>
        <w:tc>
          <w:tcPr>
            <w:tcW w:w="2880" w:type="dxa"/>
            <w:vAlign w:val="center"/>
          </w:tcPr>
          <w:p w14:paraId="48027902" w14:textId="77777777" w:rsidR="005B4E4B" w:rsidRDefault="00000000">
            <w:r>
              <w:rPr>
                <w:sz w:val="17"/>
              </w:rPr>
              <w:t>CSA Distension</w:t>
            </w:r>
          </w:p>
        </w:tc>
        <w:tc>
          <w:tcPr>
            <w:tcW w:w="1872" w:type="dxa"/>
            <w:vAlign w:val="center"/>
          </w:tcPr>
          <w:p w14:paraId="21E92FB9" w14:textId="77777777" w:rsidR="005B4E4B" w:rsidRDefault="00000000">
            <w:r>
              <w:rPr>
                <w:sz w:val="17"/>
              </w:rPr>
              <w:t>0.84</w:t>
            </w:r>
          </w:p>
        </w:tc>
        <w:tc>
          <w:tcPr>
            <w:tcW w:w="1872" w:type="dxa"/>
            <w:vAlign w:val="center"/>
          </w:tcPr>
          <w:p w14:paraId="09D89890" w14:textId="77777777" w:rsidR="005B4E4B" w:rsidRDefault="00000000">
            <w:r>
              <w:rPr>
                <w:sz w:val="17"/>
              </w:rPr>
              <w:t>1.06</w:t>
            </w:r>
          </w:p>
        </w:tc>
        <w:tc>
          <w:tcPr>
            <w:tcW w:w="1440" w:type="dxa"/>
            <w:vAlign w:val="center"/>
          </w:tcPr>
          <w:p w14:paraId="5561834F" w14:textId="77777777" w:rsidR="005B4E4B" w:rsidRDefault="00000000">
            <w:r>
              <w:rPr>
                <w:sz w:val="17"/>
              </w:rPr>
              <w:t>0.004</w:t>
            </w:r>
          </w:p>
        </w:tc>
        <w:tc>
          <w:tcPr>
            <w:tcW w:w="2880" w:type="dxa"/>
            <w:vAlign w:val="center"/>
          </w:tcPr>
          <w:p w14:paraId="18F753FB" w14:textId="77777777" w:rsidR="005B4E4B" w:rsidRDefault="00000000">
            <w:r>
              <w:rPr>
                <w:sz w:val="17"/>
              </w:rPr>
              <w:t>Increased after HD</w:t>
            </w:r>
          </w:p>
        </w:tc>
      </w:tr>
    </w:tbl>
    <w:p w14:paraId="136B4414" w14:textId="77777777" w:rsidR="005B4E4B" w:rsidRDefault="005B4E4B">
      <w:pPr>
        <w:spacing w:after="40"/>
      </w:pPr>
    </w:p>
    <w:p w14:paraId="151F72F5" w14:textId="7DE04E31" w:rsidR="005B4E4B" w:rsidRDefault="004E32B4">
      <w:pPr>
        <w:spacing w:before="120" w:after="40"/>
      </w:pPr>
      <w:r>
        <w:rPr>
          <w:b/>
          <w:sz w:val="21"/>
        </w:rPr>
        <w:t>Supplementary table 4</w:t>
      </w:r>
      <w:r w:rsidR="00000000">
        <w:rPr>
          <w:b/>
          <w:sz w:val="21"/>
        </w:rPr>
        <w:t>. Post-HD and change analyses for denominator-free indices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4320"/>
      </w:tblGrid>
      <w:tr w:rsidR="005B4E4B" w14:paraId="783FBE5C" w14:textId="77777777">
        <w:trPr>
          <w:tblHeader/>
          <w:jc w:val="center"/>
        </w:trPr>
        <w:tc>
          <w:tcPr>
            <w:tcW w:w="5472" w:type="dxa"/>
            <w:shd w:val="clear" w:color="auto" w:fill="D9EAF7"/>
            <w:vAlign w:val="center"/>
          </w:tcPr>
          <w:p w14:paraId="7289E39D" w14:textId="77777777" w:rsidR="005B4E4B" w:rsidRDefault="00000000">
            <w:r>
              <w:rPr>
                <w:b/>
                <w:sz w:val="17"/>
              </w:rPr>
              <w:t>Analysis</w:t>
            </w:r>
          </w:p>
        </w:tc>
        <w:tc>
          <w:tcPr>
            <w:tcW w:w="4320" w:type="dxa"/>
            <w:shd w:val="clear" w:color="auto" w:fill="D9EAF7"/>
            <w:vAlign w:val="center"/>
          </w:tcPr>
          <w:p w14:paraId="2EEDEA3C" w14:textId="77777777" w:rsidR="005B4E4B" w:rsidRDefault="00000000">
            <w:r>
              <w:rPr>
                <w:b/>
                <w:sz w:val="17"/>
              </w:rPr>
              <w:t>Result</w:t>
            </w:r>
          </w:p>
        </w:tc>
      </w:tr>
      <w:tr w:rsidR="005B4E4B" w14:paraId="665089B7" w14:textId="77777777">
        <w:trPr>
          <w:jc w:val="center"/>
        </w:trPr>
        <w:tc>
          <w:tcPr>
            <w:tcW w:w="5472" w:type="dxa"/>
            <w:vAlign w:val="center"/>
          </w:tcPr>
          <w:p w14:paraId="4076C2F6" w14:textId="77777777" w:rsidR="005B4E4B" w:rsidRDefault="00000000">
            <w:r>
              <w:rPr>
                <w:sz w:val="17"/>
              </w:rPr>
              <w:t>AP Distension Post vs UF or UF Rate</w:t>
            </w:r>
          </w:p>
        </w:tc>
        <w:tc>
          <w:tcPr>
            <w:tcW w:w="4320" w:type="dxa"/>
            <w:vAlign w:val="center"/>
          </w:tcPr>
          <w:p w14:paraId="272234CE" w14:textId="77777777" w:rsidR="005B4E4B" w:rsidRDefault="00000000">
            <w:r>
              <w:rPr>
                <w:sz w:val="17"/>
              </w:rPr>
              <w:t>No significant associations</w:t>
            </w:r>
          </w:p>
        </w:tc>
      </w:tr>
      <w:tr w:rsidR="005B4E4B" w14:paraId="4C532FAE" w14:textId="77777777">
        <w:trPr>
          <w:jc w:val="center"/>
        </w:trPr>
        <w:tc>
          <w:tcPr>
            <w:tcW w:w="5472" w:type="dxa"/>
            <w:vAlign w:val="center"/>
          </w:tcPr>
          <w:p w14:paraId="3AC02B3D" w14:textId="77777777" w:rsidR="005B4E4B" w:rsidRDefault="00000000">
            <w:r>
              <w:rPr>
                <w:sz w:val="17"/>
              </w:rPr>
              <w:t>CSA Distension Post vs UF or UF Rate</w:t>
            </w:r>
          </w:p>
        </w:tc>
        <w:tc>
          <w:tcPr>
            <w:tcW w:w="4320" w:type="dxa"/>
            <w:vAlign w:val="center"/>
          </w:tcPr>
          <w:p w14:paraId="7947A35D" w14:textId="77777777" w:rsidR="005B4E4B" w:rsidRDefault="00000000">
            <w:r>
              <w:rPr>
                <w:sz w:val="17"/>
              </w:rPr>
              <w:t>No significant associations</w:t>
            </w:r>
          </w:p>
        </w:tc>
      </w:tr>
      <w:tr w:rsidR="005B4E4B" w14:paraId="35A467F4" w14:textId="77777777">
        <w:trPr>
          <w:jc w:val="center"/>
        </w:trPr>
        <w:tc>
          <w:tcPr>
            <w:tcW w:w="5472" w:type="dxa"/>
            <w:vAlign w:val="center"/>
          </w:tcPr>
          <w:p w14:paraId="2E58FAA8" w14:textId="77777777" w:rsidR="005B4E4B" w:rsidRDefault="00000000">
            <w:r>
              <w:rPr>
                <w:sz w:val="17"/>
              </w:rPr>
              <w:t>% change in AP Distension vs UF or UF Rate</w:t>
            </w:r>
          </w:p>
        </w:tc>
        <w:tc>
          <w:tcPr>
            <w:tcW w:w="4320" w:type="dxa"/>
            <w:vAlign w:val="center"/>
          </w:tcPr>
          <w:p w14:paraId="2694CDB5" w14:textId="77777777" w:rsidR="005B4E4B" w:rsidRDefault="00000000">
            <w:r>
              <w:rPr>
                <w:sz w:val="17"/>
              </w:rPr>
              <w:t>No significant associations</w:t>
            </w:r>
          </w:p>
        </w:tc>
      </w:tr>
      <w:tr w:rsidR="005B4E4B" w14:paraId="1ADDBBDB" w14:textId="77777777">
        <w:trPr>
          <w:jc w:val="center"/>
        </w:trPr>
        <w:tc>
          <w:tcPr>
            <w:tcW w:w="5472" w:type="dxa"/>
            <w:vAlign w:val="center"/>
          </w:tcPr>
          <w:p w14:paraId="7F34D540" w14:textId="77777777" w:rsidR="005B4E4B" w:rsidRDefault="00000000">
            <w:r>
              <w:rPr>
                <w:sz w:val="17"/>
              </w:rPr>
              <w:t>% change in CSA Distension vs UF or UF Rate</w:t>
            </w:r>
          </w:p>
        </w:tc>
        <w:tc>
          <w:tcPr>
            <w:tcW w:w="4320" w:type="dxa"/>
            <w:vAlign w:val="center"/>
          </w:tcPr>
          <w:p w14:paraId="28E601BF" w14:textId="77777777" w:rsidR="005B4E4B" w:rsidRDefault="00000000">
            <w:r>
              <w:rPr>
                <w:sz w:val="17"/>
              </w:rPr>
              <w:t>No significant associations</w:t>
            </w:r>
          </w:p>
        </w:tc>
      </w:tr>
    </w:tbl>
    <w:p w14:paraId="477C6E44" w14:textId="2124A1F1" w:rsidR="005B4E4B" w:rsidRDefault="005B4E4B">
      <w:pPr>
        <w:spacing w:before="120" w:after="40"/>
      </w:pPr>
    </w:p>
    <w:sectPr w:rsidR="005B4E4B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8516332">
    <w:abstractNumId w:val="8"/>
  </w:num>
  <w:num w:numId="2" w16cid:durableId="256596636">
    <w:abstractNumId w:val="6"/>
  </w:num>
  <w:num w:numId="3" w16cid:durableId="1525245436">
    <w:abstractNumId w:val="5"/>
  </w:num>
  <w:num w:numId="4" w16cid:durableId="1756244795">
    <w:abstractNumId w:val="4"/>
  </w:num>
  <w:num w:numId="5" w16cid:durableId="826434179">
    <w:abstractNumId w:val="7"/>
  </w:num>
  <w:num w:numId="6" w16cid:durableId="1663506482">
    <w:abstractNumId w:val="3"/>
  </w:num>
  <w:num w:numId="7" w16cid:durableId="6294663">
    <w:abstractNumId w:val="2"/>
  </w:num>
  <w:num w:numId="8" w16cid:durableId="121701175">
    <w:abstractNumId w:val="1"/>
  </w:num>
  <w:num w:numId="9" w16cid:durableId="1514565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4732"/>
    <w:rsid w:val="0029639D"/>
    <w:rsid w:val="00326F90"/>
    <w:rsid w:val="004E32B4"/>
    <w:rsid w:val="005B4E4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."/>
  <w14:docId w14:val="6EDDE1B5"/>
  <w14:defaultImageDpi w14:val="300"/>
  <w15:docId w15:val="{229C437F-0B04-42E8-BB9D-BFE9BA55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Daniele Vetrano</cp:lastModifiedBy>
  <cp:revision>2</cp:revision>
  <dcterms:created xsi:type="dcterms:W3CDTF">2013-12-23T23:15:00Z</dcterms:created>
  <dcterms:modified xsi:type="dcterms:W3CDTF">2026-04-17T09:52:00Z</dcterms:modified>
  <cp:category/>
</cp:coreProperties>
</file>