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BA0" w:rsidRPr="00132CFC" w:rsidRDefault="00522BA0" w:rsidP="00522BA0">
      <w:pPr>
        <w:suppressLineNumbers/>
        <w:spacing w:after="120" w:line="240" w:lineRule="auto"/>
        <w:ind w:left="90"/>
        <w:rPr>
          <w:rFonts w:ascii="Arial" w:hAnsi="Arial" w:cs="Arial"/>
          <w:b/>
          <w:i/>
        </w:rPr>
      </w:pPr>
      <w:r>
        <w:rPr>
          <w:rFonts w:ascii="Arial" w:hAnsi="Arial" w:cs="Arial"/>
          <w:b/>
          <w:sz w:val="28"/>
          <w:szCs w:val="28"/>
        </w:rPr>
        <w:t>Additional File 2</w:t>
      </w:r>
      <w:r w:rsidRPr="00522BA0">
        <w:rPr>
          <w:rFonts w:ascii="Arial" w:hAnsi="Arial" w:cs="Arial"/>
          <w:b/>
          <w:sz w:val="28"/>
          <w:szCs w:val="28"/>
        </w:rPr>
        <w:br/>
      </w:r>
      <w:r w:rsidRPr="00522BA0">
        <w:rPr>
          <w:rFonts w:ascii="Arial" w:hAnsi="Arial" w:cs="Arial"/>
          <w:b/>
          <w:sz w:val="24"/>
          <w:szCs w:val="24"/>
        </w:rPr>
        <w:t>Figures</w:t>
      </w:r>
      <w:r w:rsidRPr="00522BA0">
        <w:rPr>
          <w:b/>
          <w:sz w:val="24"/>
          <w:szCs w:val="24"/>
        </w:rPr>
        <w:t xml:space="preserve"> </w:t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rFonts w:ascii="Arial" w:hAnsi="Arial" w:cs="Arial"/>
          <w:b/>
          <w:bCs/>
          <w:lang w:val="en-GB"/>
        </w:rPr>
        <w:t xml:space="preserve">Additional File 2 Figure 1. </w:t>
      </w:r>
      <w:r w:rsidRPr="00132CFC">
        <w:rPr>
          <w:rFonts w:ascii="Arial" w:hAnsi="Arial" w:cs="Arial"/>
          <w:lang w:val="en-GB"/>
        </w:rPr>
        <w:t>Lesion numbers at Weeks 24 and 48</w:t>
      </w:r>
    </w:p>
    <w:p w:rsidR="00522BA0" w:rsidRPr="00132CFC" w:rsidRDefault="00522BA0" w:rsidP="00522BA0">
      <w:pPr>
        <w:suppressLineNumbers/>
        <w:spacing w:after="120" w:line="240" w:lineRule="auto"/>
        <w:ind w:left="90"/>
        <w:rPr>
          <w:rFonts w:ascii="Arial" w:hAnsi="Arial" w:cs="Arial"/>
          <w:color w:val="231F20"/>
          <w:sz w:val="20"/>
          <w:lang w:val="en-GB"/>
        </w:rPr>
      </w:pPr>
      <w:r w:rsidRPr="00132CFC">
        <w:rPr>
          <w:rFonts w:ascii="Arial" w:hAnsi="Arial" w:cs="Arial"/>
          <w:color w:val="231F20"/>
          <w:sz w:val="20"/>
          <w:lang w:val="en-GB"/>
        </w:rPr>
        <w:t>New active lesions</w:t>
      </w:r>
      <w:r>
        <w:rPr>
          <w:rFonts w:ascii="Arial" w:hAnsi="Arial" w:cs="Arial"/>
          <w:color w:val="231F20"/>
          <w:sz w:val="20"/>
          <w:lang w:val="en-GB"/>
        </w:rPr>
        <w:t xml:space="preserve"> (</w:t>
      </w:r>
      <w:r w:rsidRPr="00A83C59">
        <w:rPr>
          <w:rFonts w:ascii="Arial" w:hAnsi="Arial" w:cs="Arial"/>
          <w:color w:val="231F20"/>
          <w:sz w:val="20"/>
          <w:lang w:val="en-GB"/>
        </w:rPr>
        <w:t xml:space="preserve">sum of </w:t>
      </w:r>
      <w:proofErr w:type="spellStart"/>
      <w:r w:rsidRPr="00A83C59">
        <w:rPr>
          <w:rFonts w:ascii="Arial" w:hAnsi="Arial" w:cs="Arial"/>
          <w:color w:val="231F20"/>
          <w:sz w:val="20"/>
          <w:lang w:val="en-GB"/>
        </w:rPr>
        <w:t>Gd</w:t>
      </w:r>
      <w:proofErr w:type="spellEnd"/>
      <w:r w:rsidRPr="00A83C59">
        <w:rPr>
          <w:rFonts w:ascii="Arial" w:hAnsi="Arial" w:cs="Arial"/>
          <w:color w:val="231F20"/>
          <w:sz w:val="20"/>
          <w:lang w:val="en-GB"/>
        </w:rPr>
        <w:t>+ plus non</w:t>
      </w:r>
      <w:r>
        <w:rPr>
          <w:rFonts w:ascii="Arial" w:hAnsi="Arial" w:cs="Arial"/>
          <w:color w:val="231F20"/>
          <w:sz w:val="20"/>
          <w:lang w:val="en-GB"/>
        </w:rPr>
        <w:t>-</w:t>
      </w:r>
      <w:r w:rsidRPr="00A83C59">
        <w:rPr>
          <w:rFonts w:ascii="Arial" w:hAnsi="Arial" w:cs="Arial"/>
          <w:color w:val="231F20"/>
          <w:sz w:val="20"/>
          <w:lang w:val="en-GB"/>
        </w:rPr>
        <w:t xml:space="preserve">enhancing new or newly-enlarging T2 </w:t>
      </w:r>
      <w:proofErr w:type="spellStart"/>
      <w:r w:rsidRPr="00A83C59">
        <w:rPr>
          <w:rFonts w:ascii="Arial" w:hAnsi="Arial" w:cs="Arial"/>
          <w:color w:val="231F20"/>
          <w:sz w:val="20"/>
          <w:lang w:val="en-GB"/>
        </w:rPr>
        <w:t>hyperintense</w:t>
      </w:r>
      <w:proofErr w:type="spellEnd"/>
      <w:r w:rsidRPr="00A56F3C">
        <w:rPr>
          <w:rFonts w:ascii="Arial" w:hAnsi="Arial" w:cs="Arial"/>
          <w:color w:val="231F20"/>
          <w:sz w:val="20"/>
          <w:lang w:val="en-GB"/>
        </w:rPr>
        <w:t>)</w:t>
      </w:r>
      <w:r>
        <w:rPr>
          <w:rFonts w:ascii="Arial" w:hAnsi="Arial" w:cs="Arial"/>
          <w:color w:val="231F20"/>
          <w:sz w:val="20"/>
          <w:lang w:val="en-GB"/>
        </w:rPr>
        <w:t xml:space="preserve"> compared to baseline </w:t>
      </w:r>
      <w:bookmarkStart w:id="0" w:name="_GoBack"/>
      <w:bookmarkEnd w:id="0"/>
    </w:p>
    <w:p w:rsidR="00522BA0" w:rsidRDefault="0002792B" w:rsidP="00522BA0">
      <w:pPr>
        <w:suppressLineNumbers/>
        <w:spacing w:after="120" w:line="480" w:lineRule="auto"/>
        <w:ind w:left="90"/>
        <w:rPr>
          <w:rFonts w:ascii="Arial" w:hAnsi="Arial" w:cs="Arial"/>
        </w:rPr>
      </w:pPr>
      <w:r w:rsidRPr="0025232D">
        <w:rPr>
          <w:rFonts w:ascii="Arial" w:hAnsi="Arial" w:cs="Arial"/>
          <w:noProof/>
        </w:rPr>
        <w:drawing>
          <wp:inline distT="0" distB="0" distL="0" distR="0" wp14:anchorId="43222B0E" wp14:editId="10DA99A5">
            <wp:extent cx="5071730" cy="349343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739" cy="3492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BA0" w:rsidRDefault="0002792B" w:rsidP="00522BA0">
      <w:pPr>
        <w:suppressLineNumbers/>
        <w:spacing w:after="12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  <w:proofErr w:type="spellStart"/>
      <w:proofErr w:type="gramStart"/>
      <w:r>
        <w:rPr>
          <w:rFonts w:ascii="Arial" w:hAnsi="Arial" w:cs="Arial"/>
          <w:color w:val="231F20"/>
          <w:sz w:val="20"/>
          <w:szCs w:val="20"/>
          <w:vertAlign w:val="superscript"/>
          <w:lang w:val="en-GB"/>
        </w:rPr>
        <w:t>a</w:t>
      </w:r>
      <w:r w:rsidR="00522BA0" w:rsidRPr="00A43E26">
        <w:rPr>
          <w:rFonts w:ascii="Arial" w:hAnsi="Arial" w:cs="Arial"/>
          <w:color w:val="231F20"/>
          <w:sz w:val="20"/>
          <w:szCs w:val="20"/>
          <w:lang w:val="en-GB"/>
        </w:rPr>
        <w:t>Based</w:t>
      </w:r>
      <w:proofErr w:type="spellEnd"/>
      <w:proofErr w:type="gramEnd"/>
      <w:r w:rsidR="00522BA0" w:rsidRPr="00A43E26">
        <w:rPr>
          <w:rFonts w:ascii="Arial" w:hAnsi="Arial" w:cs="Arial"/>
          <w:color w:val="231F20"/>
          <w:sz w:val="20"/>
          <w:szCs w:val="20"/>
          <w:lang w:val="en-GB"/>
        </w:rPr>
        <w:t xml:space="preserve"> on mean number of new lesions. Negative binomial regression analysis, adjusted for baseline number of </w:t>
      </w:r>
      <w:proofErr w:type="spellStart"/>
      <w:r w:rsidR="00522BA0" w:rsidRPr="00A43E26">
        <w:rPr>
          <w:rFonts w:ascii="Arial" w:hAnsi="Arial" w:cs="Arial"/>
          <w:color w:val="231F20"/>
          <w:sz w:val="20"/>
          <w:szCs w:val="20"/>
          <w:lang w:val="en-GB"/>
        </w:rPr>
        <w:t>Gd</w:t>
      </w:r>
      <w:proofErr w:type="spellEnd"/>
      <w:r w:rsidR="00522BA0" w:rsidRPr="00A43E26">
        <w:rPr>
          <w:rFonts w:ascii="Arial" w:hAnsi="Arial" w:cs="Arial"/>
          <w:color w:val="231F20"/>
          <w:sz w:val="20"/>
          <w:szCs w:val="20"/>
          <w:lang w:val="en-GB"/>
        </w:rPr>
        <w:t>+ lesions. The data for 48 weeks has been published previously [10]. CI = confidence interval.</w:t>
      </w:r>
    </w:p>
    <w:p w:rsidR="00522BA0" w:rsidRDefault="00522BA0" w:rsidP="00522BA0">
      <w:pPr>
        <w:suppressLineNumbers/>
        <w:spacing w:after="12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522BA0" w:rsidRPr="00522BA0" w:rsidRDefault="00522BA0" w:rsidP="00522BA0">
      <w:pPr>
        <w:suppressLineNumbers/>
        <w:spacing w:after="12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br/>
      </w:r>
      <w:r>
        <w:br/>
      </w:r>
      <w:r>
        <w:br/>
      </w:r>
      <w:r>
        <w:br/>
      </w:r>
      <w:r>
        <w:br/>
      </w:r>
      <w:r>
        <w:rPr>
          <w:rFonts w:ascii="Arial" w:hAnsi="Arial" w:cs="Arial"/>
          <w:b/>
          <w:bCs/>
          <w:lang w:val="en-GB"/>
        </w:rPr>
        <w:br/>
      </w:r>
      <w:r>
        <w:rPr>
          <w:rFonts w:ascii="Arial" w:hAnsi="Arial" w:cs="Arial"/>
          <w:b/>
          <w:bCs/>
          <w:lang w:val="en-GB"/>
        </w:rPr>
        <w:br/>
      </w:r>
      <w:r>
        <w:rPr>
          <w:rFonts w:ascii="Arial" w:hAnsi="Arial" w:cs="Arial"/>
          <w:b/>
          <w:bCs/>
          <w:lang w:val="en-GB"/>
        </w:rPr>
        <w:br/>
      </w:r>
      <w:r>
        <w:rPr>
          <w:rFonts w:ascii="Arial" w:hAnsi="Arial" w:cs="Arial"/>
          <w:b/>
          <w:bCs/>
          <w:lang w:val="en-GB"/>
        </w:rPr>
        <w:br/>
      </w:r>
      <w:r>
        <w:rPr>
          <w:rFonts w:ascii="Arial" w:hAnsi="Arial" w:cs="Arial"/>
          <w:b/>
          <w:bCs/>
          <w:lang w:val="en-GB"/>
        </w:rPr>
        <w:br/>
      </w:r>
      <w:r>
        <w:rPr>
          <w:rFonts w:ascii="Arial" w:hAnsi="Arial" w:cs="Arial"/>
          <w:b/>
          <w:bCs/>
          <w:lang w:val="en-GB"/>
        </w:rPr>
        <w:br/>
      </w:r>
      <w:r>
        <w:rPr>
          <w:rFonts w:ascii="Arial" w:hAnsi="Arial" w:cs="Arial"/>
          <w:b/>
          <w:bCs/>
          <w:lang w:val="en-GB"/>
        </w:rPr>
        <w:br/>
      </w:r>
      <w:r>
        <w:rPr>
          <w:rFonts w:ascii="Arial" w:hAnsi="Arial" w:cs="Arial"/>
          <w:b/>
          <w:bCs/>
          <w:lang w:val="en-GB"/>
        </w:rPr>
        <w:br/>
      </w:r>
      <w:r>
        <w:rPr>
          <w:rFonts w:ascii="Arial" w:hAnsi="Arial" w:cs="Arial"/>
          <w:b/>
          <w:bCs/>
          <w:lang w:val="en-GB"/>
        </w:rPr>
        <w:lastRenderedPageBreak/>
        <w:br/>
      </w:r>
      <w:r>
        <w:rPr>
          <w:rFonts w:ascii="Arial" w:hAnsi="Arial" w:cs="Arial"/>
          <w:b/>
          <w:bCs/>
          <w:lang w:val="en-GB"/>
        </w:rPr>
        <w:br/>
        <w:t>Additional File 2 Figure 2</w:t>
      </w:r>
      <w:r w:rsidRPr="0005727B">
        <w:rPr>
          <w:rFonts w:ascii="Arial" w:hAnsi="Arial" w:cs="Arial"/>
          <w:b/>
          <w:szCs w:val="20"/>
        </w:rPr>
        <w:t>.</w:t>
      </w:r>
      <w:r w:rsidRPr="0005727B">
        <w:rPr>
          <w:rFonts w:ascii="Arial" w:hAnsi="Arial" w:cs="Arial"/>
          <w:szCs w:val="20"/>
        </w:rPr>
        <w:t xml:space="preserve"> </w:t>
      </w:r>
      <w:r>
        <w:rPr>
          <w:rFonts w:ascii="Arial" w:eastAsia="Times New Roman" w:hAnsi="Arial" w:cs="Arial"/>
        </w:rPr>
        <w:t>MRI</w:t>
      </w:r>
      <w:r w:rsidRPr="0005727B"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</w:rPr>
        <w:t>NEDA</w:t>
      </w:r>
      <w:r w:rsidRPr="0005727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proportions </w:t>
      </w:r>
    </w:p>
    <w:p w:rsidR="00522BA0" w:rsidRPr="00522BA0" w:rsidRDefault="00522BA0" w:rsidP="00522BA0">
      <w:pPr>
        <w:pStyle w:val="ListParagraph"/>
        <w:numPr>
          <w:ilvl w:val="0"/>
          <w:numId w:val="1"/>
        </w:numPr>
        <w:suppressLineNumbers/>
        <w:spacing w:after="120" w:line="480" w:lineRule="auto"/>
        <w:rPr>
          <w:rFonts w:ascii="Arial" w:hAnsi="Arial" w:cs="Arial"/>
          <w:sz w:val="20"/>
          <w:szCs w:val="20"/>
        </w:rPr>
      </w:pPr>
      <w:r w:rsidRPr="00522BA0">
        <w:rPr>
          <w:rFonts w:ascii="Arial" w:hAnsi="Arial" w:cs="Arial"/>
          <w:sz w:val="20"/>
          <w:szCs w:val="20"/>
        </w:rPr>
        <w:t>Baseline to Week 48</w:t>
      </w:r>
    </w:p>
    <w:p w:rsidR="00522BA0" w:rsidRDefault="00B5418D" w:rsidP="00522BA0">
      <w:pPr>
        <w:suppressLineNumbers/>
        <w:spacing w:after="120" w:line="480" w:lineRule="auto"/>
        <w:ind w:left="90"/>
        <w:rPr>
          <w:rFonts w:ascii="Arial" w:hAnsi="Arial" w:cs="Arial"/>
          <w:szCs w:val="20"/>
        </w:rPr>
      </w:pPr>
      <w:r w:rsidRPr="0025232D">
        <w:rPr>
          <w:rFonts w:ascii="Arial" w:hAnsi="Arial" w:cs="Arial"/>
          <w:noProof/>
          <w:szCs w:val="20"/>
        </w:rPr>
        <w:drawing>
          <wp:inline distT="0" distB="0" distL="0" distR="0" wp14:anchorId="2D451573" wp14:editId="4E54B3B2">
            <wp:extent cx="4780824" cy="257307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63" cy="2583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BA0" w:rsidRPr="00522BA0" w:rsidRDefault="00522BA0" w:rsidP="00522BA0">
      <w:pPr>
        <w:pStyle w:val="ListParagraph"/>
        <w:numPr>
          <w:ilvl w:val="0"/>
          <w:numId w:val="1"/>
        </w:numPr>
        <w:suppressLineNumbers/>
        <w:spacing w:after="120" w:line="480" w:lineRule="auto"/>
        <w:rPr>
          <w:rFonts w:ascii="Arial" w:hAnsi="Arial" w:cs="Arial"/>
          <w:sz w:val="20"/>
          <w:szCs w:val="20"/>
        </w:rPr>
      </w:pPr>
      <w:r w:rsidRPr="00522BA0">
        <w:rPr>
          <w:rFonts w:ascii="Arial" w:hAnsi="Arial" w:cs="Arial"/>
          <w:sz w:val="20"/>
          <w:szCs w:val="20"/>
        </w:rPr>
        <w:t>Baseline to Week 24</w:t>
      </w:r>
    </w:p>
    <w:p w:rsidR="00522BA0" w:rsidRDefault="00B5418D" w:rsidP="00522BA0">
      <w:pPr>
        <w:suppressLineNumbers/>
        <w:spacing w:after="120" w:line="480" w:lineRule="auto"/>
        <w:rPr>
          <w:rFonts w:ascii="Arial" w:hAnsi="Arial" w:cs="Arial"/>
          <w:szCs w:val="20"/>
        </w:rPr>
      </w:pPr>
      <w:r w:rsidRPr="0025232D">
        <w:rPr>
          <w:rFonts w:ascii="Arial" w:hAnsi="Arial" w:cs="Arial"/>
          <w:noProof/>
          <w:szCs w:val="20"/>
        </w:rPr>
        <w:drawing>
          <wp:inline distT="0" distB="0" distL="0" distR="0" wp14:anchorId="781A04C6" wp14:editId="1936284D">
            <wp:extent cx="4882523" cy="31318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867" cy="31390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BA0" w:rsidRDefault="00522BA0" w:rsidP="00522BA0">
      <w:pPr>
        <w:suppressLineNumbers/>
        <w:spacing w:after="120" w:line="480" w:lineRule="auto"/>
        <w:rPr>
          <w:rFonts w:ascii="Arial" w:hAnsi="Arial" w:cs="Arial"/>
          <w:szCs w:val="20"/>
        </w:rPr>
      </w:pPr>
    </w:p>
    <w:p w:rsidR="00522BA0" w:rsidRDefault="00522BA0" w:rsidP="00522BA0">
      <w:pPr>
        <w:suppressLineNumbers/>
        <w:spacing w:after="120" w:line="480" w:lineRule="auto"/>
        <w:rPr>
          <w:rFonts w:ascii="Arial" w:hAnsi="Arial" w:cs="Arial"/>
          <w:szCs w:val="20"/>
        </w:rPr>
      </w:pPr>
    </w:p>
    <w:p w:rsidR="00522BA0" w:rsidRDefault="00522BA0" w:rsidP="00522BA0">
      <w:pPr>
        <w:suppressLineNumbers/>
        <w:spacing w:after="120" w:line="480" w:lineRule="auto"/>
        <w:rPr>
          <w:rFonts w:ascii="Arial" w:hAnsi="Arial" w:cs="Arial"/>
          <w:szCs w:val="20"/>
        </w:rPr>
      </w:pPr>
    </w:p>
    <w:p w:rsidR="00522BA0" w:rsidRPr="002C5944" w:rsidRDefault="00522BA0" w:rsidP="00522BA0">
      <w:pPr>
        <w:suppressLineNumbers/>
        <w:spacing w:after="120" w:line="480" w:lineRule="auto"/>
        <w:rPr>
          <w:rFonts w:ascii="Arial" w:hAnsi="Arial" w:cs="Arial"/>
          <w:szCs w:val="20"/>
        </w:rPr>
      </w:pPr>
    </w:p>
    <w:p w:rsidR="00522BA0" w:rsidRPr="00522BA0" w:rsidRDefault="00522BA0" w:rsidP="00522BA0">
      <w:pPr>
        <w:pStyle w:val="ListParagraph"/>
        <w:numPr>
          <w:ilvl w:val="0"/>
          <w:numId w:val="1"/>
        </w:numPr>
        <w:suppressLineNumbers/>
        <w:spacing w:after="120" w:line="480" w:lineRule="auto"/>
        <w:rPr>
          <w:rFonts w:ascii="Arial" w:hAnsi="Arial" w:cs="Arial"/>
          <w:sz w:val="20"/>
          <w:szCs w:val="20"/>
        </w:rPr>
      </w:pPr>
      <w:r w:rsidRPr="00522BA0">
        <w:rPr>
          <w:rFonts w:ascii="Arial" w:hAnsi="Arial" w:cs="Arial"/>
          <w:sz w:val="20"/>
          <w:szCs w:val="20"/>
        </w:rPr>
        <w:t>Weeks 24</w:t>
      </w:r>
      <w:r w:rsidRPr="00522BA0">
        <w:rPr>
          <w:rFonts w:ascii="Arial" w:hAnsi="Arial" w:cs="Arial"/>
          <w:sz w:val="20"/>
          <w:szCs w:val="20"/>
        </w:rPr>
        <w:sym w:font="Symbol" w:char="F02D"/>
      </w:r>
      <w:r w:rsidRPr="00522BA0">
        <w:rPr>
          <w:rFonts w:ascii="Arial" w:hAnsi="Arial" w:cs="Arial"/>
          <w:sz w:val="20"/>
          <w:szCs w:val="20"/>
        </w:rPr>
        <w:t>48</w:t>
      </w:r>
    </w:p>
    <w:p w:rsidR="00522BA0" w:rsidRPr="007B214E" w:rsidRDefault="00B5418D" w:rsidP="00522BA0">
      <w:pPr>
        <w:suppressLineNumbers/>
        <w:spacing w:after="120" w:line="480" w:lineRule="auto"/>
        <w:rPr>
          <w:rFonts w:ascii="Arial" w:hAnsi="Arial" w:cs="Arial"/>
          <w:szCs w:val="20"/>
        </w:rPr>
      </w:pPr>
      <w:r w:rsidRPr="0025232D">
        <w:rPr>
          <w:rFonts w:ascii="Arial" w:hAnsi="Arial" w:cs="Arial"/>
          <w:noProof/>
          <w:szCs w:val="20"/>
        </w:rPr>
        <w:drawing>
          <wp:inline distT="0" distB="0" distL="0" distR="0" wp14:anchorId="18DA925E" wp14:editId="142DEBAE">
            <wp:extent cx="4984854" cy="321103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013" cy="3211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BA0" w:rsidRDefault="00522BA0" w:rsidP="00522BA0">
      <w:pPr>
        <w:suppressLineNumbers/>
        <w:spacing w:after="120" w:line="240" w:lineRule="auto"/>
        <w:rPr>
          <w:rFonts w:ascii="Arial" w:hAnsi="Arial" w:cs="Arial"/>
          <w:sz w:val="20"/>
          <w:szCs w:val="20"/>
          <w:lang w:val="en-GB"/>
        </w:rPr>
      </w:pPr>
      <w:r w:rsidRPr="004A4C83">
        <w:rPr>
          <w:rFonts w:ascii="Arial" w:hAnsi="Arial" w:cs="Arial"/>
          <w:sz w:val="20"/>
          <w:szCs w:val="20"/>
          <w:lang w:val="en-GB"/>
        </w:rPr>
        <w:t xml:space="preserve">ORs are shown with 95% confidence intervals in parentheses. </w:t>
      </w:r>
      <w:proofErr w:type="spellStart"/>
      <w:proofErr w:type="gramStart"/>
      <w:r w:rsidR="00B5418D">
        <w:rPr>
          <w:rFonts w:ascii="Arial" w:hAnsi="Arial" w:cs="Arial"/>
          <w:sz w:val="20"/>
          <w:szCs w:val="20"/>
          <w:vertAlign w:val="superscript"/>
          <w:lang w:val="en-GB"/>
        </w:rPr>
        <w:t>a</w:t>
      </w:r>
      <w:r w:rsidRPr="004A4C83">
        <w:rPr>
          <w:rFonts w:ascii="Arial" w:hAnsi="Arial" w:cs="Arial"/>
          <w:sz w:val="20"/>
          <w:szCs w:val="20"/>
          <w:lang w:val="en-GB"/>
        </w:rPr>
        <w:t>D</w:t>
      </w:r>
      <w:r w:rsidRPr="004A4C83">
        <w:rPr>
          <w:rFonts w:ascii="Arial" w:hAnsi="Arial" w:cs="Arial"/>
          <w:sz w:val="20"/>
          <w:szCs w:val="20"/>
        </w:rPr>
        <w:t>efined</w:t>
      </w:r>
      <w:proofErr w:type="spellEnd"/>
      <w:proofErr w:type="gramEnd"/>
      <w:r w:rsidRPr="004A4C8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A4C83">
        <w:rPr>
          <w:rFonts w:ascii="Arial" w:hAnsi="Arial" w:cs="Arial"/>
          <w:sz w:val="20"/>
          <w:szCs w:val="20"/>
        </w:rPr>
        <w:t>as</w:t>
      </w:r>
      <w:proofErr w:type="spellEnd"/>
      <w:r w:rsidRPr="004A4C83">
        <w:rPr>
          <w:rFonts w:ascii="Arial" w:hAnsi="Arial" w:cs="Arial"/>
          <w:sz w:val="20"/>
          <w:szCs w:val="20"/>
        </w:rPr>
        <w:t xml:space="preserve"> no </w:t>
      </w:r>
      <w:r w:rsidRPr="004A4C83">
        <w:rPr>
          <w:rFonts w:ascii="Arial" w:hAnsi="Arial" w:cs="Arial"/>
          <w:sz w:val="20"/>
          <w:szCs w:val="20"/>
          <w:lang w:val="en-GB"/>
        </w:rPr>
        <w:t xml:space="preserve">gadolinium-enhancing </w:t>
      </w:r>
      <w:r w:rsidRPr="003317F9">
        <w:rPr>
          <w:rFonts w:ascii="Arial" w:hAnsi="Arial" w:cs="Arial"/>
          <w:sz w:val="20"/>
          <w:szCs w:val="20"/>
        </w:rPr>
        <w:t xml:space="preserve">lesions at Week 24 and Week 48 and no </w:t>
      </w:r>
      <w:r w:rsidRPr="00D44161">
        <w:rPr>
          <w:rFonts w:ascii="Arial" w:hAnsi="Arial" w:cs="Arial"/>
          <w:sz w:val="20"/>
          <w:szCs w:val="20"/>
        </w:rPr>
        <w:t xml:space="preserve">new or newly-enlarging T2 lesions compared with baseline at Week 48. </w:t>
      </w:r>
      <w:proofErr w:type="spellStart"/>
      <w:r w:rsidR="00B5418D">
        <w:rPr>
          <w:rFonts w:ascii="Arial" w:hAnsi="Arial" w:cs="Arial"/>
          <w:sz w:val="20"/>
          <w:szCs w:val="20"/>
          <w:vertAlign w:val="superscript"/>
          <w:lang w:val="en-GB"/>
        </w:rPr>
        <w:t>b</w:t>
      </w:r>
      <w:r w:rsidRPr="00D44161">
        <w:rPr>
          <w:rFonts w:ascii="Arial" w:hAnsi="Arial" w:cs="Arial"/>
          <w:sz w:val="20"/>
          <w:szCs w:val="20"/>
          <w:lang w:val="en-GB"/>
        </w:rPr>
        <w:t>Defined</w:t>
      </w:r>
      <w:proofErr w:type="spellEnd"/>
      <w:r w:rsidRPr="00D44161">
        <w:rPr>
          <w:rFonts w:ascii="Arial" w:hAnsi="Arial" w:cs="Arial"/>
          <w:sz w:val="20"/>
          <w:szCs w:val="20"/>
          <w:lang w:val="en-GB"/>
        </w:rPr>
        <w:t xml:space="preserve"> as </w:t>
      </w:r>
      <w:r w:rsidRPr="00D44161">
        <w:rPr>
          <w:rFonts w:ascii="Arial" w:hAnsi="Arial" w:cs="Arial"/>
          <w:sz w:val="20"/>
          <w:szCs w:val="20"/>
        </w:rPr>
        <w:t xml:space="preserve">no </w:t>
      </w:r>
      <w:r w:rsidRPr="00D44161">
        <w:rPr>
          <w:rFonts w:ascii="Arial" w:hAnsi="Arial" w:cs="Arial"/>
          <w:sz w:val="20"/>
          <w:szCs w:val="20"/>
          <w:lang w:val="en-GB"/>
        </w:rPr>
        <w:t xml:space="preserve">gadolinium-enhancing </w:t>
      </w:r>
      <w:r w:rsidRPr="00D44161">
        <w:rPr>
          <w:rFonts w:ascii="Arial" w:hAnsi="Arial" w:cs="Arial"/>
          <w:sz w:val="20"/>
          <w:szCs w:val="20"/>
        </w:rPr>
        <w:t>lesions at Week 24 and no new or newly-enlarging T2 lesions at Week 24 compared with baseline;</w:t>
      </w:r>
      <w:r w:rsidRPr="00D44161">
        <w:rPr>
          <w:rFonts w:ascii="Arial" w:hAnsi="Arial" w:cs="Arial"/>
          <w:sz w:val="20"/>
          <w:szCs w:val="20"/>
          <w:vertAlign w:val="superscript"/>
          <w:lang w:val="en-GB"/>
        </w:rPr>
        <w:t xml:space="preserve"> </w:t>
      </w:r>
      <w:proofErr w:type="spellStart"/>
      <w:r w:rsidR="00B5418D">
        <w:rPr>
          <w:rFonts w:ascii="Arial" w:hAnsi="Arial" w:cs="Arial"/>
          <w:sz w:val="20"/>
          <w:szCs w:val="20"/>
          <w:vertAlign w:val="superscript"/>
          <w:lang w:val="en-GB"/>
        </w:rPr>
        <w:t>c</w:t>
      </w:r>
      <w:r w:rsidRPr="00D44161">
        <w:rPr>
          <w:rFonts w:ascii="Arial" w:hAnsi="Arial" w:cs="Arial"/>
          <w:sz w:val="20"/>
          <w:szCs w:val="20"/>
          <w:lang w:val="en-GB"/>
        </w:rPr>
        <w:t>D</w:t>
      </w:r>
      <w:r w:rsidRPr="00D44161">
        <w:rPr>
          <w:rFonts w:ascii="Arial" w:hAnsi="Arial" w:cs="Arial"/>
          <w:sz w:val="20"/>
          <w:szCs w:val="20"/>
        </w:rPr>
        <w:t>efined</w:t>
      </w:r>
      <w:proofErr w:type="spellEnd"/>
      <w:r w:rsidRPr="00D44161">
        <w:rPr>
          <w:rFonts w:ascii="Arial" w:hAnsi="Arial" w:cs="Arial"/>
          <w:sz w:val="20"/>
          <w:szCs w:val="20"/>
        </w:rPr>
        <w:t xml:space="preserve"> as </w:t>
      </w:r>
      <w:r w:rsidRPr="00D44161">
        <w:rPr>
          <w:rFonts w:ascii="Arial" w:hAnsi="Arial" w:cs="Arial"/>
          <w:sz w:val="20"/>
          <w:szCs w:val="20"/>
          <w:lang w:val="en-GB"/>
        </w:rPr>
        <w:t xml:space="preserve">no gadolinium-enhancing lesions at Week 48 and no new or newly-enlarging T2 lesions at Week 48 compared </w:t>
      </w:r>
      <w:r w:rsidRPr="00D44161">
        <w:rPr>
          <w:rFonts w:ascii="Arial" w:hAnsi="Arial" w:cs="Arial"/>
          <w:sz w:val="20"/>
          <w:szCs w:val="20"/>
        </w:rPr>
        <w:t xml:space="preserve">with Week 24 or the closest previous visit before Week 48. </w:t>
      </w:r>
      <w:r w:rsidRPr="00D44161">
        <w:rPr>
          <w:rFonts w:ascii="Arial" w:hAnsi="Arial" w:cs="Arial"/>
          <w:sz w:val="20"/>
          <w:szCs w:val="20"/>
          <w:lang w:val="en-GB"/>
        </w:rPr>
        <w:t xml:space="preserve">Data from patients with </w:t>
      </w:r>
      <w:r>
        <w:rPr>
          <w:rFonts w:ascii="Arial" w:hAnsi="Arial" w:cs="Arial"/>
          <w:sz w:val="20"/>
          <w:szCs w:val="20"/>
          <w:lang w:val="en-GB"/>
        </w:rPr>
        <w:t>complete</w:t>
      </w:r>
      <w:r w:rsidRPr="00D44161">
        <w:rPr>
          <w:rFonts w:ascii="Arial" w:hAnsi="Arial" w:cs="Arial"/>
          <w:sz w:val="20"/>
          <w:szCs w:val="20"/>
          <w:lang w:val="en-GB"/>
        </w:rPr>
        <w:t xml:space="preserve"> MRI results during the time interval were used. </w:t>
      </w:r>
      <w:r>
        <w:rPr>
          <w:rFonts w:ascii="Arial" w:hAnsi="Arial" w:cs="Arial"/>
          <w:sz w:val="20"/>
          <w:szCs w:val="20"/>
          <w:lang w:val="en-GB"/>
        </w:rPr>
        <w:t>NEDA</w:t>
      </w:r>
      <w:r w:rsidRPr="00D44161">
        <w:rPr>
          <w:rFonts w:ascii="Arial" w:hAnsi="Arial" w:cs="Arial"/>
          <w:sz w:val="20"/>
          <w:szCs w:val="20"/>
          <w:lang w:val="en-GB"/>
        </w:rPr>
        <w:t>=</w:t>
      </w:r>
      <w:r>
        <w:rPr>
          <w:rFonts w:ascii="Arial" w:hAnsi="Arial" w:cs="Arial"/>
          <w:sz w:val="20"/>
          <w:szCs w:val="20"/>
          <w:lang w:val="en-GB"/>
        </w:rPr>
        <w:t>No evidence of</w:t>
      </w:r>
      <w:r w:rsidRPr="00D44161">
        <w:rPr>
          <w:rFonts w:ascii="Arial" w:hAnsi="Arial" w:cs="Arial"/>
          <w:sz w:val="20"/>
          <w:szCs w:val="20"/>
          <w:lang w:val="en-GB"/>
        </w:rPr>
        <w:t xml:space="preserve"> disease activity</w:t>
      </w:r>
      <w:r w:rsidRPr="004A4C83">
        <w:rPr>
          <w:rFonts w:ascii="Arial" w:hAnsi="Arial" w:cs="Arial"/>
          <w:sz w:val="20"/>
          <w:szCs w:val="20"/>
          <w:lang w:val="en-GB"/>
        </w:rPr>
        <w:t xml:space="preserve">; MRI = magnetic resonance imaging; </w:t>
      </w:r>
      <w:r w:rsidRPr="004A4C83">
        <w:rPr>
          <w:rFonts w:ascii="Arial" w:hAnsi="Arial" w:cs="Arial"/>
          <w:sz w:val="20"/>
          <w:szCs w:val="20"/>
        </w:rPr>
        <w:t>OR = odds ratio</w:t>
      </w:r>
      <w:r>
        <w:rPr>
          <w:rFonts w:ascii="Arial" w:hAnsi="Arial" w:cs="Arial"/>
          <w:sz w:val="20"/>
          <w:szCs w:val="20"/>
        </w:rPr>
        <w:t>.</w:t>
      </w:r>
    </w:p>
    <w:p w:rsidR="00522BA0" w:rsidRDefault="00522BA0" w:rsidP="00522BA0">
      <w:pPr>
        <w:suppressLineNumbers/>
      </w:pPr>
    </w:p>
    <w:p w:rsidR="00522BA0" w:rsidRDefault="00522BA0" w:rsidP="00522BA0">
      <w:pPr>
        <w:suppressLineNumbers/>
      </w:pPr>
    </w:p>
    <w:p w:rsidR="00522BA0" w:rsidRDefault="00522BA0" w:rsidP="00522BA0">
      <w:pPr>
        <w:suppressLineNumbers/>
      </w:pPr>
    </w:p>
    <w:p w:rsidR="00522BA0" w:rsidRDefault="00522BA0" w:rsidP="00522BA0">
      <w:pPr>
        <w:suppressLineNumbers/>
      </w:pPr>
    </w:p>
    <w:p w:rsidR="00522BA0" w:rsidRDefault="00522BA0" w:rsidP="00522BA0">
      <w:pPr>
        <w:suppressLineNumbers/>
      </w:pPr>
    </w:p>
    <w:p w:rsidR="00522BA0" w:rsidRDefault="00522BA0" w:rsidP="00522BA0">
      <w:pPr>
        <w:suppressLineNumbers/>
      </w:pPr>
    </w:p>
    <w:p w:rsidR="00522BA0" w:rsidRDefault="00522BA0" w:rsidP="00522BA0">
      <w:pPr>
        <w:suppressLineNumbers/>
      </w:pPr>
    </w:p>
    <w:p w:rsidR="00522BA0" w:rsidRDefault="00522BA0" w:rsidP="00522BA0">
      <w:pPr>
        <w:suppressLineNumbers/>
      </w:pPr>
    </w:p>
    <w:p w:rsidR="00522BA0" w:rsidRPr="003E42FE" w:rsidRDefault="00522BA0" w:rsidP="00522BA0">
      <w:pPr>
        <w:suppressLineNumbers/>
        <w:rPr>
          <w:rFonts w:ascii="Arial" w:eastAsia="Times New Roman" w:hAnsi="Arial" w:cs="Arial"/>
          <w:b/>
        </w:rPr>
      </w:pPr>
      <w:r>
        <w:lastRenderedPageBreak/>
        <w:br/>
      </w:r>
      <w:r>
        <w:br/>
      </w:r>
      <w:r>
        <w:rPr>
          <w:rFonts w:ascii="Arial" w:eastAsia="Times New Roman" w:hAnsi="Arial" w:cs="Arial"/>
          <w:b/>
        </w:rPr>
        <w:br/>
      </w:r>
      <w:r>
        <w:rPr>
          <w:rFonts w:ascii="Arial" w:hAnsi="Arial" w:cs="Arial"/>
          <w:b/>
          <w:bCs/>
          <w:lang w:val="en-GB"/>
        </w:rPr>
        <w:t>Additional File 2 Figure 3</w:t>
      </w:r>
      <w:r w:rsidRPr="0005727B">
        <w:rPr>
          <w:rFonts w:ascii="Arial" w:eastAsia="Times New Roman" w:hAnsi="Arial" w:cs="Arial"/>
          <w:b/>
        </w:rPr>
        <w:t>.</w:t>
      </w:r>
      <w:r w:rsidRPr="0005727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Clinical</w:t>
      </w:r>
      <w:r w:rsidRPr="0005727B"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</w:rPr>
        <w:t>NEDA</w:t>
      </w:r>
      <w:r w:rsidRPr="0005727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proportions </w:t>
      </w:r>
    </w:p>
    <w:p w:rsidR="00522BA0" w:rsidRPr="00522BA0" w:rsidRDefault="00522BA0" w:rsidP="00522BA0">
      <w:pPr>
        <w:pStyle w:val="ListParagraph"/>
        <w:keepLines/>
        <w:numPr>
          <w:ilvl w:val="0"/>
          <w:numId w:val="2"/>
        </w:numPr>
        <w:suppressLineNumbers/>
        <w:spacing w:after="120" w:line="480" w:lineRule="auto"/>
        <w:rPr>
          <w:rFonts w:ascii="Arial" w:eastAsia="Times New Roman" w:hAnsi="Arial" w:cs="Arial"/>
          <w:sz w:val="20"/>
          <w:szCs w:val="20"/>
        </w:rPr>
      </w:pPr>
      <w:r w:rsidRPr="00522BA0">
        <w:rPr>
          <w:rFonts w:ascii="Arial" w:eastAsia="Times New Roman" w:hAnsi="Arial" w:cs="Arial"/>
          <w:sz w:val="20"/>
          <w:szCs w:val="20"/>
        </w:rPr>
        <w:t>Baseline to Week 48</w:t>
      </w:r>
    </w:p>
    <w:p w:rsidR="00522BA0" w:rsidRPr="004530EC" w:rsidRDefault="00B5418D" w:rsidP="00522BA0">
      <w:pPr>
        <w:keepLines/>
        <w:suppressLineNumbers/>
        <w:spacing w:after="120" w:line="480" w:lineRule="auto"/>
        <w:ind w:left="360"/>
        <w:rPr>
          <w:rFonts w:ascii="Arial" w:eastAsia="Times New Roman" w:hAnsi="Arial" w:cs="Arial"/>
        </w:rPr>
      </w:pPr>
      <w:r w:rsidRPr="0025232D">
        <w:rPr>
          <w:rFonts w:ascii="Arial" w:eastAsia="Times New Roman" w:hAnsi="Arial" w:cs="Arial"/>
          <w:noProof/>
        </w:rPr>
        <w:drawing>
          <wp:inline distT="0" distB="0" distL="0" distR="0" wp14:anchorId="17F7EED1" wp14:editId="1D9181C6">
            <wp:extent cx="4967161" cy="311417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404" cy="31193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BA0" w:rsidRDefault="00522BA0" w:rsidP="00522BA0">
      <w:pPr>
        <w:pStyle w:val="ListParagraph"/>
        <w:keepLines/>
        <w:suppressLineNumbers/>
        <w:spacing w:after="120" w:line="48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522BA0" w:rsidRPr="00522BA0" w:rsidRDefault="00522BA0" w:rsidP="00522BA0">
      <w:pPr>
        <w:pStyle w:val="ListParagraph"/>
        <w:keepLines/>
        <w:numPr>
          <w:ilvl w:val="0"/>
          <w:numId w:val="2"/>
        </w:numPr>
        <w:suppressLineNumbers/>
        <w:spacing w:after="120" w:line="480" w:lineRule="auto"/>
        <w:rPr>
          <w:rFonts w:ascii="Arial" w:eastAsia="Times New Roman" w:hAnsi="Arial" w:cs="Arial"/>
          <w:sz w:val="20"/>
          <w:szCs w:val="20"/>
        </w:rPr>
      </w:pPr>
      <w:r w:rsidRPr="00522BA0">
        <w:rPr>
          <w:rFonts w:ascii="Arial" w:eastAsia="Times New Roman" w:hAnsi="Arial" w:cs="Arial"/>
          <w:sz w:val="20"/>
          <w:szCs w:val="20"/>
        </w:rPr>
        <w:t>Baseline to Week 24</w:t>
      </w:r>
    </w:p>
    <w:p w:rsidR="00522BA0" w:rsidRPr="002C5944" w:rsidRDefault="0035641E" w:rsidP="00522BA0">
      <w:pPr>
        <w:keepLines/>
        <w:suppressLineNumbers/>
        <w:spacing w:after="120" w:line="480" w:lineRule="auto"/>
        <w:rPr>
          <w:rFonts w:ascii="Arial" w:eastAsia="Times New Roman" w:hAnsi="Arial" w:cs="Arial"/>
        </w:rPr>
      </w:pPr>
      <w:r w:rsidRPr="0025232D">
        <w:rPr>
          <w:rFonts w:ascii="Arial" w:eastAsia="Times New Roman" w:hAnsi="Arial" w:cs="Arial"/>
          <w:noProof/>
        </w:rPr>
        <w:drawing>
          <wp:inline distT="0" distB="0" distL="0" distR="0" wp14:anchorId="34A8BDFF" wp14:editId="488DC0E5">
            <wp:extent cx="5189481" cy="3253563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909" cy="3259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BA0" w:rsidRPr="00522BA0" w:rsidRDefault="00522BA0" w:rsidP="00522BA0">
      <w:pPr>
        <w:pStyle w:val="ListParagraph"/>
        <w:keepLines/>
        <w:numPr>
          <w:ilvl w:val="0"/>
          <w:numId w:val="2"/>
        </w:numPr>
        <w:suppressLineNumbers/>
        <w:spacing w:after="120" w:line="480" w:lineRule="auto"/>
        <w:rPr>
          <w:rFonts w:ascii="Arial" w:eastAsia="Times New Roman" w:hAnsi="Arial" w:cs="Arial"/>
          <w:sz w:val="20"/>
          <w:szCs w:val="20"/>
        </w:rPr>
      </w:pPr>
      <w:r w:rsidRPr="00522BA0">
        <w:rPr>
          <w:rFonts w:ascii="Arial" w:eastAsia="Times New Roman" w:hAnsi="Arial" w:cs="Arial"/>
          <w:sz w:val="20"/>
          <w:szCs w:val="20"/>
        </w:rPr>
        <w:t>Weeks 24</w:t>
      </w:r>
      <w:r w:rsidRPr="00522BA0">
        <w:rPr>
          <w:rFonts w:ascii="Arial" w:eastAsia="Times New Roman" w:hAnsi="Arial" w:cs="Arial"/>
          <w:sz w:val="20"/>
          <w:szCs w:val="20"/>
        </w:rPr>
        <w:sym w:font="Symbol" w:char="F02D"/>
      </w:r>
      <w:r w:rsidRPr="00522BA0">
        <w:rPr>
          <w:rFonts w:ascii="Arial" w:eastAsia="Times New Roman" w:hAnsi="Arial" w:cs="Arial"/>
          <w:sz w:val="20"/>
          <w:szCs w:val="20"/>
        </w:rPr>
        <w:t>48</w:t>
      </w:r>
    </w:p>
    <w:p w:rsidR="00522BA0" w:rsidRDefault="0035641E" w:rsidP="00522BA0">
      <w:pPr>
        <w:keepLines/>
        <w:suppressLineNumbers/>
        <w:spacing w:after="120" w:line="480" w:lineRule="auto"/>
        <w:rPr>
          <w:rFonts w:ascii="Arial" w:eastAsia="Times New Roman" w:hAnsi="Arial" w:cs="Arial"/>
          <w:sz w:val="20"/>
          <w:szCs w:val="20"/>
        </w:rPr>
      </w:pPr>
      <w:r w:rsidRPr="0025232D">
        <w:rPr>
          <w:rFonts w:ascii="Arial" w:eastAsia="Times New Roman" w:hAnsi="Arial" w:cs="Arial"/>
          <w:noProof/>
          <w:sz w:val="20"/>
          <w:szCs w:val="20"/>
        </w:rPr>
        <w:drawing>
          <wp:inline distT="0" distB="0" distL="0" distR="0" wp14:anchorId="57EA2F0F" wp14:editId="4E1C264B">
            <wp:extent cx="5623979" cy="361507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525" cy="3617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0609" w:rsidRPr="00522BA0" w:rsidRDefault="00522BA0" w:rsidP="0025232D">
      <w:pPr>
        <w:keepLines/>
        <w:suppressLineNumbers/>
        <w:spacing w:after="120" w:line="240" w:lineRule="auto"/>
        <w:rPr>
          <w:b/>
        </w:rPr>
      </w:pPr>
      <w:r w:rsidRPr="00DF25E0">
        <w:rPr>
          <w:rFonts w:ascii="Arial" w:eastAsia="Times New Roman" w:hAnsi="Arial" w:cs="Arial"/>
          <w:sz w:val="20"/>
          <w:szCs w:val="20"/>
          <w:lang w:val="en-GB"/>
        </w:rPr>
        <w:t xml:space="preserve">ORs are shown with 95% confidence intervals in parentheses. </w:t>
      </w:r>
      <w:proofErr w:type="spellStart"/>
      <w:proofErr w:type="gramStart"/>
      <w:r w:rsidR="0035641E">
        <w:rPr>
          <w:rFonts w:ascii="Arial" w:eastAsia="Times New Roman" w:hAnsi="Arial" w:cs="Arial"/>
          <w:b/>
          <w:bCs/>
          <w:sz w:val="20"/>
          <w:szCs w:val="20"/>
          <w:vertAlign w:val="superscript"/>
          <w:lang w:val="en-GB"/>
        </w:rPr>
        <w:t>a</w:t>
      </w:r>
      <w:r w:rsidRPr="00DF25E0">
        <w:rPr>
          <w:rFonts w:ascii="Arial" w:eastAsia="Times New Roman" w:hAnsi="Arial" w:cs="Arial"/>
          <w:sz w:val="20"/>
          <w:szCs w:val="20"/>
          <w:lang w:val="en-GB"/>
        </w:rPr>
        <w:t>Defined</w:t>
      </w:r>
      <w:proofErr w:type="spellEnd"/>
      <w:proofErr w:type="gramEnd"/>
      <w:r w:rsidRPr="00DF25E0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DF25E0">
        <w:rPr>
          <w:rFonts w:ascii="Arial" w:eastAsia="Times New Roman" w:hAnsi="Arial" w:cs="Arial"/>
          <w:sz w:val="20"/>
          <w:szCs w:val="20"/>
          <w:lang w:val="en-GB"/>
        </w:rPr>
        <w:t>as</w:t>
      </w:r>
      <w:proofErr w:type="spellEnd"/>
      <w:r w:rsidRPr="00DF25E0">
        <w:rPr>
          <w:rFonts w:ascii="Arial" w:eastAsia="Times New Roman" w:hAnsi="Arial" w:cs="Arial"/>
          <w:sz w:val="20"/>
          <w:szCs w:val="20"/>
          <w:lang w:val="en-GB"/>
        </w:rPr>
        <w:t xml:space="preserve"> no relapses and </w:t>
      </w:r>
      <w:r w:rsidRPr="00DF25E0">
        <w:rPr>
          <w:rFonts w:ascii="Arial" w:eastAsia="Times New Roman" w:hAnsi="Arial" w:cs="Arial"/>
          <w:sz w:val="20"/>
          <w:szCs w:val="20"/>
        </w:rPr>
        <w:t xml:space="preserve">no onset of 12-week </w:t>
      </w:r>
      <w:r>
        <w:rPr>
          <w:rFonts w:ascii="Arial" w:eastAsia="Times New Roman" w:hAnsi="Arial" w:cs="Arial"/>
          <w:sz w:val="20"/>
          <w:szCs w:val="20"/>
        </w:rPr>
        <w:t xml:space="preserve">confirmed </w:t>
      </w:r>
      <w:r w:rsidRPr="00DF25E0">
        <w:rPr>
          <w:rFonts w:ascii="Arial" w:eastAsia="Times New Roman" w:hAnsi="Arial" w:cs="Arial"/>
          <w:sz w:val="20"/>
          <w:szCs w:val="20"/>
        </w:rPr>
        <w:t>disabilit</w:t>
      </w:r>
      <w:r>
        <w:rPr>
          <w:rFonts w:ascii="Arial" w:eastAsia="Times New Roman" w:hAnsi="Arial" w:cs="Arial"/>
          <w:sz w:val="20"/>
          <w:szCs w:val="20"/>
        </w:rPr>
        <w:t>y progression over the interval specified</w:t>
      </w:r>
      <w:r w:rsidRPr="00DF25E0">
        <w:rPr>
          <w:rFonts w:ascii="Arial" w:eastAsia="Times New Roman" w:hAnsi="Arial" w:cs="Arial"/>
          <w:sz w:val="20"/>
          <w:szCs w:val="20"/>
          <w:lang w:val="en-GB"/>
        </w:rPr>
        <w:t xml:space="preserve">. </w:t>
      </w:r>
      <w:r>
        <w:rPr>
          <w:rFonts w:ascii="Arial" w:eastAsia="Times New Roman" w:hAnsi="Arial" w:cs="Arial"/>
          <w:sz w:val="20"/>
          <w:szCs w:val="20"/>
        </w:rPr>
        <w:t>NEDA</w:t>
      </w:r>
      <w:r w:rsidRPr="00DF25E0">
        <w:rPr>
          <w:rFonts w:ascii="Arial" w:eastAsia="Times New Roman" w:hAnsi="Arial" w:cs="Arial"/>
          <w:sz w:val="20"/>
          <w:szCs w:val="20"/>
        </w:rPr>
        <w:t xml:space="preserve"> = </w:t>
      </w:r>
      <w:r>
        <w:rPr>
          <w:rFonts w:ascii="Arial" w:eastAsia="Times New Roman" w:hAnsi="Arial" w:cs="Arial"/>
          <w:sz w:val="20"/>
          <w:szCs w:val="20"/>
        </w:rPr>
        <w:t>No evidence of</w:t>
      </w:r>
      <w:r w:rsidRPr="00DF25E0">
        <w:rPr>
          <w:rFonts w:ascii="Arial" w:eastAsia="Times New Roman" w:hAnsi="Arial" w:cs="Arial"/>
          <w:sz w:val="20"/>
          <w:szCs w:val="20"/>
        </w:rPr>
        <w:t xml:space="preserve"> disease activity; OR = odds ratio</w:t>
      </w:r>
      <w:r>
        <w:rPr>
          <w:rFonts w:ascii="Arial" w:eastAsia="Times New Roman" w:hAnsi="Arial" w:cs="Arial"/>
          <w:sz w:val="20"/>
          <w:szCs w:val="20"/>
        </w:rPr>
        <w:t>.</w:t>
      </w:r>
    </w:p>
    <w:sectPr w:rsidR="00A20609" w:rsidRPr="00522BA0" w:rsidSect="00A206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36413"/>
    <w:multiLevelType w:val="hybridMultilevel"/>
    <w:tmpl w:val="B7B640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92E74"/>
    <w:multiLevelType w:val="hybridMultilevel"/>
    <w:tmpl w:val="E286F13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BA0"/>
    <w:rsid w:val="000033C7"/>
    <w:rsid w:val="0002792B"/>
    <w:rsid w:val="0025232D"/>
    <w:rsid w:val="0035641E"/>
    <w:rsid w:val="004147E8"/>
    <w:rsid w:val="0044374A"/>
    <w:rsid w:val="00522BA0"/>
    <w:rsid w:val="005F0185"/>
    <w:rsid w:val="00663A1C"/>
    <w:rsid w:val="00A20609"/>
    <w:rsid w:val="00B5418D"/>
    <w:rsid w:val="00E63FB6"/>
    <w:rsid w:val="00FD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F1F2E0-18DA-4EFE-8B7B-4D61D2A5C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2B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2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KnowledgePoint360 Group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Srey</dc:creator>
  <cp:lastModifiedBy>Dindo  Abarito</cp:lastModifiedBy>
  <cp:revision>4</cp:revision>
  <dcterms:created xsi:type="dcterms:W3CDTF">2015-01-20T21:37:00Z</dcterms:created>
  <dcterms:modified xsi:type="dcterms:W3CDTF">2015-01-20T22:55:00Z</dcterms:modified>
</cp:coreProperties>
</file>