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87B" w:rsidRDefault="00F9487B" w:rsidP="00E03C99">
      <w:pPr>
        <w:spacing w:after="0" w:line="240" w:lineRule="auto"/>
        <w:jc w:val="center"/>
        <w:rPr>
          <w:rFonts w:cs="Arial"/>
          <w:b/>
          <w:sz w:val="28"/>
          <w:szCs w:val="28"/>
        </w:rPr>
      </w:pPr>
      <w:bookmarkStart w:id="0" w:name="_Toc354739276"/>
      <w:bookmarkStart w:id="1" w:name="_Toc385693647"/>
      <w:bookmarkStart w:id="2" w:name="_Toc385698108"/>
      <w:bookmarkStart w:id="3" w:name="_Toc385698012"/>
      <w:bookmarkStart w:id="4" w:name="_Toc385698015"/>
      <w:r>
        <w:rPr>
          <w:rFonts w:cs="Arial"/>
          <w:b/>
          <w:sz w:val="28"/>
          <w:szCs w:val="28"/>
          <w:u w:val="single"/>
        </w:rPr>
        <w:t>Additional file 8</w:t>
      </w:r>
      <w:r>
        <w:rPr>
          <w:rFonts w:cs="Arial"/>
          <w:b/>
          <w:sz w:val="28"/>
          <w:szCs w:val="28"/>
        </w:rPr>
        <w:t xml:space="preserve">: </w:t>
      </w:r>
      <w:bookmarkEnd w:id="0"/>
      <w:bookmarkEnd w:id="1"/>
      <w:bookmarkEnd w:id="2"/>
      <w:bookmarkEnd w:id="3"/>
      <w:r>
        <w:rPr>
          <w:rFonts w:cs="Arial"/>
          <w:b/>
          <w:sz w:val="28"/>
          <w:szCs w:val="28"/>
        </w:rPr>
        <w:t>Overview of methods used to differentiate symptomatic from disease-modifying effects of putative disease-modifying agents in all included randomised controlled trials in Parkinson’s disease</w:t>
      </w:r>
      <w:bookmarkEnd w:id="4"/>
    </w:p>
    <w:p w:rsidR="00F9487B" w:rsidRPr="00E03C99" w:rsidRDefault="00F9487B" w:rsidP="00E03C99">
      <w:pPr>
        <w:spacing w:after="0" w:line="240" w:lineRule="auto"/>
        <w:jc w:val="center"/>
        <w:rPr>
          <w:rFonts w:cs="Arial"/>
          <w:b/>
          <w:sz w:val="16"/>
          <w:szCs w:val="16"/>
          <w:u w:val="single"/>
        </w:rPr>
      </w:pPr>
    </w:p>
    <w:tbl>
      <w:tblPr>
        <w:tblStyle w:val="TableGrid1"/>
        <w:tblW w:w="15654" w:type="dxa"/>
        <w:jc w:val="center"/>
        <w:tblInd w:w="-103" w:type="dxa"/>
        <w:tblLayout w:type="fixed"/>
        <w:tblLook w:val="04A0" w:firstRow="1" w:lastRow="0" w:firstColumn="1" w:lastColumn="0" w:noHBand="0" w:noVBand="1"/>
      </w:tblPr>
      <w:tblGrid>
        <w:gridCol w:w="2318"/>
        <w:gridCol w:w="1417"/>
        <w:gridCol w:w="1276"/>
        <w:gridCol w:w="1469"/>
        <w:gridCol w:w="1530"/>
        <w:gridCol w:w="1710"/>
        <w:gridCol w:w="630"/>
        <w:gridCol w:w="48"/>
        <w:gridCol w:w="1212"/>
        <w:gridCol w:w="720"/>
        <w:gridCol w:w="582"/>
        <w:gridCol w:w="2742"/>
      </w:tblGrid>
      <w:tr w:rsidR="00931BC5" w:rsidRPr="00931BC5" w:rsidTr="00F33866">
        <w:trPr>
          <w:jc w:val="center"/>
        </w:trPr>
        <w:tc>
          <w:tcPr>
            <w:tcW w:w="2318" w:type="dxa"/>
            <w:vMerge w:val="restart"/>
            <w:shd w:val="clear" w:color="auto" w:fill="auto"/>
          </w:tcPr>
          <w:p w:rsidR="00F9487B" w:rsidRPr="00931BC5" w:rsidRDefault="00F9487B" w:rsidP="00CF3BE9">
            <w:pPr>
              <w:rPr>
                <w:rFonts w:ascii="Arial Narrow" w:hAnsi="Arial Narrow" w:cs="Arial"/>
                <w:b/>
                <w:sz w:val="20"/>
                <w:szCs w:val="20"/>
              </w:rPr>
            </w:pPr>
            <w:bookmarkStart w:id="5" w:name="_GoBack"/>
            <w:r w:rsidRPr="00931BC5">
              <w:rPr>
                <w:rFonts w:ascii="Arial Narrow" w:hAnsi="Arial Narrow" w:cs="Arial"/>
                <w:b/>
                <w:sz w:val="20"/>
                <w:szCs w:val="20"/>
              </w:rPr>
              <w:t>Trial</w:t>
            </w:r>
          </w:p>
        </w:tc>
        <w:tc>
          <w:tcPr>
            <w:tcW w:w="1417" w:type="dxa"/>
            <w:vMerge w:val="restart"/>
            <w:shd w:val="clear" w:color="auto" w:fill="auto"/>
          </w:tcPr>
          <w:p w:rsidR="00F9487B" w:rsidRPr="00931BC5" w:rsidRDefault="00F9487B" w:rsidP="00CF3BE9">
            <w:pPr>
              <w:rPr>
                <w:rFonts w:ascii="Arial Narrow" w:hAnsi="Arial Narrow" w:cs="Arial"/>
                <w:b/>
                <w:sz w:val="20"/>
                <w:szCs w:val="20"/>
              </w:rPr>
            </w:pPr>
            <w:r w:rsidRPr="00931BC5">
              <w:rPr>
                <w:rFonts w:ascii="Arial Narrow" w:hAnsi="Arial Narrow" w:cs="Arial"/>
                <w:b/>
                <w:sz w:val="20"/>
                <w:szCs w:val="20"/>
              </w:rPr>
              <w:t>Wash-in analysis</w:t>
            </w:r>
          </w:p>
        </w:tc>
        <w:tc>
          <w:tcPr>
            <w:tcW w:w="1276" w:type="dxa"/>
            <w:vMerge w:val="restart"/>
            <w:shd w:val="clear" w:color="auto" w:fill="auto"/>
          </w:tcPr>
          <w:p w:rsidR="00F9487B" w:rsidRPr="00931BC5" w:rsidRDefault="00F9487B" w:rsidP="00CF3BE9">
            <w:pPr>
              <w:rPr>
                <w:rFonts w:ascii="Arial Narrow" w:hAnsi="Arial Narrow" w:cs="Arial"/>
                <w:b/>
                <w:sz w:val="20"/>
                <w:szCs w:val="20"/>
              </w:rPr>
            </w:pPr>
            <w:r w:rsidRPr="00931BC5">
              <w:rPr>
                <w:rFonts w:ascii="Arial Narrow" w:hAnsi="Arial Narrow" w:cs="Arial"/>
                <w:b/>
                <w:sz w:val="20"/>
                <w:szCs w:val="20"/>
              </w:rPr>
              <w:t>Wash-out analysis</w:t>
            </w:r>
          </w:p>
        </w:tc>
        <w:tc>
          <w:tcPr>
            <w:tcW w:w="1469" w:type="dxa"/>
            <w:vMerge w:val="restart"/>
            <w:shd w:val="clear" w:color="auto" w:fill="auto"/>
          </w:tcPr>
          <w:p w:rsidR="00F9487B" w:rsidRPr="00931BC5" w:rsidRDefault="00F9487B" w:rsidP="00CF3BE9">
            <w:pPr>
              <w:rPr>
                <w:rFonts w:ascii="Arial Narrow" w:hAnsi="Arial Narrow" w:cs="Arial"/>
                <w:b/>
                <w:sz w:val="20"/>
                <w:szCs w:val="20"/>
              </w:rPr>
            </w:pPr>
            <w:r w:rsidRPr="00931BC5">
              <w:rPr>
                <w:rFonts w:ascii="Arial Narrow" w:hAnsi="Arial Narrow" w:cs="Arial"/>
                <w:b/>
                <w:sz w:val="20"/>
                <w:szCs w:val="20"/>
              </w:rPr>
              <w:t>Delayed-start trial design</w:t>
            </w:r>
          </w:p>
        </w:tc>
        <w:tc>
          <w:tcPr>
            <w:tcW w:w="1530" w:type="dxa"/>
            <w:vMerge w:val="restart"/>
            <w:shd w:val="clear" w:color="auto" w:fill="auto"/>
          </w:tcPr>
          <w:p w:rsidR="00F9487B" w:rsidRPr="00931BC5" w:rsidRDefault="00F9487B" w:rsidP="00CF3BE9">
            <w:pPr>
              <w:rPr>
                <w:rFonts w:ascii="Arial Narrow" w:hAnsi="Arial Narrow" w:cs="Arial"/>
                <w:b/>
                <w:sz w:val="20"/>
                <w:szCs w:val="20"/>
              </w:rPr>
            </w:pPr>
            <w:r w:rsidRPr="00931BC5">
              <w:rPr>
                <w:rFonts w:ascii="Arial Narrow" w:hAnsi="Arial Narrow" w:cs="Arial"/>
                <w:b/>
                <w:sz w:val="20"/>
                <w:szCs w:val="20"/>
              </w:rPr>
              <w:t xml:space="preserve">Long-term </w:t>
            </w:r>
          </w:p>
          <w:p w:rsidR="00F9487B" w:rsidRPr="00931BC5" w:rsidRDefault="00F9487B" w:rsidP="00CF3BE9">
            <w:pPr>
              <w:rPr>
                <w:rFonts w:ascii="Arial Narrow" w:hAnsi="Arial Narrow" w:cs="Arial"/>
                <w:b/>
                <w:sz w:val="20"/>
                <w:szCs w:val="20"/>
              </w:rPr>
            </w:pPr>
            <w:r w:rsidRPr="00931BC5">
              <w:rPr>
                <w:rFonts w:ascii="Arial Narrow" w:hAnsi="Arial Narrow" w:cs="Arial"/>
                <w:b/>
                <w:sz w:val="20"/>
                <w:szCs w:val="20"/>
              </w:rPr>
              <w:t>follow-up</w:t>
            </w:r>
          </w:p>
        </w:tc>
        <w:tc>
          <w:tcPr>
            <w:tcW w:w="4902" w:type="dxa"/>
            <w:gridSpan w:val="6"/>
            <w:tcBorders>
              <w:bottom w:val="single" w:sz="4" w:space="0" w:color="auto"/>
            </w:tcBorders>
            <w:shd w:val="clear" w:color="auto" w:fill="auto"/>
          </w:tcPr>
          <w:p w:rsidR="00F9487B" w:rsidRPr="00931BC5" w:rsidRDefault="00F9487B" w:rsidP="002342C4">
            <w:pPr>
              <w:jc w:val="center"/>
              <w:rPr>
                <w:rFonts w:ascii="Arial Narrow" w:hAnsi="Arial Narrow" w:cs="Arial"/>
                <w:b/>
                <w:sz w:val="20"/>
                <w:szCs w:val="20"/>
              </w:rPr>
            </w:pPr>
            <w:r w:rsidRPr="00931BC5">
              <w:rPr>
                <w:rFonts w:ascii="Arial Narrow" w:hAnsi="Arial Narrow" w:cs="Arial"/>
                <w:b/>
                <w:sz w:val="20"/>
                <w:szCs w:val="20"/>
              </w:rPr>
              <w:t>Biomarkers (primary or secondary outcome measures)</w:t>
            </w:r>
          </w:p>
        </w:tc>
        <w:tc>
          <w:tcPr>
            <w:tcW w:w="2742" w:type="dxa"/>
            <w:vMerge w:val="restart"/>
            <w:shd w:val="clear" w:color="auto" w:fill="auto"/>
          </w:tcPr>
          <w:p w:rsidR="00F9487B" w:rsidRPr="00931BC5" w:rsidRDefault="00F9487B" w:rsidP="00CF3BE9">
            <w:pPr>
              <w:rPr>
                <w:rFonts w:ascii="Arial Narrow" w:hAnsi="Arial Narrow" w:cs="Arial"/>
                <w:b/>
                <w:sz w:val="20"/>
                <w:szCs w:val="20"/>
              </w:rPr>
            </w:pPr>
            <w:r w:rsidRPr="00931BC5">
              <w:rPr>
                <w:rFonts w:ascii="Arial Narrow" w:hAnsi="Arial Narrow" w:cs="Arial"/>
                <w:b/>
                <w:sz w:val="20"/>
                <w:szCs w:val="20"/>
              </w:rPr>
              <w:t>Time-to-event outcomes</w:t>
            </w:r>
          </w:p>
        </w:tc>
      </w:tr>
      <w:tr w:rsidR="00931BC5" w:rsidRPr="00931BC5" w:rsidTr="00F33866">
        <w:trPr>
          <w:jc w:val="center"/>
        </w:trPr>
        <w:tc>
          <w:tcPr>
            <w:tcW w:w="2318" w:type="dxa"/>
            <w:vMerge/>
            <w:shd w:val="clear" w:color="auto" w:fill="auto"/>
          </w:tcPr>
          <w:p w:rsidR="00F9487B" w:rsidRPr="00931BC5" w:rsidRDefault="00F9487B" w:rsidP="00CF3BE9">
            <w:pPr>
              <w:rPr>
                <w:rFonts w:ascii="Arial Narrow" w:hAnsi="Arial Narrow" w:cs="Arial"/>
                <w:b/>
                <w:sz w:val="20"/>
                <w:szCs w:val="20"/>
              </w:rPr>
            </w:pPr>
          </w:p>
        </w:tc>
        <w:tc>
          <w:tcPr>
            <w:tcW w:w="1417" w:type="dxa"/>
            <w:vMerge/>
            <w:tcBorders>
              <w:bottom w:val="single" w:sz="4" w:space="0" w:color="auto"/>
            </w:tcBorders>
            <w:shd w:val="clear" w:color="auto" w:fill="auto"/>
          </w:tcPr>
          <w:p w:rsidR="00F9487B" w:rsidRPr="00931BC5" w:rsidRDefault="00F9487B" w:rsidP="00CF3BE9">
            <w:pPr>
              <w:rPr>
                <w:rFonts w:ascii="Arial Narrow" w:hAnsi="Arial Narrow" w:cs="Arial"/>
                <w:b/>
                <w:sz w:val="20"/>
                <w:szCs w:val="20"/>
              </w:rPr>
            </w:pPr>
          </w:p>
        </w:tc>
        <w:tc>
          <w:tcPr>
            <w:tcW w:w="1276" w:type="dxa"/>
            <w:vMerge/>
            <w:tcBorders>
              <w:bottom w:val="single" w:sz="4" w:space="0" w:color="auto"/>
            </w:tcBorders>
            <w:shd w:val="clear" w:color="auto" w:fill="auto"/>
          </w:tcPr>
          <w:p w:rsidR="00F9487B" w:rsidRPr="00931BC5" w:rsidRDefault="00F9487B" w:rsidP="00CF3BE9">
            <w:pPr>
              <w:rPr>
                <w:rFonts w:ascii="Arial Narrow" w:hAnsi="Arial Narrow" w:cs="Arial"/>
                <w:b/>
                <w:sz w:val="20"/>
                <w:szCs w:val="20"/>
              </w:rPr>
            </w:pPr>
          </w:p>
        </w:tc>
        <w:tc>
          <w:tcPr>
            <w:tcW w:w="1469" w:type="dxa"/>
            <w:vMerge/>
            <w:tcBorders>
              <w:bottom w:val="single" w:sz="4" w:space="0" w:color="auto"/>
            </w:tcBorders>
            <w:shd w:val="clear" w:color="auto" w:fill="auto"/>
          </w:tcPr>
          <w:p w:rsidR="00F9487B" w:rsidRPr="00931BC5" w:rsidRDefault="00F9487B" w:rsidP="00CF3BE9">
            <w:pPr>
              <w:rPr>
                <w:rFonts w:ascii="Arial Narrow" w:hAnsi="Arial Narrow" w:cs="Arial"/>
                <w:b/>
                <w:sz w:val="20"/>
                <w:szCs w:val="20"/>
              </w:rPr>
            </w:pPr>
          </w:p>
        </w:tc>
        <w:tc>
          <w:tcPr>
            <w:tcW w:w="1530" w:type="dxa"/>
            <w:vMerge/>
            <w:tcBorders>
              <w:bottom w:val="single" w:sz="4" w:space="0" w:color="auto"/>
            </w:tcBorders>
            <w:shd w:val="clear" w:color="auto" w:fill="auto"/>
          </w:tcPr>
          <w:p w:rsidR="00F9487B" w:rsidRPr="00931BC5" w:rsidRDefault="00F9487B" w:rsidP="00CF3BE9">
            <w:pPr>
              <w:rPr>
                <w:rFonts w:ascii="Arial Narrow" w:hAnsi="Arial Narrow" w:cs="Arial"/>
                <w:b/>
                <w:sz w:val="20"/>
                <w:szCs w:val="20"/>
              </w:rPr>
            </w:pPr>
          </w:p>
        </w:tc>
        <w:tc>
          <w:tcPr>
            <w:tcW w:w="1710" w:type="dxa"/>
            <w:tcBorders>
              <w:bottom w:val="single" w:sz="4" w:space="0" w:color="auto"/>
            </w:tcBorders>
            <w:shd w:val="clear" w:color="auto" w:fill="auto"/>
          </w:tcPr>
          <w:p w:rsidR="00F9487B" w:rsidRPr="00931BC5" w:rsidRDefault="00F9487B" w:rsidP="00CF3BE9">
            <w:pPr>
              <w:rPr>
                <w:rFonts w:ascii="Arial Narrow" w:hAnsi="Arial Narrow" w:cs="Arial"/>
                <w:b/>
                <w:sz w:val="20"/>
                <w:szCs w:val="20"/>
              </w:rPr>
            </w:pPr>
            <w:r w:rsidRPr="00931BC5">
              <w:rPr>
                <w:rFonts w:ascii="Arial Narrow" w:hAnsi="Arial Narrow" w:cs="Arial"/>
                <w:b/>
                <w:sz w:val="20"/>
                <w:szCs w:val="20"/>
              </w:rPr>
              <w:t>Imaging</w:t>
            </w:r>
          </w:p>
        </w:tc>
        <w:tc>
          <w:tcPr>
            <w:tcW w:w="630" w:type="dxa"/>
            <w:tcBorders>
              <w:bottom w:val="single" w:sz="4" w:space="0" w:color="auto"/>
            </w:tcBorders>
            <w:shd w:val="clear" w:color="auto" w:fill="auto"/>
          </w:tcPr>
          <w:p w:rsidR="00F9487B" w:rsidRPr="00931BC5" w:rsidRDefault="00F9487B" w:rsidP="00CF3BE9">
            <w:pPr>
              <w:rPr>
                <w:rFonts w:ascii="Arial Narrow" w:hAnsi="Arial Narrow" w:cs="Arial"/>
                <w:b/>
                <w:sz w:val="20"/>
                <w:szCs w:val="20"/>
              </w:rPr>
            </w:pPr>
            <w:r w:rsidRPr="00931BC5">
              <w:rPr>
                <w:rFonts w:ascii="Arial Narrow" w:hAnsi="Arial Narrow" w:cs="Arial"/>
                <w:b/>
                <w:sz w:val="20"/>
                <w:szCs w:val="20"/>
              </w:rPr>
              <w:t>CSF</w:t>
            </w:r>
          </w:p>
        </w:tc>
        <w:tc>
          <w:tcPr>
            <w:tcW w:w="1260" w:type="dxa"/>
            <w:gridSpan w:val="2"/>
            <w:tcBorders>
              <w:bottom w:val="single" w:sz="4" w:space="0" w:color="auto"/>
            </w:tcBorders>
            <w:shd w:val="clear" w:color="auto" w:fill="auto"/>
          </w:tcPr>
          <w:p w:rsidR="00F9487B" w:rsidRPr="00931BC5" w:rsidRDefault="00F9487B" w:rsidP="00CF3BE9">
            <w:pPr>
              <w:rPr>
                <w:rFonts w:ascii="Arial Narrow" w:hAnsi="Arial Narrow" w:cs="Arial"/>
                <w:b/>
                <w:sz w:val="20"/>
                <w:szCs w:val="20"/>
              </w:rPr>
            </w:pPr>
            <w:r w:rsidRPr="00931BC5">
              <w:rPr>
                <w:rFonts w:ascii="Arial Narrow" w:hAnsi="Arial Narrow" w:cs="Arial"/>
                <w:b/>
                <w:sz w:val="20"/>
                <w:szCs w:val="20"/>
              </w:rPr>
              <w:t>Blood</w:t>
            </w:r>
          </w:p>
        </w:tc>
        <w:tc>
          <w:tcPr>
            <w:tcW w:w="720" w:type="dxa"/>
            <w:tcBorders>
              <w:bottom w:val="single" w:sz="4" w:space="0" w:color="auto"/>
            </w:tcBorders>
            <w:shd w:val="clear" w:color="auto" w:fill="auto"/>
          </w:tcPr>
          <w:p w:rsidR="00F9487B" w:rsidRPr="00931BC5" w:rsidRDefault="00F9487B" w:rsidP="00CF3BE9">
            <w:pPr>
              <w:rPr>
                <w:rFonts w:ascii="Arial Narrow" w:hAnsi="Arial Narrow" w:cs="Arial"/>
                <w:b/>
                <w:sz w:val="20"/>
                <w:szCs w:val="20"/>
              </w:rPr>
            </w:pPr>
            <w:r w:rsidRPr="00931BC5">
              <w:rPr>
                <w:rFonts w:ascii="Arial Narrow" w:hAnsi="Arial Narrow" w:cs="Arial"/>
                <w:b/>
                <w:sz w:val="20"/>
                <w:szCs w:val="20"/>
              </w:rPr>
              <w:t>Urine</w:t>
            </w:r>
          </w:p>
        </w:tc>
        <w:tc>
          <w:tcPr>
            <w:tcW w:w="582" w:type="dxa"/>
            <w:tcBorders>
              <w:bottom w:val="single" w:sz="4" w:space="0" w:color="auto"/>
            </w:tcBorders>
            <w:shd w:val="clear" w:color="auto" w:fill="auto"/>
          </w:tcPr>
          <w:p w:rsidR="00F9487B" w:rsidRPr="00931BC5" w:rsidRDefault="00F9487B" w:rsidP="00CF3BE9">
            <w:pPr>
              <w:rPr>
                <w:rFonts w:ascii="Arial Narrow" w:hAnsi="Arial Narrow" w:cs="Arial"/>
                <w:b/>
                <w:sz w:val="20"/>
                <w:szCs w:val="20"/>
              </w:rPr>
            </w:pPr>
            <w:r w:rsidRPr="00931BC5">
              <w:rPr>
                <w:rFonts w:ascii="Arial Narrow" w:hAnsi="Arial Narrow" w:cs="Arial"/>
                <w:b/>
                <w:sz w:val="20"/>
                <w:szCs w:val="20"/>
              </w:rPr>
              <w:t>EEG</w:t>
            </w:r>
          </w:p>
        </w:tc>
        <w:tc>
          <w:tcPr>
            <w:tcW w:w="2742" w:type="dxa"/>
            <w:vMerge/>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PRECEPT </w:t>
            </w:r>
            <w:r w:rsidRPr="00931BC5">
              <w:rPr>
                <w:rFonts w:ascii="Arial Narrow" w:hAnsi="Arial Narrow" w:cs="Arial"/>
                <w:noProof/>
                <w:sz w:val="20"/>
                <w:szCs w:val="20"/>
              </w:rPr>
              <w:t>[1]</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weeks</w:t>
            </w:r>
          </w:p>
        </w:tc>
        <w:tc>
          <w:tcPr>
            <w:tcW w:w="1469"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24 months†</w:t>
            </w:r>
          </w:p>
        </w:tc>
        <w:tc>
          <w:tcPr>
            <w:tcW w:w="1710" w:type="dxa"/>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123</w:t>
            </w:r>
            <w:r w:rsidRPr="00931BC5">
              <w:rPr>
                <w:rFonts w:ascii="Arial Narrow" w:hAnsi="Arial Narrow" w:cs="Arial"/>
                <w:sz w:val="20"/>
                <w:szCs w:val="20"/>
              </w:rPr>
              <w:t>I]β-CIT SPECT</w:t>
            </w: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dopaminergic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Green tea </w:t>
            </w:r>
            <w:r w:rsidRPr="00931BC5">
              <w:rPr>
                <w:rFonts w:ascii="Arial Narrow" w:hAnsi="Arial Narrow" w:cs="Arial"/>
                <w:noProof/>
                <w:sz w:val="20"/>
                <w:szCs w:val="20"/>
              </w:rPr>
              <w:t>[2, 3]</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6 month delay</w:t>
            </w:r>
          </w:p>
        </w:tc>
        <w:tc>
          <w:tcPr>
            <w:tcW w:w="1530"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tcBorders>
              <w:bottom w:val="single" w:sz="4" w:space="0" w:color="auto"/>
            </w:tcBorders>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TCH346 </w:t>
            </w:r>
            <w:r w:rsidRPr="00931BC5">
              <w:rPr>
                <w:rFonts w:ascii="Arial Narrow" w:hAnsi="Arial Narrow" w:cs="Arial"/>
                <w:noProof/>
                <w:sz w:val="20"/>
                <w:szCs w:val="20"/>
              </w:rPr>
              <w:t>[4]</w:t>
            </w:r>
          </w:p>
        </w:tc>
        <w:tc>
          <w:tcPr>
            <w:tcW w:w="1417"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weeks</w:t>
            </w: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weeks</w:t>
            </w:r>
          </w:p>
        </w:tc>
        <w:tc>
          <w:tcPr>
            <w:tcW w:w="1469"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D80C01">
            <w:pPr>
              <w:rPr>
                <w:rFonts w:ascii="Arial Narrow" w:hAnsi="Arial Narrow" w:cs="Arial"/>
                <w:sz w:val="20"/>
                <w:szCs w:val="20"/>
              </w:rPr>
            </w:pPr>
            <w:r w:rsidRPr="00931BC5">
              <w:rPr>
                <w:rFonts w:ascii="Arial Narrow" w:hAnsi="Arial Narrow" w:cs="Arial"/>
                <w:sz w:val="20"/>
                <w:szCs w:val="20"/>
              </w:rPr>
              <w:t>12-18 months†</w:t>
            </w:r>
          </w:p>
        </w:tc>
        <w:tc>
          <w:tcPr>
            <w:tcW w:w="1710"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630" w:type="dxa"/>
            <w:tcBorders>
              <w:bottom w:val="single" w:sz="4" w:space="0" w:color="auto"/>
            </w:tcBorders>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tcBorders>
              <w:bottom w:val="single" w:sz="4" w:space="0" w:color="auto"/>
            </w:tcBorders>
            <w:shd w:val="clear" w:color="auto" w:fill="auto"/>
          </w:tcPr>
          <w:p w:rsidR="00F9487B" w:rsidRPr="00931BC5" w:rsidRDefault="00F9487B" w:rsidP="00CF3BE9">
            <w:pPr>
              <w:jc w:val="both"/>
              <w:rPr>
                <w:rFonts w:ascii="Arial Narrow" w:hAnsi="Arial Narrow" w:cs="Arial"/>
                <w:b/>
                <w:sz w:val="20"/>
                <w:szCs w:val="20"/>
              </w:rPr>
            </w:pPr>
          </w:p>
        </w:tc>
        <w:tc>
          <w:tcPr>
            <w:tcW w:w="720" w:type="dxa"/>
            <w:tcBorders>
              <w:bottom w:val="single" w:sz="4" w:space="0" w:color="auto"/>
            </w:tcBorders>
            <w:shd w:val="clear" w:color="auto" w:fill="auto"/>
          </w:tcPr>
          <w:p w:rsidR="00F9487B" w:rsidRPr="00931BC5" w:rsidRDefault="00F9487B" w:rsidP="00CF3BE9">
            <w:pPr>
              <w:jc w:val="both"/>
              <w:rPr>
                <w:rFonts w:ascii="Arial Narrow" w:hAnsi="Arial Narrow" w:cs="Arial"/>
                <w:b/>
                <w:sz w:val="20"/>
                <w:szCs w:val="20"/>
              </w:rPr>
            </w:pPr>
          </w:p>
        </w:tc>
        <w:tc>
          <w:tcPr>
            <w:tcW w:w="582" w:type="dxa"/>
            <w:tcBorders>
              <w:bottom w:val="single" w:sz="4" w:space="0" w:color="auto"/>
            </w:tcBorders>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dopaminergic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Exenatide </w:t>
            </w:r>
            <w:r w:rsidRPr="00931BC5">
              <w:rPr>
                <w:rFonts w:ascii="Arial Narrow" w:hAnsi="Arial Narrow" w:cs="Arial"/>
                <w:noProof/>
                <w:sz w:val="20"/>
                <w:szCs w:val="20"/>
              </w:rPr>
              <w:t>[5]</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8 weeks</w:t>
            </w: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D80C01">
            <w:pPr>
              <w:rPr>
                <w:rFonts w:ascii="Arial Narrow" w:hAnsi="Arial Narrow" w:cs="Arial"/>
                <w:sz w:val="20"/>
                <w:szCs w:val="20"/>
              </w:rPr>
            </w:pPr>
          </w:p>
        </w:tc>
        <w:tc>
          <w:tcPr>
            <w:tcW w:w="1710" w:type="dxa"/>
            <w:shd w:val="pct35" w:color="auto" w:fill="auto"/>
          </w:tcPr>
          <w:p w:rsidR="00F9487B" w:rsidRPr="00931BC5" w:rsidRDefault="00F9487B" w:rsidP="00EC46F7">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123</w:t>
            </w:r>
            <w:r w:rsidRPr="00931BC5">
              <w:rPr>
                <w:rFonts w:ascii="Arial Narrow" w:hAnsi="Arial Narrow" w:cs="Arial"/>
                <w:sz w:val="20"/>
                <w:szCs w:val="20"/>
              </w:rPr>
              <w:t>I]FP-CIT SPECT</w:t>
            </w: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H</w:t>
            </w:r>
            <w:r w:rsidRPr="00931BC5">
              <w:rPr>
                <w:rFonts w:ascii="Arial Narrow" w:hAnsi="Arial Narrow" w:cs="Arial"/>
                <w:sz w:val="20"/>
                <w:szCs w:val="20"/>
                <w:vertAlign w:val="subscript"/>
              </w:rPr>
              <w:t>2</w:t>
            </w:r>
            <w:r w:rsidRPr="00931BC5">
              <w:rPr>
                <w:rFonts w:ascii="Arial Narrow" w:hAnsi="Arial Narrow" w:cs="Arial"/>
                <w:sz w:val="20"/>
                <w:szCs w:val="20"/>
              </w:rPr>
              <w:t xml:space="preserve">-water </w:t>
            </w:r>
            <w:r w:rsidRPr="00931BC5">
              <w:rPr>
                <w:rFonts w:ascii="Arial Narrow" w:hAnsi="Arial Narrow" w:cs="Arial"/>
                <w:noProof/>
                <w:sz w:val="20"/>
                <w:szCs w:val="20"/>
              </w:rPr>
              <w:t>[6]</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8 weeks</w:t>
            </w: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ROADS </w:t>
            </w:r>
            <w:r w:rsidRPr="00931BC5">
              <w:rPr>
                <w:rFonts w:ascii="Arial Narrow" w:hAnsi="Arial Narrow" w:cs="Arial"/>
                <w:noProof/>
                <w:sz w:val="20"/>
                <w:szCs w:val="20"/>
              </w:rPr>
              <w:t>[7]</w:t>
            </w:r>
          </w:p>
        </w:tc>
        <w:tc>
          <w:tcPr>
            <w:tcW w:w="1417"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and 13 weeks</w:t>
            </w: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 xml:space="preserve">Staggered </w:t>
            </w:r>
          </w:p>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(2 or 4 weeks)</w:t>
            </w: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D80C01">
            <w:pPr>
              <w:rPr>
                <w:rFonts w:ascii="Arial Narrow" w:hAnsi="Arial Narrow" w:cs="Arial"/>
                <w:sz w:val="20"/>
                <w:szCs w:val="20"/>
              </w:rPr>
            </w:pPr>
            <w:r w:rsidRPr="00931BC5">
              <w:rPr>
                <w:rFonts w:ascii="Arial Narrow" w:hAnsi="Arial Narrow" w:cs="Arial"/>
                <w:sz w:val="20"/>
                <w:szCs w:val="20"/>
              </w:rPr>
              <w:t>12 months†</w:t>
            </w: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levodopa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Subtherapeutic pergolide </w:t>
            </w:r>
            <w:r w:rsidRPr="00931BC5">
              <w:rPr>
                <w:rFonts w:ascii="Arial Narrow" w:hAnsi="Arial Narrow" w:cs="Arial"/>
                <w:noProof/>
                <w:sz w:val="20"/>
                <w:szCs w:val="20"/>
              </w:rPr>
              <w:t>[8]</w:t>
            </w:r>
          </w:p>
        </w:tc>
        <w:tc>
          <w:tcPr>
            <w:tcW w:w="1417"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6 weeks</w:t>
            </w: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weeks</w:t>
            </w: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E91E46">
            <w:pPr>
              <w:rPr>
                <w:rFonts w:ascii="Arial Narrow" w:hAnsi="Arial Narrow" w:cs="Arial"/>
                <w:sz w:val="20"/>
                <w:szCs w:val="20"/>
              </w:rPr>
            </w:pPr>
            <w:r w:rsidRPr="00931BC5">
              <w:rPr>
                <w:rFonts w:ascii="Arial Narrow" w:hAnsi="Arial Narrow" w:cs="Arial"/>
                <w:sz w:val="20"/>
                <w:szCs w:val="20"/>
              </w:rPr>
              <w:t>Until all required levodopa†</w:t>
            </w:r>
          </w:p>
        </w:tc>
        <w:tc>
          <w:tcPr>
            <w:tcW w:w="1710"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levodopa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CALM-PD-CIT </w:t>
            </w:r>
            <w:r w:rsidRPr="00931BC5">
              <w:rPr>
                <w:rFonts w:ascii="Arial Narrow" w:hAnsi="Arial Narrow" w:cs="Arial"/>
                <w:noProof/>
                <w:sz w:val="20"/>
                <w:szCs w:val="20"/>
              </w:rPr>
              <w:t>[9]</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46 months†</w:t>
            </w:r>
          </w:p>
        </w:tc>
        <w:tc>
          <w:tcPr>
            <w:tcW w:w="1710" w:type="dxa"/>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123</w:t>
            </w:r>
            <w:r w:rsidRPr="00931BC5">
              <w:rPr>
                <w:rFonts w:ascii="Arial Narrow" w:hAnsi="Arial Narrow" w:cs="Arial"/>
                <w:sz w:val="20"/>
                <w:szCs w:val="20"/>
              </w:rPr>
              <w:t>I]β-CIT SPECT</w:t>
            </w: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Rasagiline cognition </w:t>
            </w:r>
            <w:r w:rsidRPr="00931BC5">
              <w:rPr>
                <w:rFonts w:ascii="Arial Narrow" w:hAnsi="Arial Narrow" w:cs="Arial"/>
                <w:noProof/>
                <w:sz w:val="20"/>
                <w:szCs w:val="20"/>
              </w:rPr>
              <w:t>[10]</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eastAsia="Calibri" w:hAnsi="Arial Narrow" w:cs="Arial"/>
                <w:sz w:val="20"/>
                <w:szCs w:val="20"/>
              </w:rPr>
              <w:t>6 months</w:t>
            </w:r>
            <w:r w:rsidRPr="00931BC5">
              <w:rPr>
                <w:rFonts w:ascii="Arial Narrow" w:hAnsi="Arial Narrow" w:cs="Arial"/>
                <w:sz w:val="20"/>
                <w:szCs w:val="20"/>
              </w:rPr>
              <w:t>Ф</w:t>
            </w: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Russian rasagiline </w:t>
            </w:r>
            <w:r w:rsidRPr="00931BC5">
              <w:rPr>
                <w:rFonts w:ascii="Arial Narrow" w:hAnsi="Arial Narrow" w:cs="Arial"/>
                <w:noProof/>
                <w:sz w:val="20"/>
                <w:szCs w:val="20"/>
              </w:rPr>
              <w:t>[11]</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weeks</w:t>
            </w:r>
          </w:p>
        </w:tc>
        <w:tc>
          <w:tcPr>
            <w:tcW w:w="1469"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ADAGIO </w:t>
            </w:r>
            <w:r w:rsidRPr="00931BC5">
              <w:rPr>
                <w:rFonts w:ascii="Arial Narrow" w:hAnsi="Arial Narrow" w:cs="Arial"/>
                <w:noProof/>
                <w:sz w:val="20"/>
                <w:szCs w:val="20"/>
              </w:rPr>
              <w:t>[12]</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8 month delay</w:t>
            </w: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18 months‡</w:t>
            </w: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TEMPO </w:t>
            </w:r>
            <w:r w:rsidRPr="00931BC5">
              <w:rPr>
                <w:rFonts w:ascii="Arial Narrow" w:hAnsi="Arial Narrow" w:cs="Arial"/>
                <w:noProof/>
                <w:sz w:val="20"/>
                <w:szCs w:val="20"/>
              </w:rPr>
              <w:t>[13]</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6 month delay</w:t>
            </w: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12 months†</w:t>
            </w:r>
          </w:p>
        </w:tc>
        <w:tc>
          <w:tcPr>
            <w:tcW w:w="1710"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630" w:type="dxa"/>
            <w:tcBorders>
              <w:bottom w:val="single" w:sz="4" w:space="0" w:color="auto"/>
            </w:tcBorders>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dopaminergic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REAL-PET </w:t>
            </w:r>
            <w:r w:rsidRPr="00931BC5">
              <w:rPr>
                <w:rFonts w:ascii="Arial Narrow" w:hAnsi="Arial Narrow" w:cs="Arial"/>
                <w:noProof/>
                <w:sz w:val="20"/>
                <w:szCs w:val="20"/>
              </w:rPr>
              <w:t>[14]</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24 months†</w:t>
            </w:r>
          </w:p>
        </w:tc>
        <w:tc>
          <w:tcPr>
            <w:tcW w:w="171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FDOPA PET</w:t>
            </w:r>
          </w:p>
        </w:tc>
        <w:tc>
          <w:tcPr>
            <w:tcW w:w="630" w:type="dxa"/>
            <w:shd w:val="clear" w:color="auto" w:fill="auto"/>
          </w:tcPr>
          <w:p w:rsidR="00F9487B" w:rsidRPr="00931BC5" w:rsidRDefault="00F9487B" w:rsidP="00CF3BE9">
            <w:pPr>
              <w:jc w:val="both"/>
              <w:rPr>
                <w:rFonts w:ascii="Arial Narrow" w:hAnsi="Arial Narrow" w:cs="Arial"/>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sz w:val="20"/>
                <w:szCs w:val="20"/>
              </w:rPr>
            </w:pPr>
          </w:p>
        </w:tc>
        <w:tc>
          <w:tcPr>
            <w:tcW w:w="720" w:type="dxa"/>
            <w:shd w:val="clear" w:color="auto" w:fill="auto"/>
          </w:tcPr>
          <w:p w:rsidR="00F9487B" w:rsidRPr="00931BC5" w:rsidRDefault="00F9487B" w:rsidP="00CF3BE9">
            <w:pPr>
              <w:jc w:val="both"/>
              <w:rPr>
                <w:rFonts w:ascii="Arial Narrow" w:hAnsi="Arial Narrow" w:cs="Arial"/>
                <w:sz w:val="20"/>
                <w:szCs w:val="20"/>
              </w:rPr>
            </w:pPr>
          </w:p>
        </w:tc>
        <w:tc>
          <w:tcPr>
            <w:tcW w:w="582" w:type="dxa"/>
            <w:shd w:val="clear" w:color="auto" w:fill="auto"/>
          </w:tcPr>
          <w:p w:rsidR="00F9487B" w:rsidRPr="00931BC5" w:rsidRDefault="00F9487B" w:rsidP="00CF3BE9">
            <w:pPr>
              <w:rPr>
                <w:rFonts w:ascii="Arial Narrow" w:hAnsi="Arial Narrow" w:cs="Arial"/>
                <w:sz w:val="20"/>
                <w:szCs w:val="20"/>
              </w:rPr>
            </w:pPr>
          </w:p>
        </w:tc>
        <w:tc>
          <w:tcPr>
            <w:tcW w:w="2742" w:type="dxa"/>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dyskinesias</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UK/France FDOPA PET </w:t>
            </w:r>
            <w:r w:rsidRPr="00931BC5">
              <w:rPr>
                <w:rFonts w:ascii="Arial Narrow" w:hAnsi="Arial Narrow" w:cs="Arial"/>
                <w:noProof/>
                <w:sz w:val="20"/>
                <w:szCs w:val="20"/>
              </w:rPr>
              <w:t>[15]</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710" w:type="dxa"/>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FDOPA PET</w:t>
            </w: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Norwegian-Danish </w:t>
            </w:r>
            <w:r w:rsidRPr="00931BC5">
              <w:rPr>
                <w:rFonts w:ascii="Arial Narrow" w:hAnsi="Arial Narrow" w:cs="Arial"/>
                <w:noProof/>
                <w:sz w:val="20"/>
                <w:szCs w:val="20"/>
              </w:rPr>
              <w:t>[16]</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weeks</w:t>
            </w: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60 months†</w:t>
            </w: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pct35" w:color="auto" w:fill="auto"/>
          </w:tcPr>
          <w:p w:rsidR="00F9487B" w:rsidRPr="00931BC5" w:rsidRDefault="00F9487B" w:rsidP="00081F6E">
            <w:pPr>
              <w:rPr>
                <w:rFonts w:ascii="Arial Narrow" w:hAnsi="Arial Narrow" w:cs="Arial"/>
                <w:sz w:val="20"/>
                <w:szCs w:val="20"/>
              </w:rPr>
            </w:pPr>
            <w:r w:rsidRPr="00931BC5">
              <w:rPr>
                <w:rFonts w:ascii="Arial Narrow" w:hAnsi="Arial Narrow" w:cs="Arial"/>
                <w:sz w:val="20"/>
                <w:szCs w:val="20"/>
              </w:rPr>
              <w:t>Time to motor fluctuations</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SELEDO </w:t>
            </w:r>
            <w:r w:rsidRPr="00931BC5">
              <w:rPr>
                <w:rFonts w:ascii="Arial Narrow" w:hAnsi="Arial Narrow" w:cs="Arial"/>
                <w:noProof/>
                <w:sz w:val="20"/>
                <w:szCs w:val="20"/>
              </w:rPr>
              <w:t>[17]</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60 months†</w:t>
            </w: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until baseline levodopa dose had to be increased by ≥ 50%</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Swedish selegiline </w:t>
            </w:r>
            <w:r w:rsidRPr="00931BC5">
              <w:rPr>
                <w:rFonts w:ascii="Arial Narrow" w:hAnsi="Arial Narrow" w:cs="Arial"/>
                <w:noProof/>
                <w:sz w:val="20"/>
                <w:szCs w:val="20"/>
              </w:rPr>
              <w:t>[18]</w:t>
            </w:r>
          </w:p>
        </w:tc>
        <w:tc>
          <w:tcPr>
            <w:tcW w:w="1417"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6 and 12 weeks</w:t>
            </w: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8 weeks</w:t>
            </w: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3656B8">
            <w:pPr>
              <w:rPr>
                <w:rFonts w:ascii="Arial Narrow" w:hAnsi="Arial Narrow" w:cs="Arial"/>
                <w:sz w:val="20"/>
                <w:szCs w:val="20"/>
              </w:rPr>
            </w:pPr>
            <w:r w:rsidRPr="00931BC5">
              <w:rPr>
                <w:rFonts w:ascii="Arial Narrow" w:hAnsi="Arial Narrow" w:cs="Arial"/>
                <w:sz w:val="20"/>
                <w:szCs w:val="20"/>
              </w:rPr>
              <w:t>Until all required levodopa†</w:t>
            </w: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levodopa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SINDEPAR </w:t>
            </w:r>
            <w:r w:rsidRPr="00931BC5">
              <w:rPr>
                <w:rFonts w:ascii="Arial Narrow" w:hAnsi="Arial Narrow" w:cs="Arial"/>
                <w:noProof/>
                <w:sz w:val="20"/>
                <w:szCs w:val="20"/>
              </w:rPr>
              <w:t>[19]</w:t>
            </w:r>
          </w:p>
        </w:tc>
        <w:tc>
          <w:tcPr>
            <w:tcW w:w="1417"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12 weeks</w:t>
            </w: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8 weeks</w:t>
            </w: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Finnish selegiline </w:t>
            </w:r>
            <w:r w:rsidRPr="00931BC5">
              <w:rPr>
                <w:rFonts w:ascii="Arial Narrow" w:hAnsi="Arial Narrow" w:cs="Arial"/>
                <w:noProof/>
                <w:sz w:val="20"/>
                <w:szCs w:val="20"/>
              </w:rPr>
              <w:t>[20]</w:t>
            </w:r>
          </w:p>
        </w:tc>
        <w:tc>
          <w:tcPr>
            <w:tcW w:w="1417"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and 8 weeks</w:t>
            </w: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3656B8">
            <w:pPr>
              <w:rPr>
                <w:rFonts w:ascii="Arial Narrow" w:hAnsi="Arial Narrow" w:cs="Arial"/>
                <w:sz w:val="20"/>
                <w:szCs w:val="20"/>
              </w:rPr>
            </w:pPr>
            <w:r w:rsidRPr="00931BC5">
              <w:rPr>
                <w:rFonts w:ascii="Arial Narrow" w:hAnsi="Arial Narrow" w:cs="Arial"/>
                <w:sz w:val="20"/>
                <w:szCs w:val="20"/>
              </w:rPr>
              <w:t>Until all required levodopa†</w:t>
            </w: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levodopa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Tetrud and Langston </w:t>
            </w:r>
            <w:r w:rsidRPr="00931BC5">
              <w:rPr>
                <w:rFonts w:ascii="Arial Narrow" w:hAnsi="Arial Narrow" w:cs="Arial"/>
                <w:noProof/>
                <w:sz w:val="20"/>
                <w:szCs w:val="20"/>
              </w:rPr>
              <w:t>[21]</w:t>
            </w:r>
          </w:p>
        </w:tc>
        <w:tc>
          <w:tcPr>
            <w:tcW w:w="1417"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weeks</w:t>
            </w: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weeks</w:t>
            </w: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36 months†</w:t>
            </w: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pct30"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levodopa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DATATOP </w:t>
            </w:r>
            <w:r w:rsidRPr="00931BC5">
              <w:rPr>
                <w:rFonts w:ascii="Arial Narrow" w:hAnsi="Arial Narrow" w:cs="Arial"/>
                <w:noProof/>
                <w:sz w:val="20"/>
                <w:szCs w:val="20"/>
              </w:rPr>
              <w:t>[22]</w:t>
            </w:r>
          </w:p>
        </w:tc>
        <w:tc>
          <w:tcPr>
            <w:tcW w:w="1417"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and 12 weeks</w:t>
            </w:r>
          </w:p>
        </w:tc>
        <w:tc>
          <w:tcPr>
            <w:tcW w:w="1276"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and 8 weeks</w:t>
            </w: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24 months†</w:t>
            </w: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levodopa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QE3 </w:t>
            </w:r>
            <w:r w:rsidRPr="00931BC5">
              <w:rPr>
                <w:rFonts w:ascii="Arial Narrow" w:hAnsi="Arial Narrow" w:cs="Arial"/>
                <w:noProof/>
                <w:sz w:val="20"/>
                <w:szCs w:val="20"/>
              </w:rPr>
              <w:t>[23]</w:t>
            </w:r>
          </w:p>
        </w:tc>
        <w:tc>
          <w:tcPr>
            <w:tcW w:w="1417"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16 months†</w:t>
            </w:r>
          </w:p>
        </w:tc>
        <w:tc>
          <w:tcPr>
            <w:tcW w:w="1710" w:type="dxa"/>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dopaminergic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QE2 </w:t>
            </w:r>
            <w:r w:rsidRPr="00931BC5">
              <w:rPr>
                <w:rFonts w:ascii="Arial Narrow" w:hAnsi="Arial Narrow" w:cs="Arial"/>
                <w:noProof/>
                <w:sz w:val="20"/>
                <w:szCs w:val="20"/>
              </w:rPr>
              <w:t>[24]</w:t>
            </w:r>
          </w:p>
        </w:tc>
        <w:tc>
          <w:tcPr>
            <w:tcW w:w="1417" w:type="dxa"/>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4 weeks</w:t>
            </w: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16 months†</w:t>
            </w:r>
          </w:p>
        </w:tc>
        <w:tc>
          <w:tcPr>
            <w:tcW w:w="1710"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tcBorders>
              <w:bottom w:val="single" w:sz="4" w:space="0" w:color="auto"/>
            </w:tcBorders>
            <w:shd w:val="clear" w:color="auto" w:fill="auto"/>
          </w:tcPr>
          <w:p w:rsidR="00F9487B" w:rsidRPr="00931BC5" w:rsidRDefault="00F9487B" w:rsidP="00CF3BE9">
            <w:pPr>
              <w:jc w:val="both"/>
              <w:rPr>
                <w:rFonts w:ascii="Arial Narrow" w:hAnsi="Arial Narrow" w:cs="Arial"/>
                <w:b/>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Time to levodopa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Creatine-CoQ10 </w:t>
            </w:r>
            <w:r w:rsidRPr="00931BC5">
              <w:rPr>
                <w:rFonts w:ascii="Arial Narrow" w:hAnsi="Arial Narrow" w:cs="Arial"/>
                <w:noProof/>
                <w:sz w:val="20"/>
                <w:szCs w:val="20"/>
              </w:rPr>
              <w:t>[25]</w:t>
            </w:r>
          </w:p>
        </w:tc>
        <w:tc>
          <w:tcPr>
            <w:tcW w:w="1417" w:type="dxa"/>
            <w:shd w:val="clear" w:color="auto" w:fill="auto"/>
          </w:tcPr>
          <w:p w:rsidR="00F9487B" w:rsidRPr="00931BC5" w:rsidRDefault="00F9487B" w:rsidP="00CF3BE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1469" w:type="dxa"/>
            <w:shd w:val="clear" w:color="auto" w:fill="auto"/>
          </w:tcPr>
          <w:p w:rsidR="00F9487B" w:rsidRPr="00931BC5" w:rsidRDefault="00F9487B" w:rsidP="00CF3BE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CF3BE9">
            <w:pPr>
              <w:rPr>
                <w:rFonts w:ascii="Arial Narrow" w:hAnsi="Arial Narrow" w:cs="Arial"/>
                <w:sz w:val="20"/>
                <w:szCs w:val="20"/>
              </w:rPr>
            </w:pPr>
            <w:r w:rsidRPr="00931BC5">
              <w:rPr>
                <w:rFonts w:ascii="Arial Narrow" w:hAnsi="Arial Narrow" w:cs="Arial"/>
                <w:sz w:val="20"/>
                <w:szCs w:val="20"/>
              </w:rPr>
              <w:t>18 months</w:t>
            </w:r>
            <w:r w:rsidRPr="00931BC5">
              <w:rPr>
                <w:rFonts w:asciiTheme="minorHAnsi" w:eastAsia="Calibri" w:hAnsiTheme="minorHAnsi" w:cs="Arial"/>
                <w:sz w:val="20"/>
                <w:szCs w:val="20"/>
              </w:rPr>
              <w:t>¥</w:t>
            </w:r>
          </w:p>
        </w:tc>
        <w:tc>
          <w:tcPr>
            <w:tcW w:w="1710"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tcBorders>
              <w:bottom w:val="single" w:sz="4" w:space="0" w:color="auto"/>
            </w:tcBorders>
            <w:shd w:val="pct35" w:color="auto" w:fill="auto"/>
          </w:tcPr>
          <w:p w:rsidR="00F9487B" w:rsidRPr="00931BC5" w:rsidRDefault="00F9487B" w:rsidP="004903E5">
            <w:pPr>
              <w:rPr>
                <w:rFonts w:ascii="Arial Narrow" w:hAnsi="Arial Narrow" w:cs="Arial"/>
                <w:sz w:val="20"/>
                <w:szCs w:val="20"/>
              </w:rPr>
            </w:pPr>
            <w:r w:rsidRPr="00931BC5">
              <w:rPr>
                <w:rFonts w:ascii="Arial Narrow" w:hAnsi="Arial Narrow" w:cs="Arial"/>
                <w:sz w:val="20"/>
                <w:szCs w:val="20"/>
              </w:rPr>
              <w:t>Phospholipids</w:t>
            </w: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NET-PD LS-1 Creatine </w:t>
            </w:r>
            <w:r w:rsidRPr="00931BC5">
              <w:rPr>
                <w:rFonts w:ascii="Arial Narrow" w:hAnsi="Arial Narrow" w:cs="Arial"/>
                <w:noProof/>
                <w:sz w:val="20"/>
                <w:szCs w:val="20"/>
              </w:rPr>
              <w:t>[26]</w:t>
            </w:r>
          </w:p>
        </w:tc>
        <w:tc>
          <w:tcPr>
            <w:tcW w:w="1417" w:type="dxa"/>
            <w:shd w:val="clear" w:color="auto" w:fill="auto"/>
          </w:tcPr>
          <w:p w:rsidR="00F9487B" w:rsidRPr="00931BC5" w:rsidRDefault="00F9487B" w:rsidP="00081F6E">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081F6E">
            <w:pPr>
              <w:rPr>
                <w:rFonts w:ascii="Arial Narrow" w:hAnsi="Arial Narrow" w:cs="Arial"/>
                <w:sz w:val="20"/>
                <w:szCs w:val="20"/>
              </w:rPr>
            </w:pPr>
          </w:p>
        </w:tc>
        <w:tc>
          <w:tcPr>
            <w:tcW w:w="1469" w:type="dxa"/>
            <w:shd w:val="clear" w:color="auto" w:fill="auto"/>
          </w:tcPr>
          <w:p w:rsidR="00F9487B" w:rsidRPr="00931BC5" w:rsidRDefault="00F9487B" w:rsidP="00081F6E">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081F6E">
            <w:pPr>
              <w:rPr>
                <w:rFonts w:ascii="Arial Narrow" w:hAnsi="Arial Narrow" w:cs="Arial"/>
                <w:sz w:val="20"/>
                <w:szCs w:val="20"/>
              </w:rPr>
            </w:pPr>
            <w:r w:rsidRPr="00931BC5">
              <w:rPr>
                <w:rFonts w:ascii="Arial Narrow" w:hAnsi="Arial Narrow" w:cs="Arial"/>
                <w:sz w:val="20"/>
                <w:szCs w:val="20"/>
              </w:rPr>
              <w:t>60-96 months</w:t>
            </w:r>
            <w:r w:rsidRPr="00931BC5">
              <w:rPr>
                <w:rFonts w:asciiTheme="minorHAnsi" w:eastAsia="Calibri" w:hAnsiTheme="minorHAnsi" w:cs="Arial"/>
                <w:sz w:val="20"/>
                <w:szCs w:val="20"/>
              </w:rPr>
              <w:t>¥</w:t>
            </w:r>
          </w:p>
        </w:tc>
        <w:tc>
          <w:tcPr>
            <w:tcW w:w="1710" w:type="dxa"/>
            <w:tcBorders>
              <w:bottom w:val="single" w:sz="4" w:space="0" w:color="auto"/>
            </w:tcBorders>
            <w:shd w:val="clear" w:color="auto" w:fill="auto"/>
          </w:tcPr>
          <w:p w:rsidR="00F9487B" w:rsidRPr="00931BC5" w:rsidRDefault="00F9487B" w:rsidP="00CF3BE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4903E5">
            <w:pPr>
              <w:rPr>
                <w:rFonts w:ascii="Arial Narrow" w:hAnsi="Arial Narrow" w:cs="Arial"/>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German Creatine </w:t>
            </w:r>
            <w:r w:rsidRPr="00931BC5">
              <w:rPr>
                <w:rFonts w:ascii="Arial Narrow" w:hAnsi="Arial Narrow" w:cs="Arial"/>
                <w:noProof/>
                <w:sz w:val="20"/>
                <w:szCs w:val="20"/>
              </w:rPr>
              <w:t>[27]</w:t>
            </w:r>
          </w:p>
        </w:tc>
        <w:tc>
          <w:tcPr>
            <w:tcW w:w="1417" w:type="dxa"/>
            <w:shd w:val="clear" w:color="auto" w:fill="auto"/>
          </w:tcPr>
          <w:p w:rsidR="00F9487B" w:rsidRPr="00931BC5" w:rsidRDefault="00F9487B" w:rsidP="002A03C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2A03C9">
            <w:pPr>
              <w:rPr>
                <w:rFonts w:ascii="Arial Narrow" w:hAnsi="Arial Narrow" w:cs="Arial"/>
                <w:sz w:val="20"/>
                <w:szCs w:val="20"/>
              </w:rPr>
            </w:pPr>
          </w:p>
        </w:tc>
        <w:tc>
          <w:tcPr>
            <w:tcW w:w="1469" w:type="dxa"/>
            <w:shd w:val="clear" w:color="auto" w:fill="auto"/>
          </w:tcPr>
          <w:p w:rsidR="00F9487B" w:rsidRPr="00931BC5" w:rsidRDefault="00F9487B" w:rsidP="002A03C9">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2A03C9">
            <w:pPr>
              <w:rPr>
                <w:rFonts w:ascii="Arial Narrow" w:hAnsi="Arial Narrow" w:cs="Arial"/>
                <w:sz w:val="20"/>
                <w:szCs w:val="20"/>
              </w:rPr>
            </w:pPr>
          </w:p>
        </w:tc>
        <w:tc>
          <w:tcPr>
            <w:tcW w:w="1710" w:type="dxa"/>
            <w:tcBorders>
              <w:bottom w:val="single" w:sz="4" w:space="0" w:color="auto"/>
            </w:tcBorders>
            <w:shd w:val="pct35" w:color="auto" w:fill="auto"/>
          </w:tcPr>
          <w:p w:rsidR="00F9487B" w:rsidRPr="00931BC5" w:rsidRDefault="00F9487B" w:rsidP="002A03C9">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123</w:t>
            </w:r>
            <w:r w:rsidRPr="00931BC5">
              <w:rPr>
                <w:rFonts w:ascii="Arial Narrow" w:hAnsi="Arial Narrow" w:cs="Arial"/>
                <w:sz w:val="20"/>
                <w:szCs w:val="20"/>
              </w:rPr>
              <w:t>I]FP-CIT SPECT</w:t>
            </w: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4903E5">
            <w:pPr>
              <w:rPr>
                <w:rFonts w:ascii="Arial Narrow" w:hAnsi="Arial Narrow" w:cs="Arial"/>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Fenugreek </w:t>
            </w:r>
            <w:r w:rsidRPr="00931BC5">
              <w:rPr>
                <w:rFonts w:ascii="Arial Narrow" w:hAnsi="Arial Narrow" w:cs="Arial"/>
                <w:noProof/>
                <w:sz w:val="20"/>
                <w:szCs w:val="20"/>
              </w:rPr>
              <w:t>[28]</w:t>
            </w:r>
          </w:p>
        </w:tc>
        <w:tc>
          <w:tcPr>
            <w:tcW w:w="1417" w:type="dxa"/>
            <w:shd w:val="clear" w:color="auto" w:fill="auto"/>
          </w:tcPr>
          <w:p w:rsidR="00F9487B" w:rsidRPr="00931BC5" w:rsidRDefault="00F9487B" w:rsidP="002A03C9">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2A03C9">
            <w:pPr>
              <w:rPr>
                <w:rFonts w:ascii="Arial Narrow" w:hAnsi="Arial Narrow" w:cs="Arial"/>
                <w:sz w:val="20"/>
                <w:szCs w:val="20"/>
              </w:rPr>
            </w:pPr>
          </w:p>
        </w:tc>
        <w:tc>
          <w:tcPr>
            <w:tcW w:w="1469" w:type="dxa"/>
            <w:shd w:val="clear" w:color="auto" w:fill="auto"/>
          </w:tcPr>
          <w:p w:rsidR="00F9487B" w:rsidRPr="00931BC5" w:rsidRDefault="00F9487B" w:rsidP="002A03C9">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2A03C9">
            <w:pPr>
              <w:rPr>
                <w:rFonts w:ascii="Arial Narrow" w:hAnsi="Arial Narrow" w:cs="Arial"/>
                <w:sz w:val="20"/>
                <w:szCs w:val="20"/>
              </w:rPr>
            </w:pPr>
            <w:r w:rsidRPr="00931BC5">
              <w:rPr>
                <w:rFonts w:ascii="Arial Narrow" w:hAnsi="Arial Narrow" w:cs="Arial"/>
                <w:sz w:val="20"/>
                <w:szCs w:val="20"/>
              </w:rPr>
              <w:t>6 months</w:t>
            </w:r>
            <w:r w:rsidRPr="00931BC5">
              <w:rPr>
                <w:rFonts w:asciiTheme="minorHAnsi" w:eastAsia="Calibri" w:hAnsiTheme="minorHAnsi" w:cs="Arial"/>
                <w:sz w:val="20"/>
                <w:szCs w:val="20"/>
              </w:rPr>
              <w:t>¥</w:t>
            </w:r>
          </w:p>
        </w:tc>
        <w:tc>
          <w:tcPr>
            <w:tcW w:w="1710" w:type="dxa"/>
            <w:tcBorders>
              <w:bottom w:val="single" w:sz="4" w:space="0" w:color="auto"/>
            </w:tcBorders>
            <w:shd w:val="clear" w:color="auto" w:fill="auto"/>
          </w:tcPr>
          <w:p w:rsidR="00F9487B" w:rsidRPr="00931BC5" w:rsidRDefault="00F9487B" w:rsidP="002A03C9">
            <w:pPr>
              <w:rPr>
                <w:rFonts w:ascii="Arial Narrow" w:hAnsi="Arial Narrow" w:cs="Arial"/>
                <w:sz w:val="20"/>
                <w:szCs w:val="20"/>
              </w:rPr>
            </w:pPr>
          </w:p>
        </w:tc>
        <w:tc>
          <w:tcPr>
            <w:tcW w:w="630" w:type="dxa"/>
            <w:shd w:val="clear" w:color="auto" w:fill="auto"/>
          </w:tcPr>
          <w:p w:rsidR="00F9487B" w:rsidRPr="00931BC5" w:rsidRDefault="00F9487B" w:rsidP="00CF3BE9">
            <w:pPr>
              <w:jc w:val="both"/>
              <w:rPr>
                <w:rFonts w:ascii="Arial Narrow" w:hAnsi="Arial Narrow" w:cs="Arial"/>
                <w:b/>
                <w:sz w:val="20"/>
                <w:szCs w:val="20"/>
              </w:rPr>
            </w:pPr>
          </w:p>
        </w:tc>
        <w:tc>
          <w:tcPr>
            <w:tcW w:w="1260" w:type="dxa"/>
            <w:gridSpan w:val="2"/>
            <w:shd w:val="clear" w:color="auto" w:fill="auto"/>
          </w:tcPr>
          <w:p w:rsidR="00F9487B" w:rsidRPr="00931BC5" w:rsidRDefault="00F9487B" w:rsidP="004903E5">
            <w:pPr>
              <w:rPr>
                <w:rFonts w:ascii="Arial Narrow" w:hAnsi="Arial Narrow" w:cs="Arial"/>
                <w:sz w:val="20"/>
                <w:szCs w:val="20"/>
              </w:rPr>
            </w:pPr>
          </w:p>
        </w:tc>
        <w:tc>
          <w:tcPr>
            <w:tcW w:w="720" w:type="dxa"/>
            <w:shd w:val="clear" w:color="auto" w:fill="auto"/>
          </w:tcPr>
          <w:p w:rsidR="00F9487B" w:rsidRPr="00931BC5" w:rsidRDefault="00F9487B" w:rsidP="00CF3BE9">
            <w:pPr>
              <w:jc w:val="both"/>
              <w:rPr>
                <w:rFonts w:ascii="Arial Narrow" w:hAnsi="Arial Narrow" w:cs="Arial"/>
                <w:b/>
                <w:sz w:val="20"/>
                <w:szCs w:val="20"/>
              </w:rPr>
            </w:pPr>
          </w:p>
        </w:tc>
        <w:tc>
          <w:tcPr>
            <w:tcW w:w="582" w:type="dxa"/>
            <w:shd w:val="clear" w:color="auto" w:fill="auto"/>
          </w:tcPr>
          <w:p w:rsidR="00F9487B" w:rsidRPr="00931BC5" w:rsidRDefault="00F9487B" w:rsidP="00CF3BE9">
            <w:pPr>
              <w:rPr>
                <w:rFonts w:ascii="Arial Narrow" w:hAnsi="Arial Narrow" w:cs="Arial"/>
                <w:b/>
                <w:sz w:val="20"/>
                <w:szCs w:val="20"/>
              </w:rPr>
            </w:pPr>
          </w:p>
        </w:tc>
        <w:tc>
          <w:tcPr>
            <w:tcW w:w="2742" w:type="dxa"/>
            <w:shd w:val="clear" w:color="auto" w:fill="auto"/>
          </w:tcPr>
          <w:p w:rsidR="00F9487B" w:rsidRPr="00931BC5" w:rsidRDefault="00F9487B" w:rsidP="00CF3BE9">
            <w:pPr>
              <w:rPr>
                <w:rFonts w:ascii="Arial Narrow" w:hAnsi="Arial Narrow" w:cs="Arial"/>
                <w:sz w:val="20"/>
                <w:szCs w:val="20"/>
              </w:rPr>
            </w:pPr>
          </w:p>
        </w:tc>
      </w:tr>
      <w:tr w:rsidR="00931BC5" w:rsidRPr="00931BC5" w:rsidTr="00F33866">
        <w:trPr>
          <w:jc w:val="center"/>
        </w:trPr>
        <w:tc>
          <w:tcPr>
            <w:tcW w:w="2318" w:type="dxa"/>
            <w:vMerge w:val="restart"/>
            <w:shd w:val="clear" w:color="auto" w:fill="auto"/>
          </w:tcPr>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lastRenderedPageBreak/>
              <w:t>Trial</w:t>
            </w:r>
          </w:p>
        </w:tc>
        <w:tc>
          <w:tcPr>
            <w:tcW w:w="1417" w:type="dxa"/>
            <w:vMerge w:val="restart"/>
            <w:shd w:val="clear" w:color="auto" w:fill="auto"/>
          </w:tcPr>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t>Wash-in analysis</w:t>
            </w:r>
          </w:p>
        </w:tc>
        <w:tc>
          <w:tcPr>
            <w:tcW w:w="1276" w:type="dxa"/>
            <w:vMerge w:val="restart"/>
            <w:shd w:val="clear" w:color="auto" w:fill="auto"/>
          </w:tcPr>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t>Wash-out analysis</w:t>
            </w:r>
          </w:p>
        </w:tc>
        <w:tc>
          <w:tcPr>
            <w:tcW w:w="1469" w:type="dxa"/>
            <w:vMerge w:val="restart"/>
            <w:shd w:val="clear" w:color="auto" w:fill="auto"/>
          </w:tcPr>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t>Delayed-start trial design</w:t>
            </w:r>
          </w:p>
        </w:tc>
        <w:tc>
          <w:tcPr>
            <w:tcW w:w="1530" w:type="dxa"/>
            <w:vMerge w:val="restart"/>
            <w:shd w:val="clear" w:color="auto" w:fill="auto"/>
          </w:tcPr>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t xml:space="preserve">Long-term </w:t>
            </w:r>
          </w:p>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t>follow-up</w:t>
            </w:r>
          </w:p>
        </w:tc>
        <w:tc>
          <w:tcPr>
            <w:tcW w:w="4902" w:type="dxa"/>
            <w:gridSpan w:val="6"/>
            <w:tcBorders>
              <w:bottom w:val="single" w:sz="4" w:space="0" w:color="auto"/>
            </w:tcBorders>
            <w:shd w:val="clear" w:color="auto" w:fill="auto"/>
          </w:tcPr>
          <w:p w:rsidR="00F9487B" w:rsidRPr="00931BC5" w:rsidRDefault="00F9487B" w:rsidP="00357C1E">
            <w:pPr>
              <w:jc w:val="center"/>
              <w:rPr>
                <w:rFonts w:ascii="Arial Narrow" w:hAnsi="Arial Narrow" w:cs="Arial"/>
                <w:b/>
                <w:sz w:val="20"/>
                <w:szCs w:val="20"/>
              </w:rPr>
            </w:pPr>
            <w:r w:rsidRPr="00931BC5">
              <w:rPr>
                <w:rFonts w:ascii="Arial Narrow" w:hAnsi="Arial Narrow" w:cs="Arial"/>
                <w:b/>
                <w:sz w:val="20"/>
                <w:szCs w:val="20"/>
              </w:rPr>
              <w:t>Biomarkers (primary or secondary outcome measures)</w:t>
            </w:r>
          </w:p>
        </w:tc>
        <w:tc>
          <w:tcPr>
            <w:tcW w:w="2742" w:type="dxa"/>
            <w:vMerge w:val="restart"/>
            <w:shd w:val="clear" w:color="auto" w:fill="auto"/>
          </w:tcPr>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t>Time-to-event outcomes</w:t>
            </w:r>
          </w:p>
        </w:tc>
      </w:tr>
      <w:tr w:rsidR="00931BC5" w:rsidRPr="00931BC5" w:rsidTr="00F33866">
        <w:trPr>
          <w:jc w:val="center"/>
        </w:trPr>
        <w:tc>
          <w:tcPr>
            <w:tcW w:w="2318" w:type="dxa"/>
            <w:vMerge/>
            <w:tcBorders>
              <w:bottom w:val="single" w:sz="4" w:space="0" w:color="auto"/>
            </w:tcBorders>
            <w:shd w:val="clear" w:color="auto" w:fill="auto"/>
          </w:tcPr>
          <w:p w:rsidR="00F9487B" w:rsidRPr="00931BC5" w:rsidRDefault="00F9487B" w:rsidP="00357C1E">
            <w:pPr>
              <w:rPr>
                <w:rFonts w:ascii="Arial Narrow" w:hAnsi="Arial Narrow" w:cs="Arial"/>
                <w:b/>
                <w:sz w:val="20"/>
                <w:szCs w:val="20"/>
              </w:rPr>
            </w:pPr>
          </w:p>
        </w:tc>
        <w:tc>
          <w:tcPr>
            <w:tcW w:w="1417" w:type="dxa"/>
            <w:vMerge/>
            <w:tcBorders>
              <w:bottom w:val="single" w:sz="4" w:space="0" w:color="auto"/>
            </w:tcBorders>
            <w:shd w:val="clear" w:color="auto" w:fill="auto"/>
          </w:tcPr>
          <w:p w:rsidR="00F9487B" w:rsidRPr="00931BC5" w:rsidRDefault="00F9487B" w:rsidP="00357C1E">
            <w:pPr>
              <w:rPr>
                <w:rFonts w:ascii="Arial Narrow" w:hAnsi="Arial Narrow" w:cs="Arial"/>
                <w:b/>
                <w:sz w:val="20"/>
                <w:szCs w:val="20"/>
              </w:rPr>
            </w:pPr>
          </w:p>
        </w:tc>
        <w:tc>
          <w:tcPr>
            <w:tcW w:w="1276" w:type="dxa"/>
            <w:vMerge/>
            <w:tcBorders>
              <w:bottom w:val="single" w:sz="4" w:space="0" w:color="auto"/>
            </w:tcBorders>
            <w:shd w:val="clear" w:color="auto" w:fill="auto"/>
          </w:tcPr>
          <w:p w:rsidR="00F9487B" w:rsidRPr="00931BC5" w:rsidRDefault="00F9487B" w:rsidP="00357C1E">
            <w:pPr>
              <w:rPr>
                <w:rFonts w:ascii="Arial Narrow" w:hAnsi="Arial Narrow" w:cs="Arial"/>
                <w:b/>
                <w:sz w:val="20"/>
                <w:szCs w:val="20"/>
              </w:rPr>
            </w:pPr>
          </w:p>
        </w:tc>
        <w:tc>
          <w:tcPr>
            <w:tcW w:w="1469" w:type="dxa"/>
            <w:vMerge/>
            <w:tcBorders>
              <w:bottom w:val="single" w:sz="4" w:space="0" w:color="auto"/>
            </w:tcBorders>
            <w:shd w:val="clear" w:color="auto" w:fill="auto"/>
          </w:tcPr>
          <w:p w:rsidR="00F9487B" w:rsidRPr="00931BC5" w:rsidRDefault="00F9487B" w:rsidP="00357C1E">
            <w:pPr>
              <w:rPr>
                <w:rFonts w:ascii="Arial Narrow" w:hAnsi="Arial Narrow" w:cs="Arial"/>
                <w:b/>
                <w:sz w:val="20"/>
                <w:szCs w:val="20"/>
              </w:rPr>
            </w:pPr>
          </w:p>
        </w:tc>
        <w:tc>
          <w:tcPr>
            <w:tcW w:w="1530" w:type="dxa"/>
            <w:vMerge/>
            <w:tcBorders>
              <w:bottom w:val="single" w:sz="4" w:space="0" w:color="auto"/>
            </w:tcBorders>
            <w:shd w:val="clear" w:color="auto" w:fill="auto"/>
          </w:tcPr>
          <w:p w:rsidR="00F9487B" w:rsidRPr="00931BC5" w:rsidRDefault="00F9487B" w:rsidP="00357C1E">
            <w:pPr>
              <w:rPr>
                <w:rFonts w:ascii="Arial Narrow" w:hAnsi="Arial Narrow" w:cs="Arial"/>
                <w:b/>
                <w:sz w:val="20"/>
                <w:szCs w:val="20"/>
              </w:rPr>
            </w:pPr>
          </w:p>
        </w:tc>
        <w:tc>
          <w:tcPr>
            <w:tcW w:w="1710" w:type="dxa"/>
            <w:tcBorders>
              <w:bottom w:val="single" w:sz="4" w:space="0" w:color="auto"/>
            </w:tcBorders>
            <w:shd w:val="clear" w:color="auto" w:fill="auto"/>
          </w:tcPr>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t>Imaging</w:t>
            </w:r>
          </w:p>
        </w:tc>
        <w:tc>
          <w:tcPr>
            <w:tcW w:w="678" w:type="dxa"/>
            <w:gridSpan w:val="2"/>
            <w:tcBorders>
              <w:bottom w:val="single" w:sz="4" w:space="0" w:color="auto"/>
            </w:tcBorders>
            <w:shd w:val="clear" w:color="auto" w:fill="auto"/>
          </w:tcPr>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t>CSF</w:t>
            </w:r>
          </w:p>
        </w:tc>
        <w:tc>
          <w:tcPr>
            <w:tcW w:w="1212" w:type="dxa"/>
            <w:tcBorders>
              <w:bottom w:val="single" w:sz="4" w:space="0" w:color="auto"/>
            </w:tcBorders>
            <w:shd w:val="clear" w:color="auto" w:fill="auto"/>
          </w:tcPr>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t>Blood</w:t>
            </w:r>
          </w:p>
        </w:tc>
        <w:tc>
          <w:tcPr>
            <w:tcW w:w="720" w:type="dxa"/>
            <w:tcBorders>
              <w:bottom w:val="single" w:sz="4" w:space="0" w:color="auto"/>
            </w:tcBorders>
            <w:shd w:val="clear" w:color="auto" w:fill="auto"/>
          </w:tcPr>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t>Urine</w:t>
            </w:r>
          </w:p>
        </w:tc>
        <w:tc>
          <w:tcPr>
            <w:tcW w:w="582" w:type="dxa"/>
            <w:tcBorders>
              <w:bottom w:val="single" w:sz="4" w:space="0" w:color="auto"/>
            </w:tcBorders>
            <w:shd w:val="clear" w:color="auto" w:fill="auto"/>
          </w:tcPr>
          <w:p w:rsidR="00F9487B" w:rsidRPr="00931BC5" w:rsidRDefault="00F9487B" w:rsidP="00357C1E">
            <w:pPr>
              <w:rPr>
                <w:rFonts w:ascii="Arial Narrow" w:hAnsi="Arial Narrow" w:cs="Arial"/>
                <w:b/>
                <w:sz w:val="20"/>
                <w:szCs w:val="20"/>
              </w:rPr>
            </w:pPr>
            <w:r w:rsidRPr="00931BC5">
              <w:rPr>
                <w:rFonts w:ascii="Arial Narrow" w:hAnsi="Arial Narrow" w:cs="Arial"/>
                <w:b/>
                <w:sz w:val="20"/>
                <w:szCs w:val="20"/>
              </w:rPr>
              <w:t>EEG</w:t>
            </w:r>
          </w:p>
        </w:tc>
        <w:tc>
          <w:tcPr>
            <w:tcW w:w="2742" w:type="dxa"/>
            <w:vMerge/>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Ubiquinol-10 </w:t>
            </w:r>
            <w:r w:rsidRPr="00931BC5">
              <w:rPr>
                <w:rFonts w:ascii="Arial Narrow" w:hAnsi="Arial Narrow" w:cs="Arial"/>
                <w:noProof/>
                <w:sz w:val="20"/>
                <w:szCs w:val="20"/>
              </w:rPr>
              <w:t>[29]</w:t>
            </w:r>
          </w:p>
        </w:tc>
        <w:tc>
          <w:tcPr>
            <w:tcW w:w="1417"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8 weeks</w:t>
            </w:r>
          </w:p>
        </w:tc>
        <w:tc>
          <w:tcPr>
            <w:tcW w:w="1276"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8 weeks</w:t>
            </w:r>
          </w:p>
        </w:tc>
        <w:tc>
          <w:tcPr>
            <w:tcW w:w="1469"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48 weeks† (n=31)</w:t>
            </w:r>
          </w:p>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96 weeks† (n=33)</w:t>
            </w:r>
          </w:p>
        </w:tc>
        <w:tc>
          <w:tcPr>
            <w:tcW w:w="1710" w:type="dxa"/>
            <w:shd w:val="clear" w:color="auto" w:fill="auto"/>
          </w:tcPr>
          <w:p w:rsidR="00F9487B" w:rsidRPr="00931BC5" w:rsidRDefault="00F9487B" w:rsidP="00357C1E">
            <w:pPr>
              <w:rPr>
                <w:rFonts w:ascii="Arial Narrow" w:hAnsi="Arial Narrow" w:cs="Arial"/>
                <w:sz w:val="20"/>
                <w:szCs w:val="20"/>
              </w:rPr>
            </w:pP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Time to levodopa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FAIRPARK </w:t>
            </w:r>
            <w:r w:rsidRPr="00931BC5">
              <w:rPr>
                <w:rFonts w:ascii="Arial Narrow" w:hAnsi="Arial Narrow" w:cs="Arial"/>
                <w:noProof/>
                <w:sz w:val="20"/>
                <w:szCs w:val="20"/>
              </w:rPr>
              <w:t>[30]</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469"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6 month delay</w:t>
            </w:r>
          </w:p>
        </w:tc>
        <w:tc>
          <w:tcPr>
            <w:tcW w:w="1530"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710" w:type="dxa"/>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MRI: R2*</w:t>
            </w: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clear" w:color="auto" w:fill="auto"/>
          </w:tcPr>
          <w:p w:rsidR="00F9487B" w:rsidRPr="00931BC5" w:rsidRDefault="00F9487B" w:rsidP="00357C1E">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ELLDOPA </w:t>
            </w:r>
            <w:r w:rsidRPr="00931BC5">
              <w:rPr>
                <w:rFonts w:ascii="Arial Narrow" w:hAnsi="Arial Narrow" w:cs="Arial"/>
                <w:noProof/>
                <w:sz w:val="20"/>
                <w:szCs w:val="20"/>
              </w:rPr>
              <w:t>[31]</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2 weeks</w:t>
            </w:r>
          </w:p>
        </w:tc>
        <w:tc>
          <w:tcPr>
            <w:tcW w:w="1469"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10 months†</w:t>
            </w:r>
          </w:p>
        </w:tc>
        <w:tc>
          <w:tcPr>
            <w:tcW w:w="1710" w:type="dxa"/>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123</w:t>
            </w:r>
            <w:r w:rsidRPr="00931BC5">
              <w:rPr>
                <w:rFonts w:ascii="Arial Narrow" w:hAnsi="Arial Narrow" w:cs="Arial"/>
                <w:sz w:val="20"/>
                <w:szCs w:val="20"/>
              </w:rPr>
              <w:t xml:space="preserve">I]β-CIT SPECT </w:t>
            </w: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clear" w:color="auto" w:fill="auto"/>
          </w:tcPr>
          <w:p w:rsidR="00F9487B" w:rsidRPr="00931BC5" w:rsidRDefault="00F9487B" w:rsidP="00357C1E">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PROUD </w:t>
            </w:r>
            <w:r w:rsidRPr="00931BC5">
              <w:rPr>
                <w:rFonts w:ascii="Arial Narrow" w:hAnsi="Arial Narrow" w:cs="Arial"/>
                <w:noProof/>
                <w:sz w:val="20"/>
                <w:szCs w:val="20"/>
              </w:rPr>
              <w:t>[32]</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469"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6-9 month delay</w:t>
            </w:r>
          </w:p>
        </w:tc>
        <w:tc>
          <w:tcPr>
            <w:tcW w:w="1530"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710" w:type="dxa"/>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123</w:t>
            </w:r>
            <w:r w:rsidRPr="00931BC5">
              <w:rPr>
                <w:rFonts w:ascii="Arial Narrow" w:hAnsi="Arial Narrow" w:cs="Arial"/>
                <w:sz w:val="20"/>
                <w:szCs w:val="20"/>
              </w:rPr>
              <w:t>I]FP-CIT SPECT</w:t>
            </w: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clear" w:color="auto" w:fill="auto"/>
          </w:tcPr>
          <w:p w:rsidR="00F9487B" w:rsidRPr="00931BC5" w:rsidRDefault="00F9487B" w:rsidP="00357C1E">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GM1 ganglioside </w:t>
            </w:r>
            <w:r w:rsidRPr="00931BC5">
              <w:rPr>
                <w:rFonts w:ascii="Arial Narrow" w:hAnsi="Arial Narrow" w:cs="Arial"/>
                <w:noProof/>
                <w:sz w:val="20"/>
                <w:szCs w:val="20"/>
              </w:rPr>
              <w:t>[33]</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1 and 2 years</w:t>
            </w:r>
          </w:p>
        </w:tc>
        <w:tc>
          <w:tcPr>
            <w:tcW w:w="1469"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6 month delay</w:t>
            </w:r>
          </w:p>
        </w:tc>
        <w:tc>
          <w:tcPr>
            <w:tcW w:w="153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52 months†</w:t>
            </w:r>
          </w:p>
        </w:tc>
        <w:tc>
          <w:tcPr>
            <w:tcW w:w="1710" w:type="dxa"/>
            <w:shd w:val="pct35"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11</w:t>
            </w:r>
            <w:r w:rsidRPr="00931BC5">
              <w:rPr>
                <w:rFonts w:ascii="Arial Narrow" w:hAnsi="Arial Narrow" w:cs="Arial"/>
                <w:sz w:val="20"/>
                <w:szCs w:val="20"/>
              </w:rPr>
              <w:t xml:space="preserve">C]MP PET </w:t>
            </w:r>
            <w:r w:rsidRPr="00931BC5">
              <w:rPr>
                <w:rFonts w:ascii="Arial Narrow" w:hAnsi="Arial Narrow" w:cs="Arial"/>
                <w:noProof/>
                <w:sz w:val="20"/>
                <w:szCs w:val="20"/>
              </w:rPr>
              <w:t>[34]</w:t>
            </w: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clear" w:color="auto" w:fill="auto"/>
          </w:tcPr>
          <w:p w:rsidR="00F9487B" w:rsidRPr="00931BC5" w:rsidRDefault="00F9487B" w:rsidP="00357C1E">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MitoQ trial </w:t>
            </w:r>
            <w:r w:rsidRPr="00931BC5">
              <w:rPr>
                <w:rFonts w:ascii="Arial Narrow" w:hAnsi="Arial Narrow" w:cs="Arial"/>
                <w:noProof/>
                <w:sz w:val="20"/>
                <w:szCs w:val="20"/>
              </w:rPr>
              <w:t>[35]</w:t>
            </w:r>
          </w:p>
        </w:tc>
        <w:tc>
          <w:tcPr>
            <w:tcW w:w="1417"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4 weeks</w:t>
            </w:r>
          </w:p>
        </w:tc>
        <w:tc>
          <w:tcPr>
            <w:tcW w:w="1276"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469"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12 months†</w:t>
            </w:r>
          </w:p>
        </w:tc>
        <w:tc>
          <w:tcPr>
            <w:tcW w:w="1710" w:type="dxa"/>
            <w:shd w:val="clear" w:color="auto" w:fill="auto"/>
          </w:tcPr>
          <w:p w:rsidR="00F9487B" w:rsidRPr="00931BC5" w:rsidRDefault="00F9487B" w:rsidP="00357C1E">
            <w:pPr>
              <w:rPr>
                <w:rFonts w:ascii="Arial Narrow" w:hAnsi="Arial Narrow" w:cs="Arial"/>
                <w:sz w:val="20"/>
                <w:szCs w:val="20"/>
              </w:rPr>
            </w:pP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Time to dopaminergic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Riluzole international </w:t>
            </w:r>
            <w:r w:rsidRPr="00931BC5">
              <w:rPr>
                <w:rFonts w:ascii="Arial Narrow" w:hAnsi="Arial Narrow" w:cs="Arial"/>
                <w:noProof/>
                <w:sz w:val="20"/>
                <w:szCs w:val="20"/>
              </w:rPr>
              <w:t>[36]</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8 weeks</w:t>
            </w:r>
          </w:p>
        </w:tc>
        <w:tc>
          <w:tcPr>
            <w:tcW w:w="1469"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71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FDOPA PET</w:t>
            </w: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Time to dopaminergic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Riluzole USA </w:t>
            </w:r>
            <w:r w:rsidRPr="00931BC5">
              <w:rPr>
                <w:rFonts w:ascii="Arial Narrow" w:hAnsi="Arial Narrow" w:cs="Arial"/>
                <w:noProof/>
                <w:sz w:val="20"/>
                <w:szCs w:val="20"/>
              </w:rPr>
              <w:t>[37]</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6 weeks</w:t>
            </w:r>
          </w:p>
        </w:tc>
        <w:tc>
          <w:tcPr>
            <w:tcW w:w="1469"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6 month delay</w:t>
            </w:r>
          </w:p>
        </w:tc>
        <w:tc>
          <w:tcPr>
            <w:tcW w:w="153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12 months†</w:t>
            </w:r>
          </w:p>
        </w:tc>
        <w:tc>
          <w:tcPr>
            <w:tcW w:w="1710" w:type="dxa"/>
            <w:shd w:val="clear" w:color="auto" w:fill="auto"/>
          </w:tcPr>
          <w:p w:rsidR="00F9487B" w:rsidRPr="00931BC5" w:rsidRDefault="00F9487B" w:rsidP="00357C1E">
            <w:pPr>
              <w:rPr>
                <w:rFonts w:ascii="Arial Narrow" w:hAnsi="Arial Narrow" w:cs="Arial"/>
                <w:sz w:val="20"/>
                <w:szCs w:val="20"/>
              </w:rPr>
            </w:pP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Time to dopaminergic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GPI-1485 (6 month trial) </w:t>
            </w:r>
            <w:r w:rsidRPr="00931BC5">
              <w:rPr>
                <w:rFonts w:ascii="Arial Narrow" w:hAnsi="Arial Narrow" w:cs="Arial"/>
                <w:noProof/>
                <w:sz w:val="20"/>
                <w:szCs w:val="20"/>
              </w:rPr>
              <w:t>[38]</w:t>
            </w:r>
          </w:p>
        </w:tc>
        <w:tc>
          <w:tcPr>
            <w:tcW w:w="1417" w:type="dxa"/>
            <w:shd w:val="clear" w:color="auto" w:fill="auto"/>
          </w:tcPr>
          <w:p w:rsidR="00F9487B" w:rsidRPr="00931BC5" w:rsidRDefault="00F9487B" w:rsidP="00357C1E">
            <w:pPr>
              <w:rPr>
                <w:rFonts w:ascii="Arial Narrow" w:hAnsi="Arial Narrow" w:cs="Arial"/>
                <w:sz w:val="20"/>
                <w:szCs w:val="20"/>
              </w:rPr>
            </w:pPr>
          </w:p>
        </w:tc>
        <w:tc>
          <w:tcPr>
            <w:tcW w:w="1276" w:type="dxa"/>
            <w:shd w:val="clear" w:color="auto" w:fill="auto"/>
          </w:tcPr>
          <w:p w:rsidR="00F9487B" w:rsidRPr="00931BC5" w:rsidRDefault="00F9487B" w:rsidP="00357C1E">
            <w:pPr>
              <w:rPr>
                <w:rFonts w:ascii="Arial Narrow" w:hAnsi="Arial Narrow" w:cs="Arial"/>
                <w:sz w:val="20"/>
                <w:szCs w:val="20"/>
              </w:rPr>
            </w:pPr>
          </w:p>
        </w:tc>
        <w:tc>
          <w:tcPr>
            <w:tcW w:w="1469" w:type="dxa"/>
            <w:shd w:val="clear" w:color="auto" w:fill="auto"/>
          </w:tcPr>
          <w:p w:rsidR="00F9487B" w:rsidRPr="00931BC5" w:rsidRDefault="00F9487B" w:rsidP="00357C1E">
            <w:pPr>
              <w:rPr>
                <w:rFonts w:ascii="Arial Narrow" w:hAnsi="Arial Narrow" w:cs="Arial"/>
                <w:sz w:val="20"/>
                <w:szCs w:val="20"/>
              </w:rPr>
            </w:pPr>
          </w:p>
        </w:tc>
        <w:tc>
          <w:tcPr>
            <w:tcW w:w="1530" w:type="dxa"/>
            <w:shd w:val="clear" w:color="auto" w:fill="auto"/>
          </w:tcPr>
          <w:p w:rsidR="00F9487B" w:rsidRPr="00931BC5" w:rsidRDefault="00F9487B" w:rsidP="00357C1E">
            <w:pPr>
              <w:rPr>
                <w:rFonts w:ascii="Arial Narrow" w:hAnsi="Arial Narrow" w:cs="Arial"/>
                <w:sz w:val="20"/>
                <w:szCs w:val="20"/>
              </w:rPr>
            </w:pPr>
          </w:p>
        </w:tc>
        <w:tc>
          <w:tcPr>
            <w:tcW w:w="171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123</w:t>
            </w:r>
            <w:r w:rsidRPr="00931BC5">
              <w:rPr>
                <w:rFonts w:ascii="Arial Narrow" w:hAnsi="Arial Narrow" w:cs="Arial"/>
                <w:sz w:val="20"/>
                <w:szCs w:val="20"/>
              </w:rPr>
              <w:t>I]β-CIT SPECT</w:t>
            </w: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clear" w:color="auto" w:fill="auto"/>
          </w:tcPr>
          <w:p w:rsidR="00F9487B" w:rsidRPr="00931BC5" w:rsidRDefault="00F9487B" w:rsidP="00357C1E">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357C1E">
            <w:pPr>
              <w:rPr>
                <w:rFonts w:ascii="Arial Narrow" w:hAnsi="Arial Narrow" w:cs="Arial"/>
                <w:b/>
                <w:sz w:val="20"/>
                <w:szCs w:val="20"/>
                <w:u w:val="single"/>
              </w:rPr>
            </w:pPr>
            <w:r w:rsidRPr="00931BC5">
              <w:rPr>
                <w:rFonts w:ascii="Arial Narrow" w:hAnsi="Arial Narrow" w:cs="Arial"/>
                <w:b/>
                <w:sz w:val="20"/>
                <w:szCs w:val="20"/>
                <w:u w:val="single"/>
              </w:rPr>
              <w:t>Planned, Ongoing and</w:t>
            </w:r>
          </w:p>
          <w:p w:rsidR="00F9487B" w:rsidRPr="00931BC5" w:rsidRDefault="00F9487B" w:rsidP="00357C1E">
            <w:pPr>
              <w:rPr>
                <w:rFonts w:ascii="Arial Narrow" w:hAnsi="Arial Narrow" w:cs="Arial"/>
                <w:b/>
                <w:sz w:val="20"/>
                <w:szCs w:val="20"/>
                <w:u w:val="single"/>
              </w:rPr>
            </w:pPr>
            <w:r w:rsidRPr="00931BC5">
              <w:rPr>
                <w:rFonts w:ascii="Arial Narrow" w:hAnsi="Arial Narrow" w:cs="Arial"/>
                <w:b/>
                <w:sz w:val="20"/>
                <w:szCs w:val="20"/>
                <w:u w:val="single"/>
              </w:rPr>
              <w:t>Unpublished RCTs</w:t>
            </w:r>
          </w:p>
        </w:tc>
        <w:tc>
          <w:tcPr>
            <w:tcW w:w="1417" w:type="dxa"/>
            <w:shd w:val="clear" w:color="auto" w:fill="auto"/>
          </w:tcPr>
          <w:p w:rsidR="00F9487B" w:rsidRPr="00931BC5" w:rsidRDefault="00F9487B" w:rsidP="00357C1E">
            <w:pPr>
              <w:rPr>
                <w:rFonts w:ascii="Arial Narrow" w:hAnsi="Arial Narrow" w:cs="Arial"/>
                <w:sz w:val="20"/>
                <w:szCs w:val="20"/>
              </w:rPr>
            </w:pPr>
          </w:p>
        </w:tc>
        <w:tc>
          <w:tcPr>
            <w:tcW w:w="1276" w:type="dxa"/>
            <w:shd w:val="clear" w:color="auto" w:fill="auto"/>
          </w:tcPr>
          <w:p w:rsidR="00F9487B" w:rsidRPr="00931BC5" w:rsidRDefault="00F9487B" w:rsidP="00357C1E">
            <w:pPr>
              <w:rPr>
                <w:rFonts w:ascii="Arial Narrow" w:hAnsi="Arial Narrow" w:cs="Arial"/>
                <w:sz w:val="20"/>
                <w:szCs w:val="20"/>
              </w:rPr>
            </w:pPr>
          </w:p>
        </w:tc>
        <w:tc>
          <w:tcPr>
            <w:tcW w:w="1469" w:type="dxa"/>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710"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clear" w:color="auto" w:fill="auto"/>
          </w:tcPr>
          <w:p w:rsidR="00F9487B" w:rsidRPr="00931BC5" w:rsidRDefault="00F9487B" w:rsidP="00357C1E">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MIREILLE </w:t>
            </w:r>
            <w:r w:rsidRPr="00931BC5">
              <w:rPr>
                <w:rFonts w:ascii="Arial Narrow" w:hAnsi="Arial Narrow" w:cs="Arial"/>
                <w:noProof/>
                <w:sz w:val="20"/>
                <w:szCs w:val="20"/>
              </w:rPr>
              <w:t>[39]</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469"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12 months</w:t>
            </w:r>
          </w:p>
        </w:tc>
        <w:tc>
          <w:tcPr>
            <w:tcW w:w="171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123</w:t>
            </w:r>
            <w:r w:rsidRPr="00931BC5">
              <w:rPr>
                <w:rFonts w:ascii="Arial Narrow" w:hAnsi="Arial Narrow" w:cs="Arial"/>
                <w:sz w:val="20"/>
                <w:szCs w:val="20"/>
              </w:rPr>
              <w:t>I]FP-CIT SPECT</w:t>
            </w:r>
          </w:p>
        </w:tc>
        <w:tc>
          <w:tcPr>
            <w:tcW w:w="678" w:type="dxa"/>
            <w:gridSpan w:val="2"/>
            <w:tcBorders>
              <w:bottom w:val="single" w:sz="4" w:space="0" w:color="auto"/>
            </w:tcBorders>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clear" w:color="auto" w:fill="auto"/>
          </w:tcPr>
          <w:p w:rsidR="00F9487B" w:rsidRPr="00931BC5" w:rsidRDefault="00F9487B" w:rsidP="00357C1E">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Exenatide-PD </w:t>
            </w:r>
            <w:r w:rsidRPr="00931BC5">
              <w:rPr>
                <w:rFonts w:ascii="Arial Narrow" w:hAnsi="Arial Narrow" w:cs="Arial"/>
                <w:noProof/>
                <w:sz w:val="20"/>
                <w:szCs w:val="20"/>
              </w:rPr>
              <w:t>[40]</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12 weeks</w:t>
            </w:r>
          </w:p>
        </w:tc>
        <w:tc>
          <w:tcPr>
            <w:tcW w:w="1469"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71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123</w:t>
            </w:r>
            <w:r w:rsidRPr="00931BC5">
              <w:rPr>
                <w:rFonts w:ascii="Arial Narrow" w:hAnsi="Arial Narrow" w:cs="Arial"/>
                <w:sz w:val="20"/>
                <w:szCs w:val="20"/>
              </w:rPr>
              <w:t>I]FP-CIT SPECT</w:t>
            </w:r>
          </w:p>
        </w:tc>
        <w:tc>
          <w:tcPr>
            <w:tcW w:w="678" w:type="dxa"/>
            <w:gridSpan w:val="2"/>
            <w:shd w:val="pct35" w:color="auto" w:fill="auto"/>
          </w:tcPr>
          <w:p w:rsidR="00F9487B" w:rsidRPr="00931BC5" w:rsidRDefault="00F9487B" w:rsidP="00357C1E">
            <w:pPr>
              <w:jc w:val="both"/>
              <w:rPr>
                <w:rFonts w:ascii="Arial Narrow" w:hAnsi="Arial Narrow" w:cs="Arial"/>
                <w:sz w:val="20"/>
                <w:szCs w:val="20"/>
              </w:rPr>
            </w:pPr>
            <w:r w:rsidRPr="00931BC5">
              <w:rPr>
                <w:rFonts w:ascii="Arial Narrow" w:hAnsi="Arial Narrow" w:cs="Arial"/>
                <w:sz w:val="20"/>
                <w:szCs w:val="20"/>
              </w:rPr>
              <w:t>BDNF</w:t>
            </w: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STEADY-PD </w:t>
            </w:r>
            <w:r w:rsidRPr="00931BC5">
              <w:rPr>
                <w:rFonts w:ascii="Arial Narrow" w:hAnsi="Arial Narrow" w:cs="Arial"/>
                <w:noProof/>
                <w:sz w:val="20"/>
                <w:szCs w:val="20"/>
              </w:rPr>
              <w:t>[41]</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469"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36 months</w:t>
            </w:r>
          </w:p>
        </w:tc>
        <w:tc>
          <w:tcPr>
            <w:tcW w:w="1710" w:type="dxa"/>
            <w:shd w:val="clear" w:color="auto" w:fill="auto"/>
          </w:tcPr>
          <w:p w:rsidR="00F9487B" w:rsidRPr="00931BC5" w:rsidRDefault="00F9487B" w:rsidP="00357C1E">
            <w:pPr>
              <w:rPr>
                <w:rFonts w:ascii="Arial Narrow" w:hAnsi="Arial Narrow" w:cs="Arial"/>
                <w:sz w:val="20"/>
                <w:szCs w:val="20"/>
              </w:rPr>
            </w:pP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Time to dopaminergic treatment</w:t>
            </w:r>
          </w:p>
          <w:p w:rsidR="00F9487B" w:rsidRPr="00931BC5" w:rsidRDefault="00F9487B" w:rsidP="007F1828">
            <w:pPr>
              <w:rPr>
                <w:rFonts w:ascii="Arial Narrow" w:hAnsi="Arial Narrow" w:cs="Arial"/>
                <w:sz w:val="20"/>
                <w:szCs w:val="20"/>
              </w:rPr>
            </w:pPr>
            <w:r w:rsidRPr="00931BC5">
              <w:rPr>
                <w:rFonts w:ascii="Arial Narrow" w:hAnsi="Arial Narrow" w:cs="Arial"/>
                <w:sz w:val="20"/>
                <w:szCs w:val="20"/>
              </w:rPr>
              <w:t>Time to motor complications</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G-CSF </w:t>
            </w:r>
            <w:r w:rsidRPr="00931BC5">
              <w:rPr>
                <w:rFonts w:ascii="Arial Narrow" w:hAnsi="Arial Narrow" w:cs="Arial"/>
                <w:noProof/>
                <w:sz w:val="20"/>
                <w:szCs w:val="20"/>
              </w:rPr>
              <w:t>[42]</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469"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24 months</w:t>
            </w:r>
          </w:p>
        </w:tc>
        <w:tc>
          <w:tcPr>
            <w:tcW w:w="1710" w:type="dxa"/>
            <w:shd w:val="clear" w:color="auto" w:fill="auto"/>
          </w:tcPr>
          <w:p w:rsidR="00F9487B" w:rsidRPr="00931BC5" w:rsidRDefault="00F9487B" w:rsidP="00357C1E">
            <w:pPr>
              <w:rPr>
                <w:rFonts w:ascii="Arial Narrow" w:hAnsi="Arial Narrow" w:cs="Arial"/>
                <w:sz w:val="20"/>
                <w:szCs w:val="20"/>
              </w:rPr>
            </w:pP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ZONIST </w:t>
            </w:r>
            <w:r w:rsidRPr="00931BC5">
              <w:rPr>
                <w:rFonts w:ascii="Arial Narrow" w:hAnsi="Arial Narrow" w:cs="Arial"/>
                <w:noProof/>
                <w:sz w:val="20"/>
                <w:szCs w:val="20"/>
              </w:rPr>
              <w:t>[43]</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469"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710"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Time to dopaminergic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NICOPARK2 </w:t>
            </w:r>
            <w:r w:rsidRPr="00931BC5">
              <w:rPr>
                <w:rFonts w:ascii="Arial Narrow" w:hAnsi="Arial Narrow" w:cs="Arial"/>
                <w:noProof/>
                <w:sz w:val="20"/>
                <w:szCs w:val="20"/>
              </w:rPr>
              <w:t>[44]</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5 weeks</w:t>
            </w:r>
          </w:p>
        </w:tc>
        <w:tc>
          <w:tcPr>
            <w:tcW w:w="1469"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710" w:type="dxa"/>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123</w:t>
            </w:r>
            <w:r w:rsidRPr="00931BC5">
              <w:rPr>
                <w:rFonts w:ascii="Arial Narrow" w:hAnsi="Arial Narrow" w:cs="Arial"/>
                <w:sz w:val="20"/>
                <w:szCs w:val="20"/>
              </w:rPr>
              <w:t>I]FP-CIT SPECT</w:t>
            </w: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NIC-PD </w:t>
            </w:r>
            <w:r w:rsidRPr="00931BC5">
              <w:rPr>
                <w:rFonts w:ascii="Arial Narrow" w:hAnsi="Arial Narrow" w:cs="Arial"/>
                <w:noProof/>
                <w:sz w:val="20"/>
                <w:szCs w:val="20"/>
              </w:rPr>
              <w:t>[45]</w:t>
            </w:r>
          </w:p>
        </w:tc>
        <w:tc>
          <w:tcPr>
            <w:tcW w:w="1417"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276"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 xml:space="preserve">8 weeks </w:t>
            </w:r>
          </w:p>
        </w:tc>
        <w:tc>
          <w:tcPr>
            <w:tcW w:w="1469"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14 months</w:t>
            </w:r>
          </w:p>
        </w:tc>
        <w:tc>
          <w:tcPr>
            <w:tcW w:w="1710"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Time to dopaminergic treatment</w:t>
            </w:r>
          </w:p>
        </w:tc>
      </w:tr>
      <w:tr w:rsidR="00931BC5" w:rsidRPr="00931BC5" w:rsidTr="00F33866">
        <w:trPr>
          <w:jc w:val="center"/>
        </w:trPr>
        <w:tc>
          <w:tcPr>
            <w:tcW w:w="2318" w:type="dxa"/>
            <w:shd w:val="clear" w:color="auto" w:fill="auto"/>
          </w:tcPr>
          <w:p w:rsidR="00F9487B" w:rsidRPr="00931BC5" w:rsidRDefault="00F9487B" w:rsidP="00F33866">
            <w:pPr>
              <w:rPr>
                <w:rFonts w:ascii="Arial Narrow" w:hAnsi="Arial Narrow" w:cs="Arial"/>
                <w:sz w:val="20"/>
                <w:szCs w:val="20"/>
              </w:rPr>
            </w:pPr>
            <w:r w:rsidRPr="00931BC5">
              <w:rPr>
                <w:rFonts w:ascii="Arial Narrow" w:hAnsi="Arial Narrow" w:cs="Arial"/>
                <w:sz w:val="20"/>
                <w:szCs w:val="20"/>
              </w:rPr>
              <w:t xml:space="preserve">GPI-1485 (2 year trial) </w:t>
            </w:r>
            <w:r w:rsidRPr="00931BC5">
              <w:rPr>
                <w:rFonts w:ascii="Arial Narrow" w:hAnsi="Arial Narrow" w:cs="Arial"/>
                <w:noProof/>
                <w:sz w:val="20"/>
                <w:szCs w:val="20"/>
              </w:rPr>
              <w:t>[46]</w:t>
            </w:r>
          </w:p>
        </w:tc>
        <w:tc>
          <w:tcPr>
            <w:tcW w:w="1417" w:type="dxa"/>
            <w:shd w:val="clear" w:color="auto" w:fill="auto"/>
          </w:tcPr>
          <w:p w:rsidR="00F9487B" w:rsidRPr="00931BC5" w:rsidRDefault="00F9487B" w:rsidP="00357C1E">
            <w:pPr>
              <w:rPr>
                <w:rFonts w:ascii="Arial Narrow" w:hAnsi="Arial Narrow" w:cs="Arial"/>
                <w:sz w:val="20"/>
                <w:szCs w:val="20"/>
              </w:rPr>
            </w:pPr>
          </w:p>
        </w:tc>
        <w:tc>
          <w:tcPr>
            <w:tcW w:w="1276" w:type="dxa"/>
            <w:shd w:val="clear" w:color="auto" w:fill="auto"/>
          </w:tcPr>
          <w:p w:rsidR="00F9487B" w:rsidRPr="00931BC5" w:rsidRDefault="00F9487B" w:rsidP="00357C1E">
            <w:pPr>
              <w:rPr>
                <w:rFonts w:ascii="Arial Narrow" w:hAnsi="Arial Narrow" w:cs="Arial"/>
                <w:sz w:val="20"/>
                <w:szCs w:val="20"/>
              </w:rPr>
            </w:pPr>
          </w:p>
        </w:tc>
        <w:tc>
          <w:tcPr>
            <w:tcW w:w="1469" w:type="dxa"/>
            <w:shd w:val="clear" w:color="auto" w:fill="auto"/>
          </w:tcPr>
          <w:p w:rsidR="00F9487B" w:rsidRPr="00931BC5" w:rsidRDefault="00F9487B" w:rsidP="00357C1E">
            <w:pPr>
              <w:rPr>
                <w:rFonts w:ascii="Arial Narrow" w:hAnsi="Arial Narrow" w:cs="Arial"/>
                <w:sz w:val="20"/>
                <w:szCs w:val="20"/>
              </w:rPr>
            </w:pPr>
          </w:p>
        </w:tc>
        <w:tc>
          <w:tcPr>
            <w:tcW w:w="1530"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c>
          <w:tcPr>
            <w:tcW w:w="1710" w:type="dxa"/>
            <w:tcBorders>
              <w:bottom w:val="single" w:sz="4" w:space="0" w:color="auto"/>
            </w:tcBorders>
            <w:shd w:val="pct35" w:color="auto" w:fill="auto"/>
          </w:tcPr>
          <w:p w:rsidR="00F9487B" w:rsidRPr="00931BC5" w:rsidRDefault="00F9487B" w:rsidP="00357C1E">
            <w:pPr>
              <w:rPr>
                <w:rFonts w:ascii="Arial Narrow" w:hAnsi="Arial Narrow" w:cs="Arial"/>
                <w:sz w:val="20"/>
                <w:szCs w:val="20"/>
              </w:rPr>
            </w:pPr>
            <w:r w:rsidRPr="00931BC5">
              <w:rPr>
                <w:rFonts w:ascii="Arial Narrow" w:hAnsi="Arial Narrow" w:cs="Arial"/>
                <w:sz w:val="20"/>
                <w:szCs w:val="20"/>
              </w:rPr>
              <w:t>[</w:t>
            </w:r>
            <w:r w:rsidRPr="00931BC5">
              <w:rPr>
                <w:rFonts w:ascii="Arial Narrow" w:hAnsi="Arial Narrow" w:cs="Arial"/>
                <w:sz w:val="20"/>
                <w:szCs w:val="20"/>
                <w:vertAlign w:val="superscript"/>
              </w:rPr>
              <w:t>123</w:t>
            </w:r>
            <w:r w:rsidRPr="00931BC5">
              <w:rPr>
                <w:rFonts w:ascii="Arial Narrow" w:hAnsi="Arial Narrow" w:cs="Arial"/>
                <w:sz w:val="20"/>
                <w:szCs w:val="20"/>
              </w:rPr>
              <w:t>I]β-CIT SPECT</w:t>
            </w:r>
          </w:p>
        </w:tc>
        <w:tc>
          <w:tcPr>
            <w:tcW w:w="678" w:type="dxa"/>
            <w:gridSpan w:val="2"/>
            <w:shd w:val="clear" w:color="auto" w:fill="auto"/>
          </w:tcPr>
          <w:p w:rsidR="00F9487B" w:rsidRPr="00931BC5" w:rsidRDefault="00F9487B" w:rsidP="00357C1E">
            <w:pPr>
              <w:jc w:val="both"/>
              <w:rPr>
                <w:rFonts w:ascii="Arial Narrow" w:hAnsi="Arial Narrow" w:cs="Arial"/>
                <w:b/>
                <w:sz w:val="20"/>
                <w:szCs w:val="20"/>
              </w:rPr>
            </w:pPr>
          </w:p>
        </w:tc>
        <w:tc>
          <w:tcPr>
            <w:tcW w:w="1212" w:type="dxa"/>
            <w:shd w:val="clear" w:color="auto" w:fill="auto"/>
          </w:tcPr>
          <w:p w:rsidR="00F9487B" w:rsidRPr="00931BC5" w:rsidRDefault="00F9487B" w:rsidP="00357C1E">
            <w:pPr>
              <w:jc w:val="both"/>
              <w:rPr>
                <w:rFonts w:ascii="Arial Narrow" w:hAnsi="Arial Narrow" w:cs="Arial"/>
                <w:b/>
                <w:sz w:val="20"/>
                <w:szCs w:val="20"/>
              </w:rPr>
            </w:pPr>
          </w:p>
        </w:tc>
        <w:tc>
          <w:tcPr>
            <w:tcW w:w="720" w:type="dxa"/>
            <w:shd w:val="clear" w:color="auto" w:fill="auto"/>
          </w:tcPr>
          <w:p w:rsidR="00F9487B" w:rsidRPr="00931BC5" w:rsidRDefault="00F9487B" w:rsidP="00357C1E">
            <w:pPr>
              <w:jc w:val="both"/>
              <w:rPr>
                <w:rFonts w:ascii="Arial Narrow" w:hAnsi="Arial Narrow" w:cs="Arial"/>
                <w:b/>
                <w:sz w:val="20"/>
                <w:szCs w:val="20"/>
              </w:rPr>
            </w:pPr>
          </w:p>
        </w:tc>
        <w:tc>
          <w:tcPr>
            <w:tcW w:w="582" w:type="dxa"/>
            <w:shd w:val="clear" w:color="auto" w:fill="auto"/>
          </w:tcPr>
          <w:p w:rsidR="00F9487B" w:rsidRPr="00931BC5" w:rsidRDefault="00F9487B" w:rsidP="00357C1E">
            <w:pPr>
              <w:rPr>
                <w:rFonts w:ascii="Arial Narrow" w:hAnsi="Arial Narrow" w:cs="Arial"/>
                <w:b/>
                <w:sz w:val="20"/>
                <w:szCs w:val="20"/>
              </w:rPr>
            </w:pPr>
          </w:p>
        </w:tc>
        <w:tc>
          <w:tcPr>
            <w:tcW w:w="2742" w:type="dxa"/>
            <w:tcBorders>
              <w:bottom w:val="single" w:sz="4" w:space="0" w:color="auto"/>
            </w:tcBorders>
            <w:shd w:val="clear" w:color="auto" w:fill="auto"/>
          </w:tcPr>
          <w:p w:rsidR="00F9487B" w:rsidRPr="00931BC5" w:rsidRDefault="00F9487B" w:rsidP="00357C1E">
            <w:pPr>
              <w:rPr>
                <w:rFonts w:ascii="Arial Narrow" w:hAnsi="Arial Narrow" w:cs="Arial"/>
                <w:sz w:val="20"/>
                <w:szCs w:val="20"/>
              </w:rPr>
            </w:pPr>
          </w:p>
        </w:tc>
      </w:tr>
    </w:tbl>
    <w:p w:rsidR="00F9487B" w:rsidRPr="00931BC5" w:rsidRDefault="00F9487B" w:rsidP="00872C5A">
      <w:pPr>
        <w:spacing w:after="0" w:line="240" w:lineRule="auto"/>
        <w:rPr>
          <w:rFonts w:asciiTheme="minorHAnsi" w:eastAsia="Calibri" w:hAnsiTheme="minorHAnsi" w:cs="Arial"/>
          <w:b/>
          <w:sz w:val="24"/>
          <w:szCs w:val="24"/>
          <w:u w:val="single"/>
        </w:rPr>
      </w:pPr>
      <w:r w:rsidRPr="00931BC5">
        <w:rPr>
          <w:rFonts w:asciiTheme="minorHAnsi" w:eastAsia="Calibri" w:hAnsiTheme="minorHAnsi" w:cs="Arial"/>
          <w:b/>
          <w:sz w:val="24"/>
          <w:szCs w:val="24"/>
          <w:u w:val="single"/>
        </w:rPr>
        <w:t>Key</w:t>
      </w:r>
    </w:p>
    <w:p w:rsidR="00F9487B" w:rsidRPr="00931BC5" w:rsidRDefault="00F9487B" w:rsidP="00872C5A">
      <w:pPr>
        <w:spacing w:after="0" w:line="240" w:lineRule="auto"/>
        <w:rPr>
          <w:rFonts w:asciiTheme="minorHAnsi" w:eastAsia="Calibri" w:hAnsiTheme="minorHAnsi" w:cs="Arial"/>
          <w:sz w:val="20"/>
          <w:szCs w:val="20"/>
        </w:rPr>
      </w:pP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eastAsia="Calibri" w:hAnsiTheme="minorHAnsi" w:cs="Arial"/>
          <w:b/>
          <w:sz w:val="20"/>
          <w:szCs w:val="20"/>
        </w:rPr>
        <w:tab/>
      </w:r>
      <w:r w:rsidRPr="00931BC5">
        <w:rPr>
          <w:rFonts w:asciiTheme="minorHAnsi" w:eastAsia="Calibri" w:hAnsiTheme="minorHAnsi" w:cs="Arial"/>
          <w:b/>
          <w:sz w:val="20"/>
          <w:szCs w:val="20"/>
        </w:rPr>
        <w:tab/>
        <w:t>Long-term follow-up studies (published studies only)</w:t>
      </w:r>
    </w:p>
    <w:p w:rsidR="00F9487B" w:rsidRPr="00931BC5" w:rsidRDefault="00F9487B" w:rsidP="00301AA2">
      <w:pPr>
        <w:spacing w:after="0" w:line="240" w:lineRule="auto"/>
        <w:rPr>
          <w:rFonts w:asciiTheme="minorHAnsi" w:eastAsia="Calibri" w:hAnsiTheme="minorHAnsi" w:cs="Arial"/>
          <w:b/>
          <w:sz w:val="20"/>
          <w:szCs w:val="20"/>
        </w:rPr>
      </w:pPr>
      <w:r w:rsidRPr="00931BC5">
        <w:rPr>
          <w:rFonts w:asciiTheme="minorHAnsi" w:eastAsia="Calibri" w:hAnsiTheme="minorHAnsi" w:cs="Arial"/>
          <w:b/>
          <w:sz w:val="20"/>
          <w:szCs w:val="20"/>
        </w:rPr>
        <w:t>Biomarker modalities</w:t>
      </w:r>
      <w:r w:rsidRPr="00931BC5">
        <w:rPr>
          <w:rFonts w:asciiTheme="minorHAnsi" w:eastAsia="Calibri" w:hAnsiTheme="minorHAnsi" w:cs="Arial"/>
          <w:b/>
          <w:sz w:val="20"/>
          <w:szCs w:val="20"/>
        </w:rPr>
        <w:tab/>
      </w:r>
      <w:r w:rsidRPr="00931BC5">
        <w:rPr>
          <w:rFonts w:asciiTheme="minorHAnsi" w:eastAsia="Calibri" w:hAnsiTheme="minorHAnsi" w:cs="Arial"/>
          <w:b/>
          <w:sz w:val="20"/>
          <w:szCs w:val="20"/>
        </w:rPr>
        <w:tab/>
      </w:r>
      <w:r w:rsidRPr="00931BC5">
        <w:rPr>
          <w:rFonts w:asciiTheme="minorHAnsi" w:eastAsia="Calibri" w:hAnsiTheme="minorHAnsi" w:cs="Arial"/>
          <w:b/>
          <w:sz w:val="20"/>
          <w:szCs w:val="20"/>
        </w:rPr>
        <w:tab/>
      </w:r>
      <w:r w:rsidRPr="00931BC5">
        <w:rPr>
          <w:rFonts w:asciiTheme="minorHAnsi" w:eastAsia="Calibri" w:hAnsiTheme="minorHAnsi" w:cs="Arial"/>
          <w:b/>
          <w:sz w:val="20"/>
          <w:szCs w:val="20"/>
        </w:rPr>
        <w:tab/>
      </w:r>
      <w:r w:rsidRPr="00931BC5">
        <w:rPr>
          <w:rFonts w:asciiTheme="minorHAnsi" w:eastAsia="Calibri" w:hAnsiTheme="minorHAnsi" w:cs="Arial"/>
          <w:b/>
          <w:sz w:val="20"/>
          <w:szCs w:val="20"/>
        </w:rPr>
        <w:tab/>
      </w:r>
      <w:r w:rsidRPr="00931BC5">
        <w:rPr>
          <w:rFonts w:asciiTheme="minorHAnsi" w:eastAsia="Calibri" w:hAnsiTheme="minorHAnsi" w:cs="Arial"/>
          <w:b/>
          <w:sz w:val="20"/>
          <w:szCs w:val="20"/>
        </w:rPr>
        <w:tab/>
      </w:r>
      <w:r w:rsidRPr="00931BC5">
        <w:rPr>
          <w:rFonts w:asciiTheme="minorHAnsi" w:hAnsiTheme="minorHAnsi" w:cs="Arial"/>
          <w:sz w:val="20"/>
          <w:szCs w:val="20"/>
        </w:rPr>
        <w:t>†</w:t>
      </w:r>
      <w:r w:rsidRPr="00931BC5">
        <w:rPr>
          <w:rFonts w:asciiTheme="minorHAnsi" w:hAnsiTheme="minorHAnsi" w:cs="Arial"/>
          <w:sz w:val="20"/>
          <w:szCs w:val="20"/>
        </w:rPr>
        <w:tab/>
        <w:t>Image published (e.g. Kaplan Meier plot) from which the presence/absence of sustained</w:t>
      </w:r>
    </w:p>
    <w:p w:rsidR="00F9487B" w:rsidRPr="00931BC5" w:rsidRDefault="00F9487B" w:rsidP="00872C5A">
      <w:pPr>
        <w:spacing w:after="0" w:line="240" w:lineRule="auto"/>
        <w:rPr>
          <w:rFonts w:asciiTheme="minorHAnsi" w:eastAsia="Calibri" w:hAnsiTheme="minorHAnsi" w:cs="Arial"/>
          <w:b/>
          <w:sz w:val="20"/>
          <w:szCs w:val="20"/>
        </w:rPr>
      </w:pPr>
      <w:r w:rsidRPr="00931BC5">
        <w:rPr>
          <w:rFonts w:asciiTheme="minorHAnsi" w:hAnsiTheme="minorHAnsi" w:cs="Arial"/>
          <w:sz w:val="20"/>
          <w:szCs w:val="20"/>
        </w:rPr>
        <w:t>CSF</w:t>
      </w:r>
      <w:r w:rsidRPr="00931BC5">
        <w:rPr>
          <w:rFonts w:asciiTheme="minorHAnsi" w:hAnsiTheme="minorHAnsi" w:cs="Arial"/>
          <w:sz w:val="20"/>
          <w:szCs w:val="20"/>
        </w:rPr>
        <w:tab/>
        <w:t>Cerebrospinal fluid</w:t>
      </w:r>
      <w:r w:rsidRPr="00931BC5">
        <w:rPr>
          <w:rFonts w:asciiTheme="minorHAnsi" w:eastAsia="Calibri" w:hAnsiTheme="minorHAnsi" w:cs="Arial"/>
          <w:b/>
          <w:sz w:val="20"/>
          <w:szCs w:val="20"/>
        </w:rPr>
        <w:tab/>
      </w:r>
      <w:r w:rsidRPr="00931BC5">
        <w:rPr>
          <w:rFonts w:asciiTheme="minorHAnsi" w:eastAsia="Calibri" w:hAnsiTheme="minorHAnsi" w:cs="Arial"/>
          <w:b/>
          <w:sz w:val="20"/>
          <w:szCs w:val="20"/>
        </w:rPr>
        <w:tab/>
      </w:r>
      <w:r w:rsidRPr="00931BC5">
        <w:rPr>
          <w:rFonts w:asciiTheme="minorHAnsi" w:eastAsia="Calibri" w:hAnsiTheme="minorHAnsi" w:cs="Arial"/>
          <w:b/>
          <w:sz w:val="20"/>
          <w:szCs w:val="20"/>
        </w:rPr>
        <w:tab/>
      </w:r>
      <w:r w:rsidRPr="00931BC5">
        <w:rPr>
          <w:rFonts w:asciiTheme="minorHAnsi" w:eastAsia="Calibri" w:hAnsiTheme="minorHAnsi" w:cs="Arial"/>
          <w:b/>
          <w:sz w:val="20"/>
          <w:szCs w:val="20"/>
        </w:rPr>
        <w:tab/>
      </w:r>
      <w:r w:rsidRPr="00931BC5">
        <w:rPr>
          <w:rFonts w:asciiTheme="minorHAnsi" w:eastAsia="Calibri" w:hAnsiTheme="minorHAnsi" w:cs="Arial"/>
          <w:b/>
          <w:sz w:val="20"/>
          <w:szCs w:val="20"/>
        </w:rPr>
        <w:tab/>
      </w:r>
      <w:r w:rsidRPr="00931BC5">
        <w:rPr>
          <w:rFonts w:asciiTheme="minorHAnsi" w:eastAsia="Calibri" w:hAnsiTheme="minorHAnsi" w:cs="Arial"/>
          <w:b/>
          <w:sz w:val="20"/>
          <w:szCs w:val="20"/>
        </w:rPr>
        <w:tab/>
      </w:r>
      <w:r w:rsidRPr="00931BC5">
        <w:rPr>
          <w:rFonts w:asciiTheme="minorHAnsi" w:hAnsiTheme="minorHAnsi" w:cs="Arial"/>
          <w:sz w:val="20"/>
          <w:szCs w:val="20"/>
        </w:rPr>
        <w:t>divergence in outcome measures could be inferred. No formal slope analyses conducted.</w:t>
      </w:r>
    </w:p>
    <w:p w:rsidR="00F9487B" w:rsidRPr="00931BC5" w:rsidRDefault="00F9487B" w:rsidP="00872C5A">
      <w:pPr>
        <w:spacing w:after="0" w:line="240" w:lineRule="auto"/>
        <w:rPr>
          <w:rFonts w:asciiTheme="minorHAnsi" w:hAnsiTheme="minorHAnsi" w:cs="Arial"/>
          <w:sz w:val="20"/>
          <w:szCs w:val="20"/>
        </w:rPr>
      </w:pPr>
      <w:r w:rsidRPr="00931BC5">
        <w:rPr>
          <w:rFonts w:asciiTheme="minorHAnsi" w:hAnsiTheme="minorHAnsi" w:cs="Arial"/>
          <w:sz w:val="20"/>
          <w:szCs w:val="20"/>
        </w:rPr>
        <w:t>EEG</w:t>
      </w:r>
      <w:r w:rsidRPr="00931BC5">
        <w:rPr>
          <w:rFonts w:asciiTheme="minorHAnsi" w:hAnsiTheme="minorHAnsi" w:cs="Arial"/>
          <w:sz w:val="20"/>
          <w:szCs w:val="20"/>
        </w:rPr>
        <w:tab/>
        <w:t>Electroencephalography</w:t>
      </w:r>
      <w:r w:rsidRPr="00931BC5">
        <w:rPr>
          <w:rFonts w:asciiTheme="minorHAnsi" w:hAnsiTheme="minorHAnsi" w:cs="Arial"/>
          <w:sz w:val="20"/>
          <w:szCs w:val="20"/>
        </w:rPr>
        <w:tab/>
      </w:r>
      <w:r w:rsidRPr="00931BC5">
        <w:rPr>
          <w:rFonts w:asciiTheme="minorHAnsi" w:hAnsiTheme="minorHAnsi" w:cs="Arial"/>
          <w:sz w:val="20"/>
          <w:szCs w:val="20"/>
        </w:rPr>
        <w:tab/>
      </w:r>
      <w:r w:rsidRPr="00931BC5">
        <w:rPr>
          <w:rFonts w:asciiTheme="minorHAnsi" w:hAnsiTheme="minorHAnsi" w:cs="Arial"/>
          <w:sz w:val="20"/>
          <w:szCs w:val="20"/>
        </w:rPr>
        <w:tab/>
      </w:r>
      <w:r w:rsidRPr="00931BC5">
        <w:rPr>
          <w:rFonts w:asciiTheme="minorHAnsi" w:hAnsiTheme="minorHAnsi" w:cs="Arial"/>
          <w:sz w:val="20"/>
          <w:szCs w:val="20"/>
        </w:rPr>
        <w:tab/>
      </w:r>
      <w:r w:rsidRPr="00931BC5">
        <w:rPr>
          <w:rFonts w:asciiTheme="minorHAnsi" w:hAnsiTheme="minorHAnsi" w:cs="Arial"/>
          <w:sz w:val="20"/>
          <w:szCs w:val="20"/>
        </w:rPr>
        <w:tab/>
        <w:t>‡</w:t>
      </w:r>
      <w:r w:rsidRPr="00931BC5">
        <w:rPr>
          <w:rFonts w:asciiTheme="minorHAnsi" w:hAnsiTheme="minorHAnsi" w:cs="Arial"/>
          <w:sz w:val="20"/>
          <w:szCs w:val="20"/>
        </w:rPr>
        <w:tab/>
        <w:t>Formal slope analyses conducted to look for sustained divergence.</w:t>
      </w:r>
      <w:r w:rsidRPr="00931BC5">
        <w:rPr>
          <w:rFonts w:asciiTheme="minorHAnsi" w:hAnsiTheme="minorHAnsi" w:cs="Arial"/>
          <w:sz w:val="20"/>
          <w:szCs w:val="20"/>
        </w:rPr>
        <w:tab/>
      </w:r>
      <w:r w:rsidRPr="00931BC5">
        <w:rPr>
          <w:rFonts w:asciiTheme="minorHAnsi" w:hAnsiTheme="minorHAnsi" w:cs="Arial"/>
          <w:sz w:val="20"/>
          <w:szCs w:val="20"/>
        </w:rPr>
        <w:tab/>
      </w:r>
    </w:p>
    <w:p w:rsidR="00F9487B" w:rsidRPr="00931BC5" w:rsidRDefault="00F9487B" w:rsidP="00872C5A">
      <w:pPr>
        <w:spacing w:after="0" w:line="240" w:lineRule="auto"/>
        <w:rPr>
          <w:rFonts w:asciiTheme="minorHAnsi" w:hAnsiTheme="minorHAnsi" w:cs="Arial"/>
          <w:sz w:val="20"/>
          <w:szCs w:val="20"/>
        </w:rPr>
      </w:pPr>
      <w:r w:rsidRPr="00931BC5">
        <w:rPr>
          <w:rFonts w:asciiTheme="minorHAnsi" w:hAnsiTheme="minorHAnsi" w:cs="Arial"/>
          <w:sz w:val="20"/>
          <w:szCs w:val="20"/>
        </w:rPr>
        <w:t>MRI</w:t>
      </w:r>
      <w:r w:rsidRPr="00931BC5">
        <w:rPr>
          <w:rFonts w:asciiTheme="minorHAnsi" w:hAnsiTheme="minorHAnsi" w:cs="Arial"/>
          <w:sz w:val="20"/>
          <w:szCs w:val="20"/>
        </w:rPr>
        <w:tab/>
        <w:t>Magnetic Resonance Imaging</w:t>
      </w:r>
      <w:r w:rsidRPr="00931BC5">
        <w:rPr>
          <w:rFonts w:asciiTheme="minorHAnsi" w:hAnsiTheme="minorHAnsi" w:cs="Arial"/>
          <w:sz w:val="20"/>
          <w:szCs w:val="20"/>
        </w:rPr>
        <w:tab/>
      </w:r>
      <w:r w:rsidRPr="00931BC5">
        <w:rPr>
          <w:rFonts w:asciiTheme="minorHAnsi" w:hAnsiTheme="minorHAnsi" w:cs="Arial"/>
          <w:sz w:val="20"/>
          <w:szCs w:val="20"/>
        </w:rPr>
        <w:tab/>
      </w:r>
      <w:r w:rsidRPr="00931BC5">
        <w:rPr>
          <w:rFonts w:asciiTheme="minorHAnsi" w:hAnsiTheme="minorHAnsi" w:cs="Arial"/>
          <w:sz w:val="20"/>
          <w:szCs w:val="20"/>
        </w:rPr>
        <w:tab/>
      </w:r>
      <w:r w:rsidRPr="00931BC5">
        <w:rPr>
          <w:rFonts w:asciiTheme="minorHAnsi" w:hAnsiTheme="minorHAnsi" w:cs="Arial"/>
          <w:sz w:val="20"/>
          <w:szCs w:val="20"/>
        </w:rPr>
        <w:tab/>
      </w:r>
      <w:r w:rsidRPr="00931BC5">
        <w:rPr>
          <w:rFonts w:asciiTheme="minorHAnsi" w:eastAsia="Calibri" w:hAnsiTheme="minorHAnsi" w:cs="Arial"/>
          <w:sz w:val="20"/>
          <w:szCs w:val="20"/>
        </w:rPr>
        <w:t>¥</w:t>
      </w:r>
      <w:r w:rsidRPr="00931BC5">
        <w:rPr>
          <w:rFonts w:asciiTheme="minorHAnsi" w:eastAsia="Calibri" w:hAnsiTheme="minorHAnsi" w:cs="Arial"/>
          <w:sz w:val="20"/>
          <w:szCs w:val="20"/>
        </w:rPr>
        <w:tab/>
        <w:t>No formal slope analysis conducted nor image published from which</w:t>
      </w:r>
      <w:r w:rsidRPr="00931BC5">
        <w:rPr>
          <w:rFonts w:asciiTheme="minorHAnsi" w:hAnsiTheme="minorHAnsi" w:cs="Arial"/>
          <w:sz w:val="20"/>
          <w:szCs w:val="20"/>
        </w:rPr>
        <w:t xml:space="preserve"> </w:t>
      </w:r>
      <w:r w:rsidRPr="00931BC5">
        <w:rPr>
          <w:rFonts w:asciiTheme="minorHAnsi" w:eastAsia="Calibri" w:hAnsiTheme="minorHAnsi" w:cs="Arial"/>
          <w:sz w:val="20"/>
          <w:szCs w:val="20"/>
        </w:rPr>
        <w:t>sustained divergence</w:t>
      </w:r>
    </w:p>
    <w:p w:rsidR="00F9487B" w:rsidRPr="00931BC5" w:rsidRDefault="00F9487B" w:rsidP="00872C5A">
      <w:pPr>
        <w:spacing w:after="0" w:line="240" w:lineRule="auto"/>
        <w:rPr>
          <w:rFonts w:asciiTheme="minorHAnsi" w:hAnsiTheme="minorHAnsi" w:cs="Arial"/>
          <w:sz w:val="20"/>
          <w:szCs w:val="20"/>
        </w:rPr>
      </w:pPr>
      <w:r w:rsidRPr="00931BC5">
        <w:rPr>
          <w:rFonts w:asciiTheme="minorHAnsi" w:eastAsia="Calibri" w:hAnsiTheme="minorHAnsi" w:cs="Arial"/>
          <w:sz w:val="20"/>
          <w:szCs w:val="20"/>
        </w:rPr>
        <w:t>PET</w:t>
      </w:r>
      <w:r w:rsidRPr="00931BC5">
        <w:rPr>
          <w:rFonts w:asciiTheme="minorHAnsi" w:eastAsia="Calibri" w:hAnsiTheme="minorHAnsi" w:cs="Arial"/>
          <w:sz w:val="20"/>
          <w:szCs w:val="20"/>
        </w:rPr>
        <w:tab/>
        <w:t>Positron Emission Tomography</w:t>
      </w:r>
      <w:r w:rsidRPr="00931BC5">
        <w:rPr>
          <w:rFonts w:asciiTheme="minorHAnsi" w:eastAsia="Calibri" w:hAnsiTheme="minorHAnsi" w:cs="Arial"/>
          <w:sz w:val="20"/>
          <w:szCs w:val="20"/>
        </w:rPr>
        <w:tab/>
      </w:r>
      <w:r w:rsidRPr="00931BC5">
        <w:rPr>
          <w:rFonts w:asciiTheme="minorHAnsi" w:hAnsiTheme="minorHAnsi" w:cs="Arial"/>
          <w:sz w:val="20"/>
          <w:szCs w:val="20"/>
        </w:rPr>
        <w:tab/>
      </w:r>
      <w:r w:rsidRPr="00931BC5">
        <w:rPr>
          <w:rFonts w:asciiTheme="minorHAnsi" w:hAnsiTheme="minorHAnsi" w:cs="Arial"/>
          <w:sz w:val="20"/>
          <w:szCs w:val="20"/>
        </w:rPr>
        <w:tab/>
      </w:r>
      <w:r w:rsidRPr="00931BC5">
        <w:rPr>
          <w:rFonts w:asciiTheme="minorHAnsi" w:hAnsiTheme="minorHAnsi" w:cs="Arial"/>
          <w:sz w:val="20"/>
          <w:szCs w:val="20"/>
        </w:rPr>
        <w:tab/>
      </w:r>
      <w:r w:rsidRPr="00931BC5">
        <w:rPr>
          <w:rFonts w:asciiTheme="minorHAnsi" w:hAnsiTheme="minorHAnsi" w:cs="Arial"/>
          <w:sz w:val="20"/>
          <w:szCs w:val="20"/>
        </w:rPr>
        <w:tab/>
      </w:r>
      <w:r w:rsidRPr="00931BC5">
        <w:rPr>
          <w:rFonts w:asciiTheme="minorHAnsi" w:eastAsia="Calibri" w:hAnsiTheme="minorHAnsi" w:cs="Arial"/>
          <w:sz w:val="20"/>
          <w:szCs w:val="20"/>
        </w:rPr>
        <w:t>in outcome measures between groups can be inferred. Furthermore, no alternative</w:t>
      </w:r>
    </w:p>
    <w:p w:rsidR="00F9487B" w:rsidRPr="00931BC5" w:rsidRDefault="00F9487B" w:rsidP="00872C5A">
      <w:pPr>
        <w:spacing w:after="0" w:line="240" w:lineRule="auto"/>
        <w:rPr>
          <w:rFonts w:asciiTheme="minorHAnsi" w:hAnsiTheme="minorHAnsi" w:cs="Arial"/>
          <w:sz w:val="20"/>
          <w:szCs w:val="20"/>
        </w:rPr>
      </w:pPr>
      <w:r w:rsidRPr="00931BC5">
        <w:rPr>
          <w:rFonts w:asciiTheme="minorHAnsi" w:eastAsia="Calibri" w:hAnsiTheme="minorHAnsi" w:cs="Arial"/>
          <w:sz w:val="20"/>
          <w:szCs w:val="20"/>
        </w:rPr>
        <w:t>SPECT</w:t>
      </w:r>
      <w:r w:rsidRPr="00931BC5">
        <w:rPr>
          <w:rFonts w:asciiTheme="minorHAnsi" w:eastAsia="Calibri" w:hAnsiTheme="minorHAnsi" w:cs="Arial"/>
          <w:sz w:val="20"/>
          <w:szCs w:val="20"/>
        </w:rPr>
        <w:tab/>
        <w:t>Single Photon Emission Computed Tomography</w:t>
      </w:r>
      <w:r w:rsidRPr="00931BC5">
        <w:rPr>
          <w:rFonts w:asciiTheme="minorHAnsi" w:hAnsiTheme="minorHAnsi" w:cs="Arial"/>
          <w:sz w:val="20"/>
          <w:szCs w:val="20"/>
        </w:rPr>
        <w:tab/>
      </w:r>
      <w:r w:rsidRPr="00931BC5">
        <w:rPr>
          <w:rFonts w:asciiTheme="minorHAnsi" w:hAnsiTheme="minorHAnsi" w:cs="Arial"/>
          <w:sz w:val="20"/>
          <w:szCs w:val="20"/>
        </w:rPr>
        <w:tab/>
      </w:r>
      <w:r w:rsidRPr="00931BC5">
        <w:rPr>
          <w:rFonts w:asciiTheme="minorHAnsi" w:hAnsiTheme="minorHAnsi" w:cs="Arial"/>
          <w:sz w:val="20"/>
          <w:szCs w:val="20"/>
        </w:rPr>
        <w:tab/>
      </w:r>
      <w:r w:rsidRPr="00931BC5">
        <w:rPr>
          <w:rFonts w:asciiTheme="minorHAnsi" w:eastAsia="Calibri" w:hAnsiTheme="minorHAnsi" w:cs="Arial"/>
          <w:sz w:val="20"/>
          <w:szCs w:val="20"/>
        </w:rPr>
        <w:t>strategy used to try to demonstrate disease-modification.</w:t>
      </w:r>
    </w:p>
    <w:p w:rsidR="00F9487B" w:rsidRPr="00CC20FE" w:rsidRDefault="00F9487B" w:rsidP="00872C5A">
      <w:pPr>
        <w:spacing w:after="0" w:line="240" w:lineRule="auto"/>
        <w:rPr>
          <w:rFonts w:asciiTheme="minorHAnsi" w:eastAsia="Calibri" w:hAnsiTheme="minorHAnsi" w:cs="Arial"/>
          <w:sz w:val="20"/>
          <w:szCs w:val="20"/>
        </w:rPr>
      </w:pP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eastAsia="Calibri" w:hAnsiTheme="minorHAnsi" w:cs="Arial"/>
          <w:sz w:val="20"/>
          <w:szCs w:val="20"/>
        </w:rPr>
        <w:tab/>
      </w:r>
      <w:r w:rsidRPr="00931BC5">
        <w:rPr>
          <w:rFonts w:asciiTheme="minorHAnsi" w:hAnsiTheme="minorHAnsi" w:cs="Arial"/>
          <w:sz w:val="20"/>
          <w:szCs w:val="20"/>
        </w:rPr>
        <w:t>Ф</w:t>
      </w:r>
      <w:r w:rsidRPr="00931BC5">
        <w:rPr>
          <w:rFonts w:asciiTheme="minorHAnsi" w:hAnsiTheme="minorHAnsi" w:cs="Arial"/>
          <w:sz w:val="20"/>
          <w:szCs w:val="20"/>
        </w:rPr>
        <w:tab/>
        <w:t xml:space="preserve">Insufficient information to classify (e.g. only published as conference </w:t>
      </w:r>
      <w:bookmarkEnd w:id="5"/>
      <w:r>
        <w:rPr>
          <w:rFonts w:asciiTheme="minorHAnsi" w:hAnsiTheme="minorHAnsi" w:cs="Arial"/>
          <w:sz w:val="20"/>
          <w:szCs w:val="20"/>
        </w:rPr>
        <w:t>abstract)</w:t>
      </w:r>
      <w:r w:rsidRPr="00327648">
        <w:rPr>
          <w:rFonts w:asciiTheme="minorHAnsi" w:eastAsia="Calibri" w:hAnsiTheme="minorHAnsi" w:cs="Arial"/>
          <w:sz w:val="20"/>
          <w:szCs w:val="20"/>
        </w:rPr>
        <w:tab/>
      </w:r>
    </w:p>
    <w:p w:rsidR="00F9487B" w:rsidRPr="00C41996" w:rsidRDefault="00F9487B" w:rsidP="00550109">
      <w:pPr>
        <w:spacing w:after="0" w:line="240" w:lineRule="auto"/>
        <w:rPr>
          <w:rFonts w:asciiTheme="minorHAnsi" w:hAnsiTheme="minorHAnsi" w:cs="Arial"/>
          <w:sz w:val="20"/>
          <w:szCs w:val="20"/>
        </w:rPr>
      </w:pPr>
    </w:p>
    <w:p w:rsidR="00F9487B" w:rsidRPr="00C41996" w:rsidRDefault="00F9487B" w:rsidP="00550109">
      <w:pPr>
        <w:spacing w:after="0" w:line="240" w:lineRule="auto"/>
        <w:rPr>
          <w:rFonts w:asciiTheme="minorHAnsi" w:eastAsia="Calibri" w:hAnsiTheme="minorHAnsi" w:cs="Arial"/>
          <w:b/>
          <w:sz w:val="20"/>
          <w:szCs w:val="20"/>
        </w:rPr>
      </w:pPr>
    </w:p>
    <w:p w:rsidR="00F9487B" w:rsidRPr="00C41996" w:rsidRDefault="00F9487B" w:rsidP="00550109">
      <w:pPr>
        <w:spacing w:after="0" w:line="240" w:lineRule="auto"/>
        <w:rPr>
          <w:rFonts w:asciiTheme="minorHAnsi" w:eastAsia="Calibri" w:hAnsiTheme="minorHAnsi" w:cs="Arial"/>
          <w:b/>
          <w:sz w:val="20"/>
          <w:szCs w:val="20"/>
        </w:rPr>
      </w:pPr>
      <w:r w:rsidRPr="00C41996">
        <w:rPr>
          <w:rFonts w:asciiTheme="minorHAnsi" w:eastAsia="Calibri" w:hAnsiTheme="minorHAnsi" w:cs="Arial"/>
          <w:b/>
          <w:sz w:val="20"/>
          <w:szCs w:val="20"/>
        </w:rPr>
        <w:t xml:space="preserve">CSF measurements </w:t>
      </w:r>
      <w:r w:rsidRPr="00C41996">
        <w:rPr>
          <w:rFonts w:asciiTheme="minorHAnsi" w:eastAsia="Calibri" w:hAnsiTheme="minorHAnsi" w:cs="Arial"/>
          <w:b/>
          <w:sz w:val="20"/>
          <w:szCs w:val="20"/>
        </w:rPr>
        <w:tab/>
      </w:r>
      <w:r w:rsidRPr="00C41996">
        <w:rPr>
          <w:rFonts w:asciiTheme="minorHAnsi" w:eastAsia="Calibri" w:hAnsiTheme="minorHAnsi" w:cs="Arial"/>
          <w:b/>
          <w:sz w:val="20"/>
          <w:szCs w:val="20"/>
        </w:rPr>
        <w:tab/>
      </w:r>
      <w:r w:rsidRPr="00C41996">
        <w:rPr>
          <w:rFonts w:asciiTheme="minorHAnsi" w:eastAsia="Calibri" w:hAnsiTheme="minorHAnsi" w:cs="Arial"/>
          <w:b/>
          <w:sz w:val="20"/>
          <w:szCs w:val="20"/>
        </w:rPr>
        <w:tab/>
      </w:r>
      <w:r w:rsidRPr="00C41996">
        <w:rPr>
          <w:rFonts w:asciiTheme="minorHAnsi" w:eastAsia="Calibri" w:hAnsiTheme="minorHAnsi" w:cs="Arial"/>
          <w:b/>
          <w:sz w:val="20"/>
          <w:szCs w:val="20"/>
        </w:rPr>
        <w:tab/>
      </w:r>
      <w:r w:rsidRPr="00C41996">
        <w:rPr>
          <w:rFonts w:asciiTheme="minorHAnsi" w:eastAsia="Calibri" w:hAnsiTheme="minorHAnsi" w:cs="Arial"/>
          <w:b/>
          <w:sz w:val="20"/>
          <w:szCs w:val="20"/>
        </w:rPr>
        <w:tab/>
      </w:r>
      <w:r w:rsidRPr="00C41996">
        <w:rPr>
          <w:rFonts w:asciiTheme="minorHAnsi" w:eastAsia="Calibri" w:hAnsiTheme="minorHAnsi" w:cs="Arial"/>
          <w:b/>
          <w:sz w:val="20"/>
          <w:szCs w:val="20"/>
        </w:rPr>
        <w:tab/>
      </w:r>
      <w:r w:rsidRPr="00C41996">
        <w:rPr>
          <w:rFonts w:asciiTheme="minorHAnsi" w:eastAsia="Calibri" w:hAnsiTheme="minorHAnsi" w:cs="Arial"/>
          <w:b/>
          <w:sz w:val="20"/>
          <w:szCs w:val="20"/>
        </w:rPr>
        <w:tab/>
        <w:t>MRI measurements</w:t>
      </w:r>
    </w:p>
    <w:p w:rsidR="00F9487B" w:rsidRPr="00C41996" w:rsidRDefault="00F9487B" w:rsidP="00550109">
      <w:pPr>
        <w:spacing w:after="0" w:line="240" w:lineRule="auto"/>
        <w:rPr>
          <w:rFonts w:asciiTheme="minorHAnsi" w:eastAsia="Calibri" w:hAnsiTheme="minorHAnsi" w:cs="Arial"/>
          <w:b/>
          <w:sz w:val="20"/>
          <w:szCs w:val="20"/>
        </w:rPr>
      </w:pPr>
      <w:r w:rsidRPr="00C41996">
        <w:rPr>
          <w:rFonts w:asciiTheme="minorHAnsi" w:hAnsiTheme="minorHAnsi" w:cs="Arial"/>
          <w:sz w:val="20"/>
          <w:szCs w:val="20"/>
        </w:rPr>
        <w:t>BDNF</w:t>
      </w:r>
      <w:r w:rsidRPr="00C41996">
        <w:rPr>
          <w:rFonts w:asciiTheme="minorHAnsi" w:hAnsiTheme="minorHAnsi" w:cs="Arial"/>
          <w:sz w:val="20"/>
          <w:szCs w:val="20"/>
        </w:rPr>
        <w:tab/>
      </w:r>
      <w:r w:rsidRPr="00C41996">
        <w:rPr>
          <w:rFonts w:asciiTheme="minorHAnsi" w:hAnsiTheme="minorHAnsi" w:cs="Arial"/>
          <w:sz w:val="20"/>
          <w:szCs w:val="20"/>
        </w:rPr>
        <w:tab/>
      </w:r>
      <w:r w:rsidRPr="00C41996">
        <w:rPr>
          <w:rFonts w:asciiTheme="minorHAnsi" w:hAnsiTheme="minorHAnsi" w:cs="Arial"/>
          <w:sz w:val="20"/>
          <w:szCs w:val="20"/>
        </w:rPr>
        <w:tab/>
        <w:t xml:space="preserve">Brain-Derived Neurotrophic Factor </w:t>
      </w:r>
      <w:r w:rsidRPr="00C41996">
        <w:rPr>
          <w:rFonts w:asciiTheme="minorHAnsi" w:hAnsiTheme="minorHAnsi" w:cs="Arial"/>
          <w:sz w:val="20"/>
          <w:szCs w:val="20"/>
        </w:rPr>
        <w:tab/>
      </w:r>
      <w:r w:rsidRPr="00C41996">
        <w:rPr>
          <w:rFonts w:asciiTheme="minorHAnsi" w:hAnsiTheme="minorHAnsi" w:cs="Arial"/>
          <w:sz w:val="20"/>
          <w:szCs w:val="20"/>
        </w:rPr>
        <w:tab/>
      </w:r>
      <w:r w:rsidRPr="00C41996">
        <w:rPr>
          <w:rFonts w:asciiTheme="minorHAnsi" w:hAnsiTheme="minorHAnsi" w:cs="Arial"/>
          <w:sz w:val="20"/>
          <w:szCs w:val="20"/>
        </w:rPr>
        <w:tab/>
        <w:t>R2*</w:t>
      </w:r>
      <w:r w:rsidRPr="00C41996">
        <w:rPr>
          <w:rFonts w:asciiTheme="minorHAnsi" w:hAnsiTheme="minorHAnsi" w:cs="Arial"/>
          <w:sz w:val="20"/>
          <w:szCs w:val="20"/>
        </w:rPr>
        <w:tab/>
      </w:r>
      <w:r w:rsidRPr="00C41996">
        <w:rPr>
          <w:rFonts w:asciiTheme="minorHAnsi" w:hAnsiTheme="minorHAnsi" w:cs="Arial"/>
          <w:sz w:val="20"/>
          <w:szCs w:val="20"/>
        </w:rPr>
        <w:tab/>
      </w:r>
      <w:r w:rsidRPr="00C41996">
        <w:rPr>
          <w:rFonts w:asciiTheme="minorHAnsi" w:hAnsiTheme="minorHAnsi" w:cs="Arial"/>
          <w:sz w:val="20"/>
          <w:szCs w:val="20"/>
        </w:rPr>
        <w:tab/>
        <w:t>Proton transverse relaxation rate</w:t>
      </w:r>
      <w:r w:rsidRPr="00C41996">
        <w:rPr>
          <w:rFonts w:asciiTheme="minorHAnsi" w:hAnsiTheme="minorHAnsi" w:cs="Arial"/>
          <w:sz w:val="20"/>
          <w:szCs w:val="20"/>
        </w:rPr>
        <w:tab/>
      </w:r>
    </w:p>
    <w:p w:rsidR="00F9487B" w:rsidRPr="00C41996" w:rsidRDefault="00F9487B" w:rsidP="00550109">
      <w:pPr>
        <w:spacing w:after="0" w:line="240" w:lineRule="auto"/>
        <w:rPr>
          <w:rFonts w:asciiTheme="minorHAnsi" w:eastAsia="Calibri" w:hAnsiTheme="minorHAnsi" w:cs="Arial"/>
          <w:b/>
          <w:sz w:val="20"/>
          <w:szCs w:val="20"/>
        </w:rPr>
      </w:pPr>
    </w:p>
    <w:p w:rsidR="00F9487B" w:rsidRPr="00C41996" w:rsidRDefault="00F9487B" w:rsidP="0077094C">
      <w:pPr>
        <w:spacing w:after="0" w:line="240" w:lineRule="auto"/>
        <w:rPr>
          <w:rFonts w:asciiTheme="minorHAnsi" w:eastAsia="Calibri" w:hAnsiTheme="minorHAnsi" w:cs="Arial"/>
          <w:b/>
          <w:sz w:val="20"/>
          <w:szCs w:val="20"/>
        </w:rPr>
      </w:pPr>
      <w:r w:rsidRPr="00C41996">
        <w:rPr>
          <w:rFonts w:asciiTheme="minorHAnsi" w:eastAsia="Calibri" w:hAnsiTheme="minorHAnsi" w:cs="Arial"/>
          <w:b/>
          <w:sz w:val="20"/>
          <w:szCs w:val="20"/>
        </w:rPr>
        <w:lastRenderedPageBreak/>
        <w:t>PET ligands</w:t>
      </w:r>
    </w:p>
    <w:p w:rsidR="00F9487B" w:rsidRPr="00C41996" w:rsidRDefault="00F9487B" w:rsidP="0077094C">
      <w:pPr>
        <w:autoSpaceDE w:val="0"/>
        <w:autoSpaceDN w:val="0"/>
        <w:adjustRightInd w:val="0"/>
        <w:spacing w:after="0" w:line="240" w:lineRule="auto"/>
        <w:rPr>
          <w:rFonts w:asciiTheme="minorHAnsi" w:hAnsiTheme="minorHAnsi" w:cs="Arial"/>
          <w:sz w:val="20"/>
          <w:szCs w:val="20"/>
        </w:rPr>
      </w:pPr>
      <w:r w:rsidRPr="00C41996">
        <w:rPr>
          <w:rFonts w:asciiTheme="minorHAnsi" w:hAnsiTheme="minorHAnsi" w:cs="Arial"/>
          <w:sz w:val="20"/>
          <w:szCs w:val="20"/>
        </w:rPr>
        <w:t>FDOPA</w:t>
      </w:r>
      <w:r w:rsidRPr="00C41996">
        <w:rPr>
          <w:rFonts w:asciiTheme="minorHAnsi" w:hAnsiTheme="minorHAnsi" w:cs="Arial"/>
          <w:sz w:val="20"/>
          <w:szCs w:val="20"/>
        </w:rPr>
        <w:tab/>
      </w:r>
      <w:r w:rsidRPr="00C41996">
        <w:rPr>
          <w:rFonts w:asciiTheme="minorHAnsi" w:hAnsiTheme="minorHAnsi" w:cs="Arial"/>
          <w:sz w:val="20"/>
          <w:szCs w:val="20"/>
        </w:rPr>
        <w:tab/>
      </w:r>
      <w:r w:rsidRPr="00C41996">
        <w:rPr>
          <w:rFonts w:asciiTheme="minorHAnsi" w:hAnsiTheme="minorHAnsi" w:cs="Arial"/>
          <w:sz w:val="20"/>
          <w:szCs w:val="20"/>
        </w:rPr>
        <w:tab/>
        <w:t>[</w:t>
      </w:r>
      <w:r w:rsidRPr="00C41996">
        <w:rPr>
          <w:rFonts w:asciiTheme="minorHAnsi" w:hAnsiTheme="minorHAnsi" w:cs="Arial"/>
          <w:sz w:val="20"/>
          <w:szCs w:val="20"/>
          <w:vertAlign w:val="superscript"/>
        </w:rPr>
        <w:t>18</w:t>
      </w:r>
      <w:r w:rsidRPr="00C41996">
        <w:rPr>
          <w:rFonts w:asciiTheme="minorHAnsi" w:hAnsiTheme="minorHAnsi" w:cs="Arial"/>
          <w:sz w:val="20"/>
          <w:szCs w:val="20"/>
        </w:rPr>
        <w:t>F]6-fluoro-L-3,4-dihydroxyphenylalanine</w:t>
      </w:r>
    </w:p>
    <w:p w:rsidR="00F9487B" w:rsidRPr="00C41996" w:rsidRDefault="00F9487B" w:rsidP="0077094C">
      <w:pPr>
        <w:autoSpaceDE w:val="0"/>
        <w:autoSpaceDN w:val="0"/>
        <w:adjustRightInd w:val="0"/>
        <w:spacing w:after="0" w:line="240" w:lineRule="auto"/>
        <w:rPr>
          <w:rFonts w:asciiTheme="minorHAnsi" w:hAnsiTheme="minorHAnsi" w:cs="Arial"/>
          <w:sz w:val="20"/>
          <w:szCs w:val="20"/>
        </w:rPr>
      </w:pPr>
      <w:r w:rsidRPr="00C41996">
        <w:rPr>
          <w:rFonts w:asciiTheme="minorHAnsi" w:hAnsiTheme="minorHAnsi" w:cs="Arial"/>
          <w:sz w:val="20"/>
          <w:szCs w:val="20"/>
        </w:rPr>
        <w:t>[</w:t>
      </w:r>
      <w:r w:rsidRPr="00C41996">
        <w:rPr>
          <w:rFonts w:asciiTheme="minorHAnsi" w:hAnsiTheme="minorHAnsi" w:cs="Arial"/>
          <w:sz w:val="20"/>
          <w:szCs w:val="20"/>
          <w:vertAlign w:val="superscript"/>
        </w:rPr>
        <w:t>11</w:t>
      </w:r>
      <w:r w:rsidRPr="00C41996">
        <w:rPr>
          <w:rFonts w:asciiTheme="minorHAnsi" w:hAnsiTheme="minorHAnsi" w:cs="Arial"/>
          <w:sz w:val="20"/>
          <w:szCs w:val="20"/>
        </w:rPr>
        <w:t>C]MP</w:t>
      </w:r>
      <w:r w:rsidRPr="00C41996">
        <w:rPr>
          <w:rFonts w:asciiTheme="minorHAnsi" w:hAnsiTheme="minorHAnsi" w:cs="Arial"/>
          <w:sz w:val="20"/>
          <w:szCs w:val="20"/>
        </w:rPr>
        <w:tab/>
      </w:r>
      <w:r w:rsidRPr="00C41996">
        <w:rPr>
          <w:rFonts w:asciiTheme="minorHAnsi" w:hAnsiTheme="minorHAnsi" w:cs="Arial"/>
          <w:sz w:val="20"/>
          <w:szCs w:val="20"/>
        </w:rPr>
        <w:tab/>
      </w:r>
      <w:r w:rsidRPr="00C41996">
        <w:rPr>
          <w:rFonts w:asciiTheme="minorHAnsi" w:hAnsiTheme="minorHAnsi" w:cs="Arial"/>
          <w:sz w:val="20"/>
          <w:szCs w:val="20"/>
        </w:rPr>
        <w:tab/>
        <w:t>[</w:t>
      </w:r>
      <w:r w:rsidRPr="00C41996">
        <w:rPr>
          <w:rFonts w:asciiTheme="minorHAnsi" w:hAnsiTheme="minorHAnsi" w:cs="Arial"/>
          <w:sz w:val="20"/>
          <w:szCs w:val="20"/>
          <w:vertAlign w:val="superscript"/>
        </w:rPr>
        <w:t>11</w:t>
      </w:r>
      <w:r w:rsidRPr="00C41996">
        <w:rPr>
          <w:rFonts w:asciiTheme="minorHAnsi" w:hAnsiTheme="minorHAnsi" w:cs="Arial"/>
          <w:sz w:val="20"/>
          <w:szCs w:val="20"/>
        </w:rPr>
        <w:t>C]Methylphenidate</w:t>
      </w:r>
      <w:r w:rsidRPr="00C41996">
        <w:rPr>
          <w:rFonts w:asciiTheme="minorHAnsi" w:hAnsiTheme="minorHAnsi" w:cs="Arial"/>
          <w:sz w:val="20"/>
          <w:szCs w:val="20"/>
        </w:rPr>
        <w:tab/>
      </w:r>
    </w:p>
    <w:p w:rsidR="00F9487B" w:rsidRPr="00C41996" w:rsidRDefault="00F9487B" w:rsidP="0077094C">
      <w:pPr>
        <w:spacing w:after="0" w:line="240" w:lineRule="auto"/>
        <w:rPr>
          <w:rFonts w:asciiTheme="minorHAnsi" w:hAnsiTheme="minorHAnsi"/>
          <w:sz w:val="20"/>
          <w:szCs w:val="20"/>
        </w:rPr>
      </w:pPr>
    </w:p>
    <w:p w:rsidR="00F9487B" w:rsidRPr="00C41996" w:rsidRDefault="00F9487B" w:rsidP="0077094C">
      <w:pPr>
        <w:spacing w:after="0" w:line="240" w:lineRule="auto"/>
        <w:rPr>
          <w:rFonts w:asciiTheme="minorHAnsi" w:eastAsia="Calibri" w:hAnsiTheme="minorHAnsi" w:cs="Arial"/>
          <w:b/>
          <w:sz w:val="20"/>
          <w:szCs w:val="20"/>
        </w:rPr>
      </w:pPr>
      <w:r w:rsidRPr="00C41996">
        <w:rPr>
          <w:rFonts w:asciiTheme="minorHAnsi" w:eastAsia="Calibri" w:hAnsiTheme="minorHAnsi" w:cs="Arial"/>
          <w:b/>
          <w:sz w:val="20"/>
          <w:szCs w:val="20"/>
        </w:rPr>
        <w:t>SPECT ligands</w:t>
      </w:r>
    </w:p>
    <w:p w:rsidR="00F9487B" w:rsidRPr="00C41996" w:rsidRDefault="00F9487B" w:rsidP="0077094C">
      <w:pPr>
        <w:autoSpaceDE w:val="0"/>
        <w:autoSpaceDN w:val="0"/>
        <w:adjustRightInd w:val="0"/>
        <w:spacing w:after="0" w:line="240" w:lineRule="auto"/>
        <w:rPr>
          <w:rFonts w:asciiTheme="minorHAnsi" w:hAnsiTheme="minorHAnsi" w:cs="Arial"/>
          <w:b/>
          <w:sz w:val="20"/>
          <w:szCs w:val="20"/>
        </w:rPr>
      </w:pPr>
      <w:r w:rsidRPr="00C41996">
        <w:rPr>
          <w:rFonts w:asciiTheme="minorHAnsi" w:hAnsiTheme="minorHAnsi" w:cs="Arial"/>
          <w:sz w:val="20"/>
          <w:szCs w:val="20"/>
        </w:rPr>
        <w:t>[</w:t>
      </w:r>
      <w:r w:rsidRPr="00C41996">
        <w:rPr>
          <w:rFonts w:asciiTheme="minorHAnsi" w:hAnsiTheme="minorHAnsi" w:cs="Arial"/>
          <w:sz w:val="20"/>
          <w:szCs w:val="20"/>
          <w:vertAlign w:val="superscript"/>
        </w:rPr>
        <w:t>123</w:t>
      </w:r>
      <w:r w:rsidRPr="00C41996">
        <w:rPr>
          <w:rFonts w:asciiTheme="minorHAnsi" w:hAnsiTheme="minorHAnsi" w:cs="Arial"/>
          <w:sz w:val="20"/>
          <w:szCs w:val="20"/>
        </w:rPr>
        <w:t>I]FP-CIT</w:t>
      </w:r>
      <w:r w:rsidRPr="00C41996">
        <w:rPr>
          <w:rFonts w:asciiTheme="minorHAnsi" w:hAnsiTheme="minorHAnsi" w:cs="Arial"/>
          <w:sz w:val="20"/>
          <w:szCs w:val="20"/>
        </w:rPr>
        <w:tab/>
      </w:r>
      <w:r w:rsidRPr="00C41996">
        <w:rPr>
          <w:rFonts w:asciiTheme="minorHAnsi" w:hAnsiTheme="minorHAnsi" w:cs="Arial"/>
          <w:sz w:val="20"/>
          <w:szCs w:val="20"/>
        </w:rPr>
        <w:tab/>
        <w:t>[</w:t>
      </w:r>
      <w:r w:rsidRPr="00C41996">
        <w:rPr>
          <w:rFonts w:asciiTheme="minorHAnsi" w:hAnsiTheme="minorHAnsi" w:cs="Arial"/>
          <w:sz w:val="20"/>
          <w:szCs w:val="20"/>
          <w:vertAlign w:val="superscript"/>
        </w:rPr>
        <w:t>123</w:t>
      </w:r>
      <w:r w:rsidRPr="00C41996">
        <w:rPr>
          <w:rFonts w:asciiTheme="minorHAnsi" w:hAnsiTheme="minorHAnsi" w:cs="Arial"/>
          <w:sz w:val="20"/>
          <w:szCs w:val="20"/>
        </w:rPr>
        <w:t>I]-2β-carbomethoxy-3β-(4-iodophenyl)-N-(3-fluoropropyl)-N-tropane</w:t>
      </w:r>
    </w:p>
    <w:p w:rsidR="00F9487B" w:rsidRPr="00C41996" w:rsidRDefault="00F9487B" w:rsidP="00A37268">
      <w:pPr>
        <w:autoSpaceDE w:val="0"/>
        <w:autoSpaceDN w:val="0"/>
        <w:adjustRightInd w:val="0"/>
        <w:spacing w:after="0" w:line="240" w:lineRule="auto"/>
        <w:rPr>
          <w:rFonts w:asciiTheme="minorHAnsi" w:hAnsiTheme="minorHAnsi" w:cs="Arial"/>
          <w:sz w:val="20"/>
          <w:szCs w:val="20"/>
        </w:rPr>
      </w:pPr>
      <w:r w:rsidRPr="00C41996">
        <w:rPr>
          <w:rFonts w:asciiTheme="minorHAnsi" w:hAnsiTheme="minorHAnsi" w:cs="Arial"/>
          <w:sz w:val="20"/>
          <w:szCs w:val="20"/>
        </w:rPr>
        <w:t>[</w:t>
      </w:r>
      <w:r w:rsidRPr="00C41996">
        <w:rPr>
          <w:rFonts w:asciiTheme="minorHAnsi" w:hAnsiTheme="minorHAnsi" w:cs="Arial"/>
          <w:sz w:val="20"/>
          <w:szCs w:val="20"/>
          <w:vertAlign w:val="superscript"/>
        </w:rPr>
        <w:t>123</w:t>
      </w:r>
      <w:r w:rsidRPr="00C41996">
        <w:rPr>
          <w:rFonts w:asciiTheme="minorHAnsi" w:hAnsiTheme="minorHAnsi" w:cs="Arial"/>
          <w:sz w:val="20"/>
          <w:szCs w:val="20"/>
        </w:rPr>
        <w:t>I]β-CIT</w:t>
      </w:r>
      <w:r w:rsidRPr="00C41996">
        <w:rPr>
          <w:rFonts w:asciiTheme="minorHAnsi" w:hAnsiTheme="minorHAnsi" w:cs="Arial"/>
          <w:sz w:val="20"/>
          <w:szCs w:val="20"/>
        </w:rPr>
        <w:tab/>
      </w:r>
      <w:r w:rsidRPr="00C41996">
        <w:rPr>
          <w:rFonts w:asciiTheme="minorHAnsi" w:hAnsiTheme="minorHAnsi" w:cs="Arial"/>
          <w:sz w:val="20"/>
          <w:szCs w:val="20"/>
        </w:rPr>
        <w:tab/>
        <w:t>[</w:t>
      </w:r>
      <w:r w:rsidRPr="00C41996">
        <w:rPr>
          <w:rFonts w:asciiTheme="minorHAnsi" w:hAnsiTheme="minorHAnsi" w:cs="Arial"/>
          <w:sz w:val="20"/>
          <w:szCs w:val="20"/>
          <w:vertAlign w:val="superscript"/>
        </w:rPr>
        <w:t>123</w:t>
      </w:r>
      <w:r w:rsidRPr="00C41996">
        <w:rPr>
          <w:rFonts w:asciiTheme="minorHAnsi" w:hAnsiTheme="minorHAnsi" w:cs="Arial"/>
          <w:sz w:val="20"/>
          <w:szCs w:val="20"/>
        </w:rPr>
        <w:t>I]-2β-carbomethoxy-3β-(4-iodophenyl tropane)</w:t>
      </w:r>
    </w:p>
    <w:p w:rsidR="00F9487B" w:rsidRDefault="00F9487B" w:rsidP="00794C5B">
      <w:pPr>
        <w:pStyle w:val="Heading3"/>
        <w:rPr>
          <w:b w:val="0"/>
        </w:rPr>
      </w:pPr>
    </w:p>
    <w:p w:rsidR="00F9487B" w:rsidRDefault="00F9487B" w:rsidP="004F0EDF"/>
    <w:p w:rsidR="00F9487B" w:rsidRDefault="00F9487B" w:rsidP="004F0EDF"/>
    <w:p w:rsidR="00F9487B" w:rsidRDefault="00F9487B" w:rsidP="004F0EDF"/>
    <w:p w:rsidR="00F9487B" w:rsidRDefault="00F9487B" w:rsidP="004F0EDF"/>
    <w:p w:rsidR="00F9487B" w:rsidRDefault="00F9487B" w:rsidP="004F0EDF"/>
    <w:p w:rsidR="00F9487B" w:rsidRDefault="00F9487B" w:rsidP="004F0EDF"/>
    <w:p w:rsidR="00F9487B" w:rsidRDefault="00F9487B" w:rsidP="004F0EDF"/>
    <w:p w:rsidR="00F9487B" w:rsidRDefault="00F9487B" w:rsidP="004F0EDF"/>
    <w:p w:rsidR="00F9487B" w:rsidRDefault="00F9487B" w:rsidP="004F0EDF"/>
    <w:p w:rsidR="00F9487B" w:rsidRDefault="00F9487B" w:rsidP="004F0EDF"/>
    <w:p w:rsidR="00F9487B" w:rsidRDefault="00F9487B" w:rsidP="004F0EDF"/>
    <w:p w:rsidR="00F9487B" w:rsidRDefault="00F9487B" w:rsidP="004F0EDF"/>
    <w:p w:rsidR="00F9487B" w:rsidRDefault="00F9487B" w:rsidP="004F0EDF"/>
    <w:p w:rsidR="00F9487B" w:rsidRDefault="00F9487B" w:rsidP="004F0EDF"/>
    <w:p w:rsidR="00F9487B" w:rsidRDefault="00F9487B" w:rsidP="00876E1C">
      <w:pPr>
        <w:spacing w:after="0"/>
        <w:jc w:val="center"/>
        <w:rPr>
          <w:rFonts w:cs="Arial"/>
          <w:b/>
          <w:sz w:val="28"/>
          <w:szCs w:val="28"/>
          <w:u w:val="single"/>
        </w:rPr>
      </w:pPr>
      <w:r>
        <w:rPr>
          <w:rFonts w:cs="Arial"/>
          <w:b/>
          <w:sz w:val="28"/>
          <w:szCs w:val="28"/>
          <w:u w:val="single"/>
        </w:rPr>
        <w:lastRenderedPageBreak/>
        <w:t>References</w:t>
      </w:r>
    </w:p>
    <w:p w:rsidR="00F9487B" w:rsidRDefault="00F9487B" w:rsidP="00876E1C">
      <w:pPr>
        <w:spacing w:after="0"/>
        <w:jc w:val="center"/>
        <w:rPr>
          <w:rFonts w:cs="Arial"/>
          <w:b/>
          <w:sz w:val="16"/>
          <w:szCs w:val="16"/>
          <w:u w:val="single"/>
        </w:rPr>
      </w:pPr>
    </w:p>
    <w:p w:rsidR="00F9487B" w:rsidRDefault="00F9487B" w:rsidP="00876E1C">
      <w:pPr>
        <w:pStyle w:val="ListParagraph"/>
        <w:numPr>
          <w:ilvl w:val="0"/>
          <w:numId w:val="42"/>
        </w:numPr>
        <w:tabs>
          <w:tab w:val="right" w:pos="360"/>
          <w:tab w:val="left" w:pos="540"/>
        </w:tabs>
        <w:spacing w:after="0"/>
        <w:rPr>
          <w:rFonts w:cs="Arial"/>
          <w:noProof/>
          <w:sz w:val="24"/>
          <w:szCs w:val="24"/>
        </w:rPr>
      </w:pPr>
      <w:r>
        <w:rPr>
          <w:rFonts w:cs="Arial"/>
          <w:noProof/>
          <w:sz w:val="24"/>
          <w:szCs w:val="20"/>
        </w:rPr>
        <w:t>Parkinson Study Group. Mixed lineage kinase inhibitor CEP-1347 fails to delay disability in early Parkinson disease. Neurology. 2007;69:1480-90.</w:t>
      </w:r>
    </w:p>
    <w:p w:rsidR="00F9487B" w:rsidRDefault="00F9487B" w:rsidP="00876E1C">
      <w:pPr>
        <w:pStyle w:val="ListParagraph"/>
        <w:numPr>
          <w:ilvl w:val="0"/>
          <w:numId w:val="42"/>
        </w:numPr>
        <w:tabs>
          <w:tab w:val="right" w:pos="360"/>
          <w:tab w:val="left" w:pos="540"/>
        </w:tabs>
        <w:spacing w:after="0"/>
        <w:rPr>
          <w:rFonts w:cs="Arial"/>
          <w:noProof/>
          <w:sz w:val="24"/>
          <w:szCs w:val="24"/>
        </w:rPr>
      </w:pPr>
      <w:r>
        <w:rPr>
          <w:rFonts w:cs="Arial"/>
          <w:noProof/>
          <w:sz w:val="24"/>
          <w:szCs w:val="20"/>
        </w:rPr>
        <w:t>Efficacy and safety of green tea polyphenol in de novo Parkinson's disease patients. ClinicalTrials.gov. 2011. http://www.clinicaltrials.gov/ct2/show/NCT00461942. Accessed 22 Sep 2015.</w:t>
      </w:r>
    </w:p>
    <w:p w:rsidR="00F9487B" w:rsidRDefault="00F9487B" w:rsidP="00876E1C">
      <w:pPr>
        <w:pStyle w:val="ListParagraph"/>
        <w:numPr>
          <w:ilvl w:val="0"/>
          <w:numId w:val="42"/>
        </w:numPr>
        <w:tabs>
          <w:tab w:val="right" w:pos="360"/>
          <w:tab w:val="left" w:pos="540"/>
        </w:tabs>
        <w:spacing w:after="0"/>
        <w:rPr>
          <w:rFonts w:cs="Arial"/>
          <w:noProof/>
          <w:sz w:val="24"/>
          <w:szCs w:val="24"/>
        </w:rPr>
      </w:pPr>
      <w:r>
        <w:rPr>
          <w:rFonts w:cs="Arial"/>
          <w:noProof/>
          <w:sz w:val="24"/>
          <w:szCs w:val="20"/>
        </w:rPr>
        <w:t>Ability to Slow Disease Progression and Safety and Tolerability of Green Tea Polyphenols in Early Parkinson's Disease. The Michael J.Fox Foundation for Parkinson's Research. 2013. https://www.michaeljfox.org/foundation/grant-detail.php?grant_id=187. Accessed 22 Sep 2015.</w:t>
      </w:r>
    </w:p>
    <w:p w:rsidR="00F9487B" w:rsidRDefault="00F9487B" w:rsidP="00876E1C">
      <w:pPr>
        <w:pStyle w:val="ListParagraph"/>
        <w:numPr>
          <w:ilvl w:val="0"/>
          <w:numId w:val="42"/>
        </w:numPr>
        <w:tabs>
          <w:tab w:val="right" w:pos="360"/>
          <w:tab w:val="left" w:pos="540"/>
        </w:tabs>
        <w:spacing w:after="0"/>
        <w:rPr>
          <w:rFonts w:cs="Arial"/>
          <w:noProof/>
          <w:sz w:val="24"/>
          <w:szCs w:val="24"/>
        </w:rPr>
      </w:pPr>
      <w:r>
        <w:rPr>
          <w:rFonts w:cs="Arial"/>
          <w:noProof/>
          <w:sz w:val="24"/>
          <w:szCs w:val="20"/>
        </w:rPr>
        <w:t>Olanow CW, Schapira AH, Lewitt PA, Kieburtz K, Sauer D, Olivieri G, et al. TCH346 as a neuroprotective drug in Parkinson's disease: a double-blind, randomised, controlled trial. Lancet Neurol. 2006;5:1013-20.</w:t>
      </w:r>
    </w:p>
    <w:p w:rsidR="00F9487B" w:rsidRDefault="00F9487B" w:rsidP="00876E1C">
      <w:pPr>
        <w:pStyle w:val="ListParagraph"/>
        <w:numPr>
          <w:ilvl w:val="0"/>
          <w:numId w:val="42"/>
        </w:numPr>
        <w:tabs>
          <w:tab w:val="right" w:pos="360"/>
          <w:tab w:val="left" w:pos="540"/>
        </w:tabs>
        <w:spacing w:after="0"/>
        <w:rPr>
          <w:rFonts w:cs="Arial"/>
          <w:noProof/>
          <w:sz w:val="24"/>
          <w:szCs w:val="24"/>
        </w:rPr>
      </w:pPr>
      <w:r>
        <w:rPr>
          <w:rFonts w:cs="Arial"/>
          <w:noProof/>
          <w:sz w:val="24"/>
          <w:szCs w:val="20"/>
        </w:rPr>
        <w:t>Aviles-Olmos I, Dickson J, Kefalopoulou Z, Djamshidian A, Ell P, Soderlund T, et al. Exenatide and the treatment of patients with Parkinson's disease. J Clin Invest. 2013;123:2730-6.</w:t>
      </w:r>
    </w:p>
    <w:p w:rsidR="00F9487B" w:rsidRDefault="00F9487B" w:rsidP="00876E1C">
      <w:pPr>
        <w:pStyle w:val="ListParagraph"/>
        <w:numPr>
          <w:ilvl w:val="0"/>
          <w:numId w:val="42"/>
        </w:numPr>
        <w:tabs>
          <w:tab w:val="right" w:pos="360"/>
          <w:tab w:val="left" w:pos="540"/>
        </w:tabs>
        <w:spacing w:after="0"/>
        <w:rPr>
          <w:rFonts w:cs="Arial"/>
          <w:noProof/>
          <w:sz w:val="24"/>
          <w:szCs w:val="24"/>
        </w:rPr>
      </w:pPr>
      <w:r>
        <w:rPr>
          <w:rFonts w:cs="Arial"/>
          <w:noProof/>
          <w:sz w:val="24"/>
          <w:szCs w:val="20"/>
        </w:rPr>
        <w:t>Yoritaka A, Takanashi M, Hirayama M, Nakahara T, Ohta S, Hattori N. Pilot study of H</w:t>
      </w:r>
      <w:r>
        <w:rPr>
          <w:rFonts w:cs="Arial"/>
          <w:noProof/>
          <w:sz w:val="24"/>
          <w:szCs w:val="20"/>
          <w:vertAlign w:val="subscript"/>
        </w:rPr>
        <w:t>2</w:t>
      </w:r>
      <w:r>
        <w:rPr>
          <w:rFonts w:cs="Arial"/>
          <w:noProof/>
          <w:sz w:val="24"/>
          <w:szCs w:val="20"/>
        </w:rPr>
        <w:t xml:space="preserve"> therapy in Parkinson's disease: A randomized double-blind placebo-controlled trial. Mov Disord. 2013;28:836-9.</w:t>
      </w:r>
    </w:p>
    <w:p w:rsidR="00F9487B" w:rsidRDefault="00F9487B" w:rsidP="00876E1C">
      <w:pPr>
        <w:pStyle w:val="ListParagraph"/>
        <w:numPr>
          <w:ilvl w:val="0"/>
          <w:numId w:val="42"/>
        </w:numPr>
        <w:tabs>
          <w:tab w:val="right" w:pos="360"/>
          <w:tab w:val="left" w:pos="540"/>
        </w:tabs>
        <w:spacing w:after="0"/>
        <w:rPr>
          <w:rFonts w:cs="Arial"/>
          <w:noProof/>
          <w:sz w:val="24"/>
          <w:szCs w:val="24"/>
        </w:rPr>
      </w:pPr>
      <w:r>
        <w:rPr>
          <w:rFonts w:cs="Arial"/>
          <w:noProof/>
          <w:sz w:val="24"/>
          <w:szCs w:val="20"/>
        </w:rPr>
        <w:t>The Parkinson Study Group. Effect of lazabemide on the progression of disability in early Parkinson's disease. Ann Neurol. 1996;40:99-107.</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Grosset K, Grosset D, Lees A, Parkinson's Disease Research Group of the United Kingdom. Trial of subtherapeutic pergolide in de novo Parkinson's disease. Mov Disord. 2005;20:363-6.</w:t>
      </w:r>
    </w:p>
    <w:p w:rsidR="00F9487B" w:rsidRDefault="00F9487B" w:rsidP="00876E1C">
      <w:pPr>
        <w:pStyle w:val="ListParagraph"/>
        <w:numPr>
          <w:ilvl w:val="0"/>
          <w:numId w:val="42"/>
        </w:numPr>
        <w:tabs>
          <w:tab w:val="right" w:pos="360"/>
          <w:tab w:val="left" w:pos="540"/>
        </w:tabs>
        <w:spacing w:after="0"/>
        <w:rPr>
          <w:rFonts w:cs="Arial"/>
          <w:noProof/>
          <w:sz w:val="24"/>
          <w:szCs w:val="24"/>
        </w:rPr>
      </w:pPr>
      <w:r>
        <w:rPr>
          <w:rFonts w:cs="Arial"/>
          <w:noProof/>
          <w:sz w:val="24"/>
          <w:szCs w:val="20"/>
        </w:rPr>
        <w:t>Parkinson Study Group. Dopamine transporter brain imaging to assess the effects of pramipexole vs levodopa on Parkinson disease progression. JAMA. 2002;287:1653-61.</w:t>
      </w:r>
    </w:p>
    <w:p w:rsidR="00F9487B" w:rsidRDefault="00F9487B" w:rsidP="00876E1C">
      <w:pPr>
        <w:pStyle w:val="ListParagraph"/>
        <w:numPr>
          <w:ilvl w:val="0"/>
          <w:numId w:val="42"/>
        </w:numPr>
        <w:tabs>
          <w:tab w:val="right" w:pos="360"/>
          <w:tab w:val="left" w:pos="540"/>
        </w:tabs>
        <w:spacing w:after="0"/>
        <w:rPr>
          <w:rFonts w:cs="Arial"/>
          <w:noProof/>
          <w:sz w:val="24"/>
          <w:szCs w:val="24"/>
        </w:rPr>
      </w:pPr>
      <w:r>
        <w:rPr>
          <w:rFonts w:cs="Arial"/>
          <w:noProof/>
          <w:sz w:val="24"/>
          <w:szCs w:val="20"/>
        </w:rPr>
        <w:t>The Effect of Rasagiline on Cognition in Parkinson's Disease. ClinicalTrials.gov. 2015. http://www.clinIcaltrials.gov/ct2/show/NCT01382342. Accessed 9 Oct 2015.</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Illarioshkin S, Karabanov A, Mirkasimov A, Verejutina I. Rasagiline in drug-nave Russian patients with early Parkinson's disease. Mov Disord. 2012;27:380.</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Olanow CW, Rascol O, Hauser R, Feigin PD, Jankovic J, Lang A, et al. A double-blind, delayed-start trial of rasagiline in Parkinson's disease. N Eng J Med. 2009;361:1268-78.</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lastRenderedPageBreak/>
        <w:t>Parkinson Study Group. A controlled, randomized, delayed-start study of rasagiline in early Parkinson disease. Arch Neurol. 2004;61:561-6.</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Whone AL, Watts RL, Stoessl AJ, Davis M, Reske S, Nahmias C, et al. Slower progression of Parkinson's disease with ropinirole versus levodopa: The REAL-PET study. Ann Neurol. 2003;54:93-101.</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Rakshi JS, Pavese N, Uema T, Ito K, Morrish PK, Bailey DL, et al. A comparison of the progression of early Parkinson's disease in patients started on ropinirole or L-dopa: an 18F-dopa PET study. J Neural Transm. 2002;109:1433-43.</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Larsen JP, Boas J, Erdal JE. Does selegiline modify the progression of early Parkinson's disease? Results from a five-year study. The Norwegian-Danish Study Group. Eur J Neurol. 1999;6:539-547.</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Przuntek H, Conrad B, Dichgans J, Kraus PH, Krauseneck P, Pergande G, et al. SELEDO: a 5-year long-term trial on the effect of selegiline in early Parkinsonian patients treated with levodopa. Eur J Neurol. 1999;6:141-150.</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Palhagen S, Heinonen EH, Hagglund J, Kaugesaar T, Kontants H, Maki-Ikola O, et al. Selegiline delays the onset of disability in de novo parkinsonian patients. Swedish Parkinson Study Group. Neurology 1998;51:520-5.</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Olanow CW, Hauser RA, Gauger L, Malapira T, Koller W, Hubble J, et al. The effect of deprenyl and levodopa on the progression of Parkinson's disease. Ann Neurol. 1995;38:771-7.</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Myllyla VV, Sotaniemi KA, Vuorinen JA, Heinonen EH. Selegiline as initial treatment in de novo parkinsonian patients. Neurology. 1992;42:339-43.</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Tetrud JW, Langston JW. The effect of deprenyl (selegiline) on the natural history of Parkinson's disease. Science. 1989;245:519-22.</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The Parkinson Study Group. Effects of tocopherol and deprenyl on the progression of disability in early Parkinson's disease. N Eng J Med. 1993;328:176-83.</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Beal MF, Oakes D, Shoulson I, Henchcliffe C, Galpern WR, Haas R, et al. A randomized clinical trial of high-dosage coenzyme Q10 in early Parkinson disease: no evidence of benefit. JAMA Neurol. 2014;71:543-52.</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Shults CW, Oakes D, Kieburtz K, Beal MF, Haas R, Plumb S, et al. Effects of coenzyme Q10 in early Parkinson disease: evidence of slowing of the functional decline. Arch Neurol. 2002;59:1541-50.</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Li Z, Wang P, Yu Z, Cong Y, Sun H, Zhang J, et al. The effect of creatine and coenzyme q10 combination therapy on mild cognitive impairment in Parkinson's disease. Eur Neurol. 2015;73:205-211.</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Kieburtz K, Tilley BC, Elm JJ, Babcock D, Hauser R, Ross GW, et al. Effect of creatine monohydrate on clinical progression in patients with Parkinson disease: a randomized clinical trial. JAMA. 2015;313:584-93.</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lastRenderedPageBreak/>
        <w:t>Bender A, Koch W, Elstner M, Schombacher Y, Bender J, Moeschl M, et al. Creatine supplementation in Parkinson disease: a placebo-controlled randomized pilot trial. Neurology. 2006;67:1262-4.</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Nathan J, Panjwani S, Mohan V, Joshi V, Thakurdesai PA. Efficacy and safety of standardized extract of Trigonella foenum-graecum L seeds as an adjuvant to L-Dopa in the management of patients with Parkinson's disease. Phytother Res. 2014;28:172-8.</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Yoritaka A, Kawajiri S, Yamamoto Y, Nakahara T, Ando M, Hashimoto K, et al. Randomized, double-blind, placebo-controlled pilot trial of reduced coenzyme Q10 for Parkinson's disease. Parkinsonism Relat Disord. 2015;21:911-6.</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Devos D, Moreau C, Devedjian JC, Kluza J, Petrault M, Laloux C, et al. Targeting chelatable iron as a therapeutic modality in Parkinson's disease. Antioxid Redox Signal. 2014;21:195-210.</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Fahn S, Oakes D, Shoulson I, Kieburtz K, Rudolph A, Lang A, et al. Levodopa and the progression of Parkinson's disease. N Eng J Med. 2004;351:2498-508.</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Schapira AH, McDermott MP, Barone P, Comella CL, Albrecht S, Hsu HH, et al. Pramipexole in patients with early Parkinson's disease (PROUD): a randomised delayed-start trial. Lancet Neurol. 2013;12:747-55.</w:t>
      </w:r>
    </w:p>
    <w:p w:rsidR="00F9487B" w:rsidRPr="00876E1C"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Schneider JS, Gollomp SM, Sendek S, Colcher A, Cambi F, Du W. A randomized, controlled, delayed start trial of GM1 ganglioside in treated Parkinson's disease patients. J Neurol Sci. 2013;324:140-8.</w:t>
      </w:r>
    </w:p>
    <w:p w:rsidR="00A5100C" w:rsidRPr="00A5100C" w:rsidRDefault="00A5100C" w:rsidP="00A5100C">
      <w:pPr>
        <w:pStyle w:val="ListParagraph"/>
        <w:numPr>
          <w:ilvl w:val="0"/>
          <w:numId w:val="42"/>
        </w:numPr>
        <w:tabs>
          <w:tab w:val="right" w:pos="360"/>
          <w:tab w:val="left" w:pos="540"/>
        </w:tabs>
        <w:spacing w:after="0"/>
        <w:rPr>
          <w:rFonts w:cs="Arial"/>
          <w:noProof/>
          <w:sz w:val="24"/>
          <w:szCs w:val="24"/>
        </w:rPr>
      </w:pPr>
      <w:r w:rsidRPr="00A5100C">
        <w:rPr>
          <w:rFonts w:cs="Arial"/>
          <w:noProof/>
          <w:sz w:val="24"/>
        </w:rPr>
        <w:t xml:space="preserve">Schneider JS, Cambi F, Gollomp SM, Kuwabara H, Brasic JR, Leiby B, </w:t>
      </w:r>
      <w:r>
        <w:rPr>
          <w:rFonts w:cs="Arial"/>
          <w:noProof/>
          <w:sz w:val="24"/>
        </w:rPr>
        <w:t>et al.</w:t>
      </w:r>
      <w:r w:rsidRPr="00A5100C">
        <w:rPr>
          <w:rFonts w:cs="Arial"/>
          <w:noProof/>
          <w:sz w:val="24"/>
        </w:rPr>
        <w:t xml:space="preserve"> GM1 ganglioside in Parkinson's disease: Pilot study of effects on dopamine transporter binding. J Neurol Sci</w:t>
      </w:r>
      <w:r>
        <w:rPr>
          <w:rFonts w:cs="Arial"/>
          <w:noProof/>
          <w:sz w:val="24"/>
        </w:rPr>
        <w:t>. 2015;</w:t>
      </w:r>
      <w:r w:rsidRPr="00A5100C">
        <w:rPr>
          <w:rFonts w:cs="Arial"/>
          <w:noProof/>
          <w:sz w:val="24"/>
        </w:rPr>
        <w:t>356:118-23.</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Snow BJ, Rolfe FL, Lockhart MM, Frampton CM, O'Sullivan JD, Fung V, et al. A double-blind, placebo-controlled study to assess the mitochondria-targeted antioxidant MitoQ as a disease-modifying therapy in Parkinson's disease. Mov Disord. 2010;25:1670-4.</w:t>
      </w:r>
    </w:p>
    <w:p w:rsidR="00F9487B" w:rsidRDefault="00F9487B" w:rsidP="00876E1C">
      <w:pPr>
        <w:pStyle w:val="ListParagraph"/>
        <w:numPr>
          <w:ilvl w:val="0"/>
          <w:numId w:val="42"/>
        </w:numPr>
        <w:tabs>
          <w:tab w:val="right" w:pos="360"/>
          <w:tab w:val="left" w:pos="540"/>
        </w:tabs>
        <w:spacing w:after="0"/>
        <w:rPr>
          <w:rFonts w:cs="Arial"/>
          <w:noProof/>
          <w:color w:val="FF0000"/>
          <w:sz w:val="24"/>
          <w:szCs w:val="24"/>
        </w:rPr>
      </w:pPr>
      <w:r>
        <w:rPr>
          <w:rFonts w:cs="Arial"/>
          <w:noProof/>
          <w:sz w:val="24"/>
          <w:szCs w:val="20"/>
        </w:rPr>
        <w:t>Rascol O, Olanow W, Brooks D, Koch P, Truffinet R, Bejuit R. A 2-year, multicenter, placebo-controlled, double-blind, parallel-group study of the effect of riluzole on Parkinson's disease progression. Mov Disord. 2002;17:S39.</w:t>
      </w:r>
    </w:p>
    <w:p w:rsidR="00F9487B" w:rsidRDefault="00F9487B" w:rsidP="00876E1C">
      <w:pPr>
        <w:pStyle w:val="ListParagraph"/>
        <w:numPr>
          <w:ilvl w:val="0"/>
          <w:numId w:val="42"/>
        </w:numPr>
        <w:tabs>
          <w:tab w:val="right" w:pos="360"/>
          <w:tab w:val="left" w:pos="540"/>
        </w:tabs>
        <w:spacing w:after="0"/>
        <w:rPr>
          <w:rFonts w:cs="Arial"/>
          <w:noProof/>
          <w:sz w:val="24"/>
          <w:szCs w:val="24"/>
        </w:rPr>
      </w:pPr>
      <w:r>
        <w:rPr>
          <w:rFonts w:cs="Arial"/>
          <w:noProof/>
          <w:sz w:val="24"/>
          <w:szCs w:val="20"/>
        </w:rPr>
        <w:t>Jankovic J, Hunter C. A double-blind, placebo-controlled and longitudinal study of riluzole in early Parkinson's disease. Parkinsonism Relat Disord. 2002;8:271-6.</w:t>
      </w:r>
    </w:p>
    <w:p w:rsidR="00F9487B" w:rsidRPr="0081106F" w:rsidRDefault="00F9487B" w:rsidP="00876E1C">
      <w:pPr>
        <w:pStyle w:val="ListParagraph"/>
        <w:numPr>
          <w:ilvl w:val="0"/>
          <w:numId w:val="42"/>
        </w:numPr>
        <w:tabs>
          <w:tab w:val="right" w:pos="360"/>
          <w:tab w:val="left" w:pos="540"/>
        </w:tabs>
        <w:spacing w:after="0"/>
        <w:rPr>
          <w:rFonts w:cs="Arial"/>
          <w:noProof/>
          <w:sz w:val="24"/>
          <w:szCs w:val="24"/>
        </w:rPr>
      </w:pPr>
      <w:r>
        <w:rPr>
          <w:rFonts w:cs="Arial"/>
          <w:noProof/>
          <w:sz w:val="24"/>
          <w:szCs w:val="20"/>
        </w:rPr>
        <w:t>Guilford Pharmaceuticals Inc: Final phase II GPI 1485 (NIL-A) imaging data presented at the annual meeting of the American Academy of Neurology. PR Newswire. 2002. http://www.prnewswire.co.uk/news-releases/final-phase-ii-gpi-1485-nil-a-imaging-data-presented-at-the-annual-meeting-of-the-american-academy-of-neurology-155593265.html. Accessed 22 Sep 2015.</w:t>
      </w:r>
    </w:p>
    <w:p w:rsidR="00F9487B" w:rsidRDefault="00F9487B" w:rsidP="0081106F">
      <w:pPr>
        <w:pStyle w:val="ListParagraph"/>
        <w:numPr>
          <w:ilvl w:val="0"/>
          <w:numId w:val="42"/>
        </w:numPr>
        <w:tabs>
          <w:tab w:val="right" w:pos="360"/>
          <w:tab w:val="left" w:pos="540"/>
        </w:tabs>
        <w:spacing w:after="0"/>
        <w:rPr>
          <w:rFonts w:cs="Arial"/>
          <w:noProof/>
          <w:sz w:val="24"/>
          <w:szCs w:val="24"/>
        </w:rPr>
      </w:pPr>
      <w:r>
        <w:rPr>
          <w:rFonts w:cs="Arial"/>
          <w:noProof/>
          <w:sz w:val="24"/>
          <w:szCs w:val="24"/>
        </w:rPr>
        <w:lastRenderedPageBreak/>
        <w:t>Bee venom for the treatment of Parkinson disease (MIREILLE). ClinicalTrials.gov. 2014. http://www.clinicaltrials.gov/ct2/show/NCT01341431. Accessed 22 Sep 2015.</w:t>
      </w:r>
    </w:p>
    <w:p w:rsidR="00F9487B" w:rsidRDefault="00F9487B" w:rsidP="0081106F">
      <w:pPr>
        <w:pStyle w:val="ListParagraph"/>
        <w:numPr>
          <w:ilvl w:val="0"/>
          <w:numId w:val="42"/>
        </w:numPr>
        <w:tabs>
          <w:tab w:val="right" w:pos="360"/>
          <w:tab w:val="left" w:pos="540"/>
        </w:tabs>
        <w:spacing w:after="0"/>
        <w:rPr>
          <w:rFonts w:cs="Arial"/>
          <w:noProof/>
          <w:sz w:val="24"/>
          <w:szCs w:val="24"/>
        </w:rPr>
      </w:pPr>
      <w:r>
        <w:rPr>
          <w:rFonts w:cs="Arial"/>
          <w:noProof/>
          <w:sz w:val="24"/>
          <w:szCs w:val="24"/>
        </w:rPr>
        <w:t>Trial of Exenatide for Parkinson's Disease (EXENATIDE-PD). ClinicalTrials.gov. 2015. http://www.clinicaltrials.gov/ct2/show/NCT01971242. Accessed 22 Sep 2015.</w:t>
      </w:r>
    </w:p>
    <w:p w:rsidR="00F9487B" w:rsidRDefault="00F9487B" w:rsidP="0081106F">
      <w:pPr>
        <w:pStyle w:val="ListParagraph"/>
        <w:numPr>
          <w:ilvl w:val="0"/>
          <w:numId w:val="42"/>
        </w:numPr>
        <w:tabs>
          <w:tab w:val="right" w:pos="360"/>
          <w:tab w:val="left" w:pos="540"/>
        </w:tabs>
        <w:spacing w:after="0"/>
        <w:rPr>
          <w:rFonts w:cs="Arial"/>
          <w:noProof/>
          <w:sz w:val="24"/>
          <w:szCs w:val="24"/>
        </w:rPr>
      </w:pPr>
      <w:r>
        <w:rPr>
          <w:rFonts w:cs="Arial"/>
          <w:noProof/>
          <w:sz w:val="24"/>
          <w:szCs w:val="24"/>
        </w:rPr>
        <w:t>Efficacy of Isradipine in Early Parkinson's Disease ClinicalTrials.gov. 2015. http://www.clinicaltrials.gov/ct2/show/NCT02168842. Accessed 22 Sep 2015.</w:t>
      </w:r>
    </w:p>
    <w:p w:rsidR="00F9487B" w:rsidRDefault="00F9487B" w:rsidP="0081106F">
      <w:pPr>
        <w:pStyle w:val="ListParagraph"/>
        <w:numPr>
          <w:ilvl w:val="0"/>
          <w:numId w:val="42"/>
        </w:numPr>
        <w:tabs>
          <w:tab w:val="right" w:pos="360"/>
          <w:tab w:val="left" w:pos="540"/>
        </w:tabs>
        <w:spacing w:after="0"/>
        <w:rPr>
          <w:rFonts w:cs="Arial"/>
          <w:noProof/>
          <w:sz w:val="24"/>
          <w:szCs w:val="24"/>
        </w:rPr>
      </w:pPr>
      <w:r>
        <w:rPr>
          <w:rFonts w:cs="Arial"/>
          <w:noProof/>
          <w:sz w:val="24"/>
          <w:szCs w:val="24"/>
        </w:rPr>
        <w:t>Study of the neuro-protective effect of Granulocyte-colony Stimulating Factor on early stage Parkinson's disease. ClinicalTrials.gov. 2013. http://www.clinicaltrials.gov/ct2/show/NCT01227681. Accessed 22 Sep 2015.</w:t>
      </w:r>
    </w:p>
    <w:p w:rsidR="00F9487B" w:rsidRDefault="00F9487B" w:rsidP="0081106F">
      <w:pPr>
        <w:pStyle w:val="ListParagraph"/>
        <w:numPr>
          <w:ilvl w:val="0"/>
          <w:numId w:val="42"/>
        </w:numPr>
        <w:tabs>
          <w:tab w:val="right" w:pos="360"/>
          <w:tab w:val="left" w:pos="540"/>
        </w:tabs>
        <w:spacing w:after="0"/>
        <w:rPr>
          <w:rFonts w:cs="Arial"/>
          <w:noProof/>
          <w:sz w:val="24"/>
          <w:szCs w:val="24"/>
        </w:rPr>
      </w:pPr>
      <w:r>
        <w:rPr>
          <w:rFonts w:cs="Arial"/>
          <w:noProof/>
          <w:sz w:val="24"/>
          <w:szCs w:val="24"/>
        </w:rPr>
        <w:t>Study of zonisamide in early Parkinson disease (ZONIST). ClinicalTrials.gov. 2013. http://www.clinicaltrials.gov/ct2/show/NCT01766128. Accessed 22 Sep 2015.</w:t>
      </w:r>
    </w:p>
    <w:p w:rsidR="00F9487B" w:rsidRDefault="00F9487B" w:rsidP="0081106F">
      <w:pPr>
        <w:pStyle w:val="ListParagraph"/>
        <w:numPr>
          <w:ilvl w:val="0"/>
          <w:numId w:val="42"/>
        </w:numPr>
        <w:tabs>
          <w:tab w:val="right" w:pos="360"/>
          <w:tab w:val="left" w:pos="540"/>
        </w:tabs>
        <w:spacing w:after="0"/>
        <w:rPr>
          <w:rFonts w:cs="Arial"/>
          <w:noProof/>
          <w:sz w:val="24"/>
          <w:szCs w:val="24"/>
        </w:rPr>
      </w:pPr>
      <w:r>
        <w:rPr>
          <w:rFonts w:cs="Arial"/>
          <w:noProof/>
          <w:sz w:val="24"/>
          <w:szCs w:val="24"/>
        </w:rPr>
        <w:t>Efficacy of transdermal nicotine, on motor symptoms in advanced Parkinson's disease (NICOPARK2). ClinicalTrials.gov. 2013. http://www.clinicaltrials.gov/ct2/show/NCT00873392. Accessed 22 Sep 2015.</w:t>
      </w:r>
    </w:p>
    <w:p w:rsidR="00F9487B" w:rsidRDefault="00F9487B" w:rsidP="0081106F">
      <w:pPr>
        <w:pStyle w:val="ListParagraph"/>
        <w:numPr>
          <w:ilvl w:val="0"/>
          <w:numId w:val="42"/>
        </w:numPr>
        <w:tabs>
          <w:tab w:val="right" w:pos="360"/>
          <w:tab w:val="left" w:pos="540"/>
        </w:tabs>
        <w:spacing w:after="0"/>
        <w:rPr>
          <w:rFonts w:cs="Arial"/>
          <w:noProof/>
          <w:sz w:val="24"/>
          <w:szCs w:val="24"/>
        </w:rPr>
      </w:pPr>
      <w:r>
        <w:rPr>
          <w:rFonts w:cs="Arial"/>
          <w:noProof/>
          <w:sz w:val="24"/>
          <w:szCs w:val="24"/>
        </w:rPr>
        <w:t>Disease-modifying Potential of Transdermal NICotine in Early Parkinson's Disease (NIC-PD). ClinicalTrials.gov. 2014. http://www.clinicaltrials.gov/ct2/show/NCT01560754. Accessed 22 Sep 2015.</w:t>
      </w:r>
    </w:p>
    <w:p w:rsidR="001B4611" w:rsidRDefault="00F9487B" w:rsidP="00A5100C">
      <w:pPr>
        <w:pStyle w:val="ListParagraph"/>
        <w:numPr>
          <w:ilvl w:val="0"/>
          <w:numId w:val="42"/>
        </w:numPr>
        <w:tabs>
          <w:tab w:val="right" w:pos="360"/>
          <w:tab w:val="left" w:pos="540"/>
        </w:tabs>
        <w:spacing w:after="0"/>
        <w:rPr>
          <w:rFonts w:cs="Arial"/>
          <w:noProof/>
          <w:sz w:val="24"/>
          <w:szCs w:val="24"/>
        </w:rPr>
      </w:pPr>
      <w:r>
        <w:rPr>
          <w:rFonts w:cs="Arial"/>
          <w:noProof/>
          <w:sz w:val="24"/>
          <w:szCs w:val="24"/>
        </w:rPr>
        <w:t xml:space="preserve">2 year study to evaluate the effects of GPI 1485 on [123I]b-CIT/SPECT scanning and clinical efficacy in patients with PD. ClinicalTrials.gov. 2008. </w:t>
      </w:r>
      <w:r w:rsidR="00A5100C" w:rsidRPr="00C42DEC">
        <w:rPr>
          <w:rFonts w:cs="Arial"/>
          <w:noProof/>
          <w:sz w:val="24"/>
          <w:szCs w:val="24"/>
        </w:rPr>
        <w:t>http://www.clinicaltrials.gov/ct2/show/NCT00209508. Accessed 22 Sep 2015</w:t>
      </w:r>
      <w:r>
        <w:rPr>
          <w:rFonts w:cs="Arial"/>
          <w:noProof/>
          <w:sz w:val="24"/>
          <w:szCs w:val="24"/>
        </w:rPr>
        <w:t>.</w:t>
      </w:r>
    </w:p>
    <w:p w:rsidR="00A5100C" w:rsidRPr="00A5100C" w:rsidRDefault="00A5100C">
      <w:pPr>
        <w:tabs>
          <w:tab w:val="right" w:pos="360"/>
          <w:tab w:val="left" w:pos="540"/>
        </w:tabs>
        <w:spacing w:after="0"/>
        <w:rPr>
          <w:rFonts w:cs="Arial"/>
          <w:noProof/>
          <w:sz w:val="24"/>
          <w:szCs w:val="24"/>
        </w:rPr>
      </w:pPr>
    </w:p>
    <w:sectPr w:rsidR="00A5100C" w:rsidRPr="00A5100C" w:rsidSect="00F9487B">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95C" w:rsidRDefault="00FF395C">
      <w:pPr>
        <w:spacing w:after="0" w:line="240" w:lineRule="auto"/>
      </w:pPr>
      <w:r>
        <w:separator/>
      </w:r>
    </w:p>
  </w:endnote>
  <w:endnote w:type="continuationSeparator" w:id="0">
    <w:p w:rsidR="00FF395C" w:rsidRDefault="00FF3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434329"/>
      <w:docPartObj>
        <w:docPartGallery w:val="Page Numbers (Bottom of Page)"/>
        <w:docPartUnique/>
      </w:docPartObj>
    </w:sdtPr>
    <w:sdtEndPr>
      <w:rPr>
        <w:noProof/>
      </w:rPr>
    </w:sdtEndPr>
    <w:sdtContent>
      <w:p w:rsidR="00254410" w:rsidRDefault="00F9487B">
        <w:pPr>
          <w:pStyle w:val="Footer"/>
          <w:jc w:val="right"/>
        </w:pPr>
        <w:r>
          <w:fldChar w:fldCharType="begin"/>
        </w:r>
        <w:r>
          <w:instrText xml:space="preserve"> PAGE   \* MERGEFORMAT </w:instrText>
        </w:r>
        <w:r>
          <w:fldChar w:fldCharType="separate"/>
        </w:r>
        <w:r w:rsidR="00931BC5">
          <w:rPr>
            <w:noProof/>
          </w:rPr>
          <w:t>2</w:t>
        </w:r>
        <w:r>
          <w:rPr>
            <w:noProof/>
          </w:rPr>
          <w:fldChar w:fldCharType="end"/>
        </w:r>
      </w:p>
    </w:sdtContent>
  </w:sdt>
  <w:p w:rsidR="00254410" w:rsidRDefault="00FF39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95C" w:rsidRDefault="00FF395C">
      <w:pPr>
        <w:spacing w:after="0" w:line="240" w:lineRule="auto"/>
      </w:pPr>
      <w:r>
        <w:separator/>
      </w:r>
    </w:p>
  </w:footnote>
  <w:footnote w:type="continuationSeparator" w:id="0">
    <w:p w:rsidR="00FF395C" w:rsidRDefault="00FF39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410" w:rsidRDefault="00FF39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002239DC"/>
    <w:multiLevelType w:val="hybridMultilevel"/>
    <w:tmpl w:val="3F12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6042B0"/>
    <w:multiLevelType w:val="hybridMultilevel"/>
    <w:tmpl w:val="1B76E6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A65798C"/>
    <w:multiLevelType w:val="multilevel"/>
    <w:tmpl w:val="9E2A4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C116E3"/>
    <w:multiLevelType w:val="hybridMultilevel"/>
    <w:tmpl w:val="1040DB44"/>
    <w:lvl w:ilvl="0" w:tplc="1BA85CD8">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18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AD294E"/>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6B4FDD"/>
    <w:multiLevelType w:val="hybridMultilevel"/>
    <w:tmpl w:val="8EC823C2"/>
    <w:lvl w:ilvl="0" w:tplc="5216A49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1BC51C17"/>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224C93"/>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3094E2F"/>
    <w:multiLevelType w:val="hybridMultilevel"/>
    <w:tmpl w:val="FF3AE14A"/>
    <w:lvl w:ilvl="0" w:tplc="FF9EDACA">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11559C"/>
    <w:multiLevelType w:val="hybridMultilevel"/>
    <w:tmpl w:val="0542ED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4190A3B"/>
    <w:multiLevelType w:val="multilevel"/>
    <w:tmpl w:val="3946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CB4096"/>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3CE2731"/>
    <w:multiLevelType w:val="hybridMultilevel"/>
    <w:tmpl w:val="66B8F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393EF9"/>
    <w:multiLevelType w:val="hybridMultilevel"/>
    <w:tmpl w:val="D1E603EC"/>
    <w:lvl w:ilvl="0" w:tplc="93B404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89147BD"/>
    <w:multiLevelType w:val="hybridMultilevel"/>
    <w:tmpl w:val="2B8AA3E4"/>
    <w:lvl w:ilvl="0" w:tplc="08090011">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8AB2533"/>
    <w:multiLevelType w:val="hybridMultilevel"/>
    <w:tmpl w:val="432693FA"/>
    <w:lvl w:ilvl="0" w:tplc="CE144E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9FB0187"/>
    <w:multiLevelType w:val="hybridMultilevel"/>
    <w:tmpl w:val="84507E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E934E1E"/>
    <w:multiLevelType w:val="hybridMultilevel"/>
    <w:tmpl w:val="1B76E6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4610B7B"/>
    <w:multiLevelType w:val="hybridMultilevel"/>
    <w:tmpl w:val="7554AEE6"/>
    <w:lvl w:ilvl="0" w:tplc="9F228C7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46172D27"/>
    <w:multiLevelType w:val="multilevel"/>
    <w:tmpl w:val="CEE49D8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1103D0"/>
    <w:multiLevelType w:val="hybridMultilevel"/>
    <w:tmpl w:val="2B8AA3E4"/>
    <w:lvl w:ilvl="0" w:tplc="08090011">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B124323"/>
    <w:multiLevelType w:val="hybridMultilevel"/>
    <w:tmpl w:val="7554AEE6"/>
    <w:lvl w:ilvl="0" w:tplc="9F228C7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0050F8F"/>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0A647A4"/>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2804B1E"/>
    <w:multiLevelType w:val="hybridMultilevel"/>
    <w:tmpl w:val="ECFC45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52833A41"/>
    <w:multiLevelType w:val="hybridMultilevel"/>
    <w:tmpl w:val="E0EC570A"/>
    <w:lvl w:ilvl="0" w:tplc="90D4A01E">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544C38FE"/>
    <w:multiLevelType w:val="hybridMultilevel"/>
    <w:tmpl w:val="C73A88F2"/>
    <w:lvl w:ilvl="0" w:tplc="4B22D764">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59040C2"/>
    <w:multiLevelType w:val="hybridMultilevel"/>
    <w:tmpl w:val="694E6D12"/>
    <w:lvl w:ilvl="0" w:tplc="89D8CD38">
      <w:start w:val="2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6537608"/>
    <w:multiLevelType w:val="hybridMultilevel"/>
    <w:tmpl w:val="28BE4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69D166A"/>
    <w:multiLevelType w:val="hybridMultilevel"/>
    <w:tmpl w:val="049ACF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57A81CAF"/>
    <w:multiLevelType w:val="hybridMultilevel"/>
    <w:tmpl w:val="3C8E66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BDB2529"/>
    <w:multiLevelType w:val="hybridMultilevel"/>
    <w:tmpl w:val="5B4031DA"/>
    <w:lvl w:ilvl="0" w:tplc="50E601E0">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D8464E8"/>
    <w:multiLevelType w:val="hybridMultilevel"/>
    <w:tmpl w:val="AA4246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5D8915D6"/>
    <w:multiLevelType w:val="hybridMultilevel"/>
    <w:tmpl w:val="6128CA90"/>
    <w:lvl w:ilvl="0" w:tplc="AAFE6916">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65E301BA"/>
    <w:multiLevelType w:val="multilevel"/>
    <w:tmpl w:val="BAB076A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5EB2C50"/>
    <w:multiLevelType w:val="hybridMultilevel"/>
    <w:tmpl w:val="8F54206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91E76D8"/>
    <w:multiLevelType w:val="hybridMultilevel"/>
    <w:tmpl w:val="03A07B90"/>
    <w:lvl w:ilvl="0" w:tplc="3B5801E2">
      <w:start w:val="1"/>
      <w:numFmt w:val="decimal"/>
      <w:lvlText w:val="(%1)"/>
      <w:lvlJc w:val="left"/>
      <w:pPr>
        <w:ind w:left="720" w:hanging="360"/>
      </w:pPr>
      <w:rPr>
        <w:rFonts w:ascii="Arial" w:eastAsiaTheme="minorHAnsi" w:hAnsi="Arial" w:cstheme="minorBidi"/>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01">
      <w:start w:val="1"/>
      <w:numFmt w:val="bullet"/>
      <w:lvlText w:val=""/>
      <w:lvlJc w:val="left"/>
      <w:pPr>
        <w:ind w:left="3600" w:hanging="360"/>
      </w:pPr>
      <w:rPr>
        <w:rFonts w:ascii="Symbol" w:hAnsi="Symbol" w:hint="default"/>
      </w:r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46B081C"/>
    <w:multiLevelType w:val="hybridMultilevel"/>
    <w:tmpl w:val="03A07B90"/>
    <w:lvl w:ilvl="0" w:tplc="3B5801E2">
      <w:start w:val="1"/>
      <w:numFmt w:val="decimal"/>
      <w:lvlText w:val="(%1)"/>
      <w:lvlJc w:val="left"/>
      <w:pPr>
        <w:ind w:left="720" w:hanging="360"/>
      </w:pPr>
      <w:rPr>
        <w:rFonts w:ascii="Arial" w:eastAsiaTheme="minorHAnsi" w:hAnsi="Arial" w:cstheme="minorBidi"/>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01">
      <w:start w:val="1"/>
      <w:numFmt w:val="bullet"/>
      <w:lvlText w:val=""/>
      <w:lvlJc w:val="left"/>
      <w:pPr>
        <w:ind w:left="3600" w:hanging="360"/>
      </w:pPr>
      <w:rPr>
        <w:rFonts w:ascii="Symbol" w:hAnsi="Symbol" w:hint="default"/>
      </w:r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9297336"/>
    <w:multiLevelType w:val="hybridMultilevel"/>
    <w:tmpl w:val="64F2EF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7BEB4C72"/>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E2C3C28"/>
    <w:multiLevelType w:val="hybridMultilevel"/>
    <w:tmpl w:val="DF705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7FE83138"/>
    <w:multiLevelType w:val="multilevel"/>
    <w:tmpl w:val="E28A8AC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30"/>
  </w:num>
  <w:num w:numId="4">
    <w:abstractNumId w:val="24"/>
  </w:num>
  <w:num w:numId="5">
    <w:abstractNumId w:val="32"/>
  </w:num>
  <w:num w:numId="6">
    <w:abstractNumId w:val="38"/>
  </w:num>
  <w:num w:numId="7">
    <w:abstractNumId w:val="4"/>
  </w:num>
  <w:num w:numId="8">
    <w:abstractNumId w:val="18"/>
  </w:num>
  <w:num w:numId="9">
    <w:abstractNumId w:val="21"/>
  </w:num>
  <w:num w:numId="10">
    <w:abstractNumId w:val="35"/>
  </w:num>
  <w:num w:numId="11">
    <w:abstractNumId w:val="15"/>
  </w:num>
  <w:num w:numId="12">
    <w:abstractNumId w:val="7"/>
  </w:num>
  <w:num w:numId="13">
    <w:abstractNumId w:val="1"/>
  </w:num>
  <w:num w:numId="14">
    <w:abstractNumId w:val="25"/>
  </w:num>
  <w:num w:numId="15">
    <w:abstractNumId w:val="9"/>
  </w:num>
  <w:num w:numId="16">
    <w:abstractNumId w:val="29"/>
  </w:num>
  <w:num w:numId="17">
    <w:abstractNumId w:val="33"/>
  </w:num>
  <w:num w:numId="18">
    <w:abstractNumId w:val="20"/>
  </w:num>
  <w:num w:numId="19">
    <w:abstractNumId w:val="12"/>
  </w:num>
  <w:num w:numId="20">
    <w:abstractNumId w:val="0"/>
  </w:num>
  <w:num w:numId="21">
    <w:abstractNumId w:val="19"/>
  </w:num>
  <w:num w:numId="22">
    <w:abstractNumId w:val="41"/>
  </w:num>
  <w:num w:numId="23">
    <w:abstractNumId w:val="2"/>
  </w:num>
  <w:num w:numId="24">
    <w:abstractNumId w:val="34"/>
  </w:num>
  <w:num w:numId="25">
    <w:abstractNumId w:val="31"/>
  </w:num>
  <w:num w:numId="26">
    <w:abstractNumId w:val="14"/>
  </w:num>
  <w:num w:numId="27">
    <w:abstractNumId w:val="27"/>
  </w:num>
  <w:num w:numId="28">
    <w:abstractNumId w:val="23"/>
  </w:num>
  <w:num w:numId="29">
    <w:abstractNumId w:val="8"/>
  </w:num>
  <w:num w:numId="30">
    <w:abstractNumId w:val="26"/>
  </w:num>
  <w:num w:numId="31">
    <w:abstractNumId w:val="40"/>
  </w:num>
  <w:num w:numId="32">
    <w:abstractNumId w:val="39"/>
  </w:num>
  <w:num w:numId="33">
    <w:abstractNumId w:val="11"/>
  </w:num>
  <w:num w:numId="34">
    <w:abstractNumId w:val="22"/>
  </w:num>
  <w:num w:numId="35">
    <w:abstractNumId w:val="6"/>
  </w:num>
  <w:num w:numId="36">
    <w:abstractNumId w:val="13"/>
  </w:num>
  <w:num w:numId="37">
    <w:abstractNumId w:val="37"/>
  </w:num>
  <w:num w:numId="38">
    <w:abstractNumId w:val="3"/>
  </w:num>
  <w:num w:numId="39">
    <w:abstractNumId w:val="36"/>
  </w:num>
  <w:num w:numId="40">
    <w:abstractNumId w:val="28"/>
  </w:num>
  <w:num w:numId="41">
    <w:abstractNumId w:val="10"/>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0&lt;/Enabled&gt;&lt;ScanUnformatted&gt;1&lt;/ScanUnformatted&gt;&lt;ScanChanges&gt;1&lt;/ScanChanges&gt;&lt;/ENInstantFormat&gt;"/>
  </w:docVars>
  <w:rsids>
    <w:rsidRoot w:val="00F9487B"/>
    <w:rsid w:val="001B4611"/>
    <w:rsid w:val="006C4B55"/>
    <w:rsid w:val="00931BC5"/>
    <w:rsid w:val="00A5100C"/>
    <w:rsid w:val="00C42DEC"/>
    <w:rsid w:val="00F9487B"/>
    <w:rsid w:val="00FF39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87B"/>
    <w:rPr>
      <w:rFonts w:ascii="Arial" w:hAnsi="Arial"/>
    </w:rPr>
  </w:style>
  <w:style w:type="paragraph" w:styleId="Heading1">
    <w:name w:val="heading 1"/>
    <w:basedOn w:val="Normal"/>
    <w:next w:val="Normal"/>
    <w:link w:val="Heading1Char"/>
    <w:uiPriority w:val="9"/>
    <w:qFormat/>
    <w:rsid w:val="00F9487B"/>
    <w:pPr>
      <w:pBdr>
        <w:bottom w:val="single" w:sz="4" w:space="1" w:color="auto"/>
      </w:pBdr>
      <w:spacing w:after="0" w:line="240" w:lineRule="auto"/>
      <w:jc w:val="both"/>
      <w:outlineLvl w:val="0"/>
    </w:pPr>
    <w:rPr>
      <w:rFonts w:cs="Arial"/>
      <w:b/>
      <w:sz w:val="32"/>
      <w:szCs w:val="32"/>
    </w:rPr>
  </w:style>
  <w:style w:type="paragraph" w:styleId="Heading2">
    <w:name w:val="heading 2"/>
    <w:basedOn w:val="Normal"/>
    <w:next w:val="Normal"/>
    <w:link w:val="Heading2Char"/>
    <w:qFormat/>
    <w:rsid w:val="00F9487B"/>
    <w:pPr>
      <w:spacing w:after="0" w:line="360" w:lineRule="auto"/>
      <w:jc w:val="both"/>
      <w:outlineLvl w:val="1"/>
    </w:pPr>
    <w:rPr>
      <w:rFonts w:cs="Arial"/>
      <w:b/>
      <w:sz w:val="28"/>
      <w:szCs w:val="28"/>
    </w:rPr>
  </w:style>
  <w:style w:type="paragraph" w:styleId="Heading3">
    <w:name w:val="heading 3"/>
    <w:basedOn w:val="Normal"/>
    <w:next w:val="Normal"/>
    <w:link w:val="Heading3Char"/>
    <w:uiPriority w:val="9"/>
    <w:unhideWhenUsed/>
    <w:qFormat/>
    <w:rsid w:val="00F9487B"/>
    <w:pPr>
      <w:spacing w:after="0" w:line="360" w:lineRule="auto"/>
      <w:jc w:val="both"/>
      <w:outlineLvl w:val="2"/>
    </w:pPr>
    <w:rPr>
      <w:rFonts w:cs="Arial"/>
      <w:b/>
      <w:sz w:val="24"/>
      <w:szCs w:val="24"/>
    </w:rPr>
  </w:style>
  <w:style w:type="paragraph" w:styleId="Heading4">
    <w:name w:val="heading 4"/>
    <w:basedOn w:val="PlainText"/>
    <w:next w:val="Normal"/>
    <w:link w:val="Heading4Char"/>
    <w:uiPriority w:val="9"/>
    <w:unhideWhenUsed/>
    <w:qFormat/>
    <w:rsid w:val="00F9487B"/>
    <w:pPr>
      <w:jc w:val="both"/>
      <w:outlineLvl w:val="3"/>
    </w:pPr>
    <w:rPr>
      <w:rFonts w:ascii="Calibri" w:hAnsi="Calibri" w:cs="Arial"/>
      <w:b/>
      <w:sz w:val="24"/>
      <w:szCs w:val="24"/>
    </w:rPr>
  </w:style>
  <w:style w:type="paragraph" w:styleId="Heading5">
    <w:name w:val="heading 5"/>
    <w:basedOn w:val="PlainText"/>
    <w:next w:val="Normal"/>
    <w:link w:val="Heading5Char"/>
    <w:uiPriority w:val="9"/>
    <w:unhideWhenUsed/>
    <w:qFormat/>
    <w:rsid w:val="00F9487B"/>
    <w:pPr>
      <w:keepNext/>
      <w:keepLines/>
      <w:spacing w:before="200"/>
      <w:outlineLvl w:val="4"/>
    </w:pPr>
    <w:rPr>
      <w:rFonts w:ascii="Calibri" w:eastAsiaTheme="majorEastAsia" w:hAnsi="Calibri"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87B"/>
    <w:rPr>
      <w:rFonts w:ascii="Arial" w:hAnsi="Arial" w:cs="Arial"/>
      <w:b/>
      <w:sz w:val="32"/>
      <w:szCs w:val="32"/>
    </w:rPr>
  </w:style>
  <w:style w:type="character" w:customStyle="1" w:styleId="Heading2Char">
    <w:name w:val="Heading 2 Char"/>
    <w:basedOn w:val="DefaultParagraphFont"/>
    <w:link w:val="Heading2"/>
    <w:rsid w:val="00F9487B"/>
    <w:rPr>
      <w:rFonts w:ascii="Arial" w:hAnsi="Arial" w:cs="Arial"/>
      <w:b/>
      <w:sz w:val="28"/>
      <w:szCs w:val="28"/>
    </w:rPr>
  </w:style>
  <w:style w:type="character" w:customStyle="1" w:styleId="Heading3Char">
    <w:name w:val="Heading 3 Char"/>
    <w:basedOn w:val="DefaultParagraphFont"/>
    <w:link w:val="Heading3"/>
    <w:uiPriority w:val="9"/>
    <w:rsid w:val="00F9487B"/>
    <w:rPr>
      <w:rFonts w:ascii="Arial" w:hAnsi="Arial" w:cs="Arial"/>
      <w:b/>
      <w:sz w:val="24"/>
      <w:szCs w:val="24"/>
    </w:rPr>
  </w:style>
  <w:style w:type="character" w:customStyle="1" w:styleId="Heading4Char">
    <w:name w:val="Heading 4 Char"/>
    <w:basedOn w:val="DefaultParagraphFont"/>
    <w:link w:val="Heading4"/>
    <w:uiPriority w:val="9"/>
    <w:rsid w:val="00F9487B"/>
    <w:rPr>
      <w:rFonts w:ascii="Calibri" w:hAnsi="Calibri" w:cs="Arial"/>
      <w:b/>
      <w:sz w:val="24"/>
      <w:szCs w:val="24"/>
    </w:rPr>
  </w:style>
  <w:style w:type="character" w:customStyle="1" w:styleId="Heading5Char">
    <w:name w:val="Heading 5 Char"/>
    <w:basedOn w:val="DefaultParagraphFont"/>
    <w:link w:val="Heading5"/>
    <w:uiPriority w:val="9"/>
    <w:rsid w:val="00F9487B"/>
    <w:rPr>
      <w:rFonts w:ascii="Calibri" w:eastAsiaTheme="majorEastAsia" w:hAnsi="Calibri" w:cstheme="majorBidi"/>
      <w:b/>
      <w:sz w:val="24"/>
      <w:szCs w:val="21"/>
    </w:rPr>
  </w:style>
  <w:style w:type="paragraph" w:styleId="Header">
    <w:name w:val="header"/>
    <w:basedOn w:val="Normal"/>
    <w:link w:val="HeaderChar"/>
    <w:uiPriority w:val="99"/>
    <w:unhideWhenUsed/>
    <w:rsid w:val="00F948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87B"/>
    <w:rPr>
      <w:rFonts w:ascii="Arial" w:hAnsi="Arial"/>
    </w:rPr>
  </w:style>
  <w:style w:type="table" w:styleId="TableGrid">
    <w:name w:val="Table Grid"/>
    <w:basedOn w:val="TableNormal"/>
    <w:uiPriority w:val="59"/>
    <w:rsid w:val="00F9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487B"/>
    <w:rPr>
      <w:color w:val="0000FF"/>
      <w:u w:val="single"/>
    </w:rPr>
  </w:style>
  <w:style w:type="character" w:customStyle="1" w:styleId="st1">
    <w:name w:val="st1"/>
    <w:basedOn w:val="DefaultParagraphFont"/>
    <w:rsid w:val="00F9487B"/>
  </w:style>
  <w:style w:type="paragraph" w:styleId="Footer">
    <w:name w:val="footer"/>
    <w:basedOn w:val="Normal"/>
    <w:link w:val="FooterChar"/>
    <w:uiPriority w:val="99"/>
    <w:unhideWhenUsed/>
    <w:rsid w:val="00F94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87B"/>
    <w:rPr>
      <w:rFonts w:ascii="Arial" w:hAnsi="Arial"/>
    </w:rPr>
  </w:style>
  <w:style w:type="paragraph" w:styleId="PlainText">
    <w:name w:val="Plain Text"/>
    <w:basedOn w:val="Normal"/>
    <w:link w:val="PlainTextChar"/>
    <w:uiPriority w:val="99"/>
    <w:unhideWhenUsed/>
    <w:rsid w:val="00F9487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9487B"/>
    <w:rPr>
      <w:rFonts w:ascii="Consolas" w:hAnsi="Consolas"/>
      <w:sz w:val="21"/>
      <w:szCs w:val="21"/>
    </w:rPr>
  </w:style>
  <w:style w:type="paragraph" w:styleId="ListParagraph">
    <w:name w:val="List Paragraph"/>
    <w:basedOn w:val="Normal"/>
    <w:uiPriority w:val="34"/>
    <w:qFormat/>
    <w:rsid w:val="00F9487B"/>
    <w:pPr>
      <w:ind w:left="720"/>
      <w:contextualSpacing/>
    </w:pPr>
  </w:style>
  <w:style w:type="paragraph" w:styleId="BalloonText">
    <w:name w:val="Balloon Text"/>
    <w:basedOn w:val="Normal"/>
    <w:link w:val="BalloonTextChar"/>
    <w:uiPriority w:val="99"/>
    <w:semiHidden/>
    <w:unhideWhenUsed/>
    <w:rsid w:val="00F94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87B"/>
    <w:rPr>
      <w:rFonts w:ascii="Tahoma" w:hAnsi="Tahoma" w:cs="Tahoma"/>
      <w:sz w:val="16"/>
      <w:szCs w:val="16"/>
    </w:rPr>
  </w:style>
  <w:style w:type="character" w:customStyle="1" w:styleId="referencetext1">
    <w:name w:val="referencetext1"/>
    <w:basedOn w:val="DefaultParagraphFont"/>
    <w:rsid w:val="00F9487B"/>
    <w:rPr>
      <w:vanish w:val="0"/>
      <w:webHidden w:val="0"/>
      <w:specVanish w:val="0"/>
    </w:rPr>
  </w:style>
  <w:style w:type="paragraph" w:styleId="TOCHeading">
    <w:name w:val="TOC Heading"/>
    <w:basedOn w:val="Heading1"/>
    <w:next w:val="Normal"/>
    <w:uiPriority w:val="39"/>
    <w:unhideWhenUsed/>
    <w:qFormat/>
    <w:rsid w:val="00F9487B"/>
    <w:pPr>
      <w:keepNext/>
      <w:keepLines/>
      <w:pBdr>
        <w:bottom w:val="none" w:sz="0" w:space="0" w:color="auto"/>
      </w:pBdr>
      <w:spacing w:before="480" w:line="276" w:lineRule="auto"/>
      <w:jc w:val="left"/>
      <w:outlineLvl w:val="9"/>
    </w:pPr>
    <w:rPr>
      <w:rFonts w:asciiTheme="majorHAnsi" w:eastAsiaTheme="majorEastAsia" w:hAnsiTheme="majorHAnsi" w:cstheme="majorBidi"/>
      <w:bCs/>
      <w:color w:val="365F91" w:themeColor="accent1" w:themeShade="BF"/>
      <w:sz w:val="28"/>
      <w:szCs w:val="28"/>
      <w:lang w:val="en-US"/>
    </w:rPr>
  </w:style>
  <w:style w:type="paragraph" w:styleId="TOC1">
    <w:name w:val="toc 1"/>
    <w:basedOn w:val="Normal"/>
    <w:next w:val="Normal"/>
    <w:autoRedefine/>
    <w:uiPriority w:val="39"/>
    <w:unhideWhenUsed/>
    <w:qFormat/>
    <w:rsid w:val="00F9487B"/>
    <w:pPr>
      <w:tabs>
        <w:tab w:val="left" w:pos="1760"/>
        <w:tab w:val="right" w:leader="dot" w:pos="8471"/>
      </w:tabs>
      <w:spacing w:after="100" w:line="360" w:lineRule="auto"/>
    </w:pPr>
  </w:style>
  <w:style w:type="paragraph" w:styleId="TOC2">
    <w:name w:val="toc 2"/>
    <w:basedOn w:val="Normal"/>
    <w:next w:val="Normal"/>
    <w:autoRedefine/>
    <w:uiPriority w:val="39"/>
    <w:unhideWhenUsed/>
    <w:qFormat/>
    <w:rsid w:val="00F9487B"/>
    <w:pPr>
      <w:spacing w:after="100"/>
      <w:ind w:left="220"/>
    </w:pPr>
  </w:style>
  <w:style w:type="paragraph" w:styleId="TOC3">
    <w:name w:val="toc 3"/>
    <w:basedOn w:val="Normal"/>
    <w:next w:val="Normal"/>
    <w:autoRedefine/>
    <w:uiPriority w:val="39"/>
    <w:unhideWhenUsed/>
    <w:qFormat/>
    <w:rsid w:val="00F9487B"/>
    <w:pPr>
      <w:spacing w:after="100"/>
      <w:ind w:left="440"/>
    </w:pPr>
  </w:style>
  <w:style w:type="paragraph" w:styleId="TOC4">
    <w:name w:val="toc 4"/>
    <w:basedOn w:val="Normal"/>
    <w:next w:val="Normal"/>
    <w:autoRedefine/>
    <w:uiPriority w:val="39"/>
    <w:unhideWhenUsed/>
    <w:rsid w:val="00F9487B"/>
    <w:pPr>
      <w:spacing w:after="100"/>
      <w:ind w:left="660"/>
    </w:pPr>
  </w:style>
  <w:style w:type="paragraph" w:styleId="TOC9">
    <w:name w:val="toc 9"/>
    <w:basedOn w:val="Normal"/>
    <w:next w:val="Normal"/>
    <w:autoRedefine/>
    <w:uiPriority w:val="39"/>
    <w:unhideWhenUsed/>
    <w:rsid w:val="00F9487B"/>
    <w:pPr>
      <w:spacing w:after="100"/>
      <w:ind w:left="1760"/>
    </w:pPr>
  </w:style>
  <w:style w:type="paragraph" w:styleId="DocumentMap">
    <w:name w:val="Document Map"/>
    <w:basedOn w:val="Normal"/>
    <w:link w:val="DocumentMapChar"/>
    <w:uiPriority w:val="99"/>
    <w:semiHidden/>
    <w:unhideWhenUsed/>
    <w:rsid w:val="00F9487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487B"/>
    <w:rPr>
      <w:rFonts w:ascii="Tahoma" w:hAnsi="Tahoma" w:cs="Tahoma"/>
      <w:sz w:val="16"/>
      <w:szCs w:val="16"/>
    </w:rPr>
  </w:style>
  <w:style w:type="paragraph" w:styleId="NormalWeb">
    <w:name w:val="Normal (Web)"/>
    <w:basedOn w:val="Normal"/>
    <w:uiPriority w:val="99"/>
    <w:unhideWhenUsed/>
    <w:rsid w:val="00F948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
    <w:name w:val="ui-widget"/>
    <w:basedOn w:val="Normal"/>
    <w:rsid w:val="00F9487B"/>
    <w:pPr>
      <w:spacing w:before="100" w:beforeAutospacing="1" w:after="360" w:line="240" w:lineRule="auto"/>
    </w:pPr>
    <w:rPr>
      <w:rFonts w:ascii="Verdana" w:eastAsia="Times New Roman" w:hAnsi="Verdana" w:cs="Times New Roman"/>
      <w:sz w:val="26"/>
      <w:szCs w:val="26"/>
      <w:lang w:eastAsia="en-GB"/>
    </w:rPr>
  </w:style>
  <w:style w:type="paragraph" w:customStyle="1" w:styleId="Default">
    <w:name w:val="Default"/>
    <w:rsid w:val="00F9487B"/>
    <w:pPr>
      <w:autoSpaceDE w:val="0"/>
      <w:autoSpaceDN w:val="0"/>
      <w:adjustRightInd w:val="0"/>
      <w:spacing w:after="0" w:line="240" w:lineRule="auto"/>
    </w:pPr>
    <w:rPr>
      <w:rFonts w:ascii="Verdana" w:hAnsi="Verdana" w:cs="Verdana"/>
      <w:color w:val="000000"/>
      <w:sz w:val="24"/>
      <w:szCs w:val="24"/>
    </w:rPr>
  </w:style>
  <w:style w:type="numbering" w:customStyle="1" w:styleId="NoList1">
    <w:name w:val="No List1"/>
    <w:next w:val="NoList"/>
    <w:uiPriority w:val="99"/>
    <w:semiHidden/>
    <w:unhideWhenUsed/>
    <w:rsid w:val="00F9487B"/>
  </w:style>
  <w:style w:type="table" w:customStyle="1" w:styleId="TableGrid1">
    <w:name w:val="Table Grid1"/>
    <w:basedOn w:val="TableNormal"/>
    <w:next w:val="TableGrid"/>
    <w:uiPriority w:val="59"/>
    <w:rsid w:val="00F9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vol">
    <w:name w:val="slug-vol"/>
    <w:basedOn w:val="DefaultParagraphFont"/>
    <w:rsid w:val="00F9487B"/>
    <w:rPr>
      <w:b/>
      <w:bCs/>
    </w:rPr>
  </w:style>
  <w:style w:type="character" w:customStyle="1" w:styleId="cit-sep1">
    <w:name w:val="cit-sep1"/>
    <w:basedOn w:val="DefaultParagraphFont"/>
    <w:rsid w:val="00F9487B"/>
    <w:rPr>
      <w:b w:val="0"/>
      <w:bCs w:val="0"/>
    </w:rPr>
  </w:style>
  <w:style w:type="character" w:customStyle="1" w:styleId="slug-doi2">
    <w:name w:val="slug-doi2"/>
    <w:basedOn w:val="DefaultParagraphFont"/>
    <w:rsid w:val="00F9487B"/>
  </w:style>
  <w:style w:type="character" w:customStyle="1" w:styleId="name">
    <w:name w:val="name"/>
    <w:basedOn w:val="DefaultParagraphFont"/>
    <w:rsid w:val="00F9487B"/>
  </w:style>
  <w:style w:type="character" w:styleId="HTMLCite">
    <w:name w:val="HTML Cite"/>
    <w:basedOn w:val="DefaultParagraphFont"/>
    <w:uiPriority w:val="99"/>
    <w:semiHidden/>
    <w:unhideWhenUsed/>
    <w:rsid w:val="00F9487B"/>
    <w:rPr>
      <w:i/>
      <w:iCs/>
    </w:rPr>
  </w:style>
  <w:style w:type="character" w:customStyle="1" w:styleId="cit-vol1">
    <w:name w:val="cit-vol1"/>
    <w:basedOn w:val="DefaultParagraphFont"/>
    <w:rsid w:val="00F9487B"/>
    <w:rPr>
      <w:b/>
      <w:bCs/>
    </w:rPr>
  </w:style>
  <w:style w:type="character" w:customStyle="1" w:styleId="cit-print-date">
    <w:name w:val="cit-print-date"/>
    <w:basedOn w:val="DefaultParagraphFont"/>
    <w:rsid w:val="00F9487B"/>
  </w:style>
  <w:style w:type="character" w:customStyle="1" w:styleId="cit-issue">
    <w:name w:val="cit-issue"/>
    <w:basedOn w:val="DefaultParagraphFont"/>
    <w:rsid w:val="00F9487B"/>
  </w:style>
  <w:style w:type="character" w:customStyle="1" w:styleId="cit-first-page">
    <w:name w:val="cit-first-page"/>
    <w:basedOn w:val="DefaultParagraphFont"/>
    <w:rsid w:val="00F9487B"/>
  </w:style>
  <w:style w:type="character" w:customStyle="1" w:styleId="bibrecord-highlight-user">
    <w:name w:val="bibrecord-highlight-user"/>
    <w:basedOn w:val="DefaultParagraphFont"/>
    <w:rsid w:val="00F9487B"/>
  </w:style>
  <w:style w:type="paragraph" w:styleId="Caption">
    <w:name w:val="caption"/>
    <w:basedOn w:val="Normal"/>
    <w:next w:val="Normal"/>
    <w:uiPriority w:val="35"/>
    <w:unhideWhenUsed/>
    <w:qFormat/>
    <w:rsid w:val="00F9487B"/>
    <w:pPr>
      <w:spacing w:line="240" w:lineRule="auto"/>
      <w:jc w:val="center"/>
    </w:pPr>
    <w:rPr>
      <w:b/>
      <w:bCs/>
      <w:sz w:val="24"/>
      <w:szCs w:val="18"/>
    </w:rPr>
  </w:style>
  <w:style w:type="paragraph" w:styleId="CommentText">
    <w:name w:val="annotation text"/>
    <w:basedOn w:val="Normal"/>
    <w:link w:val="CommentTextChar"/>
    <w:uiPriority w:val="99"/>
    <w:unhideWhenUsed/>
    <w:rsid w:val="00F9487B"/>
    <w:pPr>
      <w:spacing w:after="0" w:line="240" w:lineRule="auto"/>
    </w:pPr>
    <w:rPr>
      <w:sz w:val="20"/>
      <w:szCs w:val="20"/>
    </w:rPr>
  </w:style>
  <w:style w:type="character" w:customStyle="1" w:styleId="CommentTextChar">
    <w:name w:val="Comment Text Char"/>
    <w:basedOn w:val="DefaultParagraphFont"/>
    <w:link w:val="CommentText"/>
    <w:uiPriority w:val="99"/>
    <w:rsid w:val="00F9487B"/>
    <w:rPr>
      <w:rFonts w:ascii="Arial" w:hAnsi="Arial"/>
      <w:sz w:val="20"/>
      <w:szCs w:val="20"/>
    </w:rPr>
  </w:style>
  <w:style w:type="character" w:styleId="CommentReference">
    <w:name w:val="annotation reference"/>
    <w:basedOn w:val="DefaultParagraphFont"/>
    <w:uiPriority w:val="99"/>
    <w:semiHidden/>
    <w:unhideWhenUsed/>
    <w:rsid w:val="00F9487B"/>
    <w:rPr>
      <w:sz w:val="16"/>
      <w:szCs w:val="16"/>
    </w:rPr>
  </w:style>
  <w:style w:type="character" w:customStyle="1" w:styleId="sublft1">
    <w:name w:val="sublft1"/>
    <w:basedOn w:val="DefaultParagraphFont"/>
    <w:rsid w:val="00F9487B"/>
    <w:rPr>
      <w:rFonts w:ascii="Arial" w:hAnsi="Arial" w:cs="Arial" w:hint="default"/>
      <w:b/>
      <w:bCs/>
      <w:color w:val="6633CC"/>
      <w:spacing w:val="0"/>
      <w:sz w:val="24"/>
      <w:szCs w:val="24"/>
    </w:rPr>
  </w:style>
  <w:style w:type="character" w:styleId="FollowedHyperlink">
    <w:name w:val="FollowedHyperlink"/>
    <w:basedOn w:val="DefaultParagraphFont"/>
    <w:uiPriority w:val="99"/>
    <w:semiHidden/>
    <w:unhideWhenUsed/>
    <w:rsid w:val="00F9487B"/>
    <w:rPr>
      <w:color w:val="800080" w:themeColor="followedHyperlink"/>
      <w:u w:val="single"/>
    </w:rPr>
  </w:style>
  <w:style w:type="paragraph" w:styleId="TOC5">
    <w:name w:val="toc 5"/>
    <w:basedOn w:val="Normal"/>
    <w:next w:val="Normal"/>
    <w:autoRedefine/>
    <w:uiPriority w:val="39"/>
    <w:unhideWhenUsed/>
    <w:rsid w:val="00F9487B"/>
    <w:pPr>
      <w:tabs>
        <w:tab w:val="right" w:leader="dot" w:pos="8471"/>
      </w:tabs>
      <w:spacing w:after="100"/>
      <w:jc w:val="both"/>
    </w:pPr>
    <w:rPr>
      <w:rFonts w:asciiTheme="minorHAnsi" w:eastAsiaTheme="minorEastAsia" w:hAnsiTheme="minorHAnsi"/>
      <w:lang w:eastAsia="en-GB"/>
    </w:rPr>
  </w:style>
  <w:style w:type="paragraph" w:styleId="TOC6">
    <w:name w:val="toc 6"/>
    <w:basedOn w:val="Normal"/>
    <w:next w:val="Normal"/>
    <w:autoRedefine/>
    <w:uiPriority w:val="39"/>
    <w:unhideWhenUsed/>
    <w:rsid w:val="00F9487B"/>
    <w:pPr>
      <w:spacing w:after="100"/>
      <w:ind w:left="1100"/>
    </w:pPr>
    <w:rPr>
      <w:rFonts w:asciiTheme="minorHAnsi" w:eastAsiaTheme="minorEastAsia" w:hAnsiTheme="minorHAnsi"/>
      <w:lang w:eastAsia="en-GB"/>
    </w:rPr>
  </w:style>
  <w:style w:type="paragraph" w:styleId="TOC7">
    <w:name w:val="toc 7"/>
    <w:basedOn w:val="Normal"/>
    <w:next w:val="Normal"/>
    <w:autoRedefine/>
    <w:uiPriority w:val="39"/>
    <w:unhideWhenUsed/>
    <w:rsid w:val="00F9487B"/>
    <w:pPr>
      <w:spacing w:after="100"/>
      <w:ind w:left="1320"/>
    </w:pPr>
    <w:rPr>
      <w:rFonts w:asciiTheme="minorHAnsi" w:eastAsiaTheme="minorEastAsia" w:hAnsiTheme="minorHAnsi"/>
      <w:lang w:eastAsia="en-GB"/>
    </w:rPr>
  </w:style>
  <w:style w:type="paragraph" w:styleId="TOC8">
    <w:name w:val="toc 8"/>
    <w:basedOn w:val="Normal"/>
    <w:next w:val="Normal"/>
    <w:autoRedefine/>
    <w:uiPriority w:val="39"/>
    <w:unhideWhenUsed/>
    <w:rsid w:val="00F9487B"/>
    <w:pPr>
      <w:spacing w:after="100"/>
      <w:ind w:left="1540"/>
    </w:pPr>
    <w:rPr>
      <w:rFonts w:asciiTheme="minorHAnsi" w:eastAsiaTheme="minorEastAsia" w:hAnsiTheme="minorHAnsi"/>
      <w:lang w:eastAsia="en-GB"/>
    </w:rPr>
  </w:style>
  <w:style w:type="character" w:customStyle="1" w:styleId="searchhistory-search-term">
    <w:name w:val="searchhistory-search-term"/>
    <w:basedOn w:val="DefaultParagraphFont"/>
    <w:rsid w:val="00F9487B"/>
  </w:style>
  <w:style w:type="paragraph" w:styleId="CommentSubject">
    <w:name w:val="annotation subject"/>
    <w:basedOn w:val="CommentText"/>
    <w:next w:val="CommentText"/>
    <w:link w:val="CommentSubjectChar"/>
    <w:uiPriority w:val="99"/>
    <w:semiHidden/>
    <w:unhideWhenUsed/>
    <w:rsid w:val="00F9487B"/>
    <w:pPr>
      <w:spacing w:after="200"/>
    </w:pPr>
    <w:rPr>
      <w:b/>
      <w:bCs/>
    </w:rPr>
  </w:style>
  <w:style w:type="character" w:customStyle="1" w:styleId="CommentSubjectChar">
    <w:name w:val="Comment Subject Char"/>
    <w:basedOn w:val="CommentTextChar"/>
    <w:link w:val="CommentSubject"/>
    <w:uiPriority w:val="99"/>
    <w:semiHidden/>
    <w:rsid w:val="00F9487B"/>
    <w:rPr>
      <w:rFonts w:ascii="Arial" w:hAnsi="Arial"/>
      <w:b/>
      <w:bCs/>
      <w:sz w:val="20"/>
      <w:szCs w:val="20"/>
    </w:rPr>
  </w:style>
  <w:style w:type="character" w:styleId="PlaceholderText">
    <w:name w:val="Placeholder Text"/>
    <w:basedOn w:val="DefaultParagraphFont"/>
    <w:uiPriority w:val="99"/>
    <w:semiHidden/>
    <w:rsid w:val="00F9487B"/>
    <w:rPr>
      <w:color w:val="808080"/>
    </w:rPr>
  </w:style>
  <w:style w:type="table" w:customStyle="1" w:styleId="TableGrid2">
    <w:name w:val="Table Grid2"/>
    <w:basedOn w:val="TableNormal"/>
    <w:next w:val="TableGrid"/>
    <w:uiPriority w:val="59"/>
    <w:rsid w:val="00F9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487B"/>
    <w:pPr>
      <w:spacing w:after="0" w:line="240" w:lineRule="auto"/>
    </w:pPr>
    <w:rPr>
      <w:rFonts w:ascii="Arial" w:hAnsi="Arial"/>
    </w:rPr>
  </w:style>
  <w:style w:type="character" w:styleId="Emphasis">
    <w:name w:val="Emphasis"/>
    <w:basedOn w:val="DefaultParagraphFont"/>
    <w:uiPriority w:val="20"/>
    <w:qFormat/>
    <w:rsid w:val="00F9487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87B"/>
    <w:rPr>
      <w:rFonts w:ascii="Arial" w:hAnsi="Arial"/>
    </w:rPr>
  </w:style>
  <w:style w:type="paragraph" w:styleId="Heading1">
    <w:name w:val="heading 1"/>
    <w:basedOn w:val="Normal"/>
    <w:next w:val="Normal"/>
    <w:link w:val="Heading1Char"/>
    <w:uiPriority w:val="9"/>
    <w:qFormat/>
    <w:rsid w:val="00F9487B"/>
    <w:pPr>
      <w:pBdr>
        <w:bottom w:val="single" w:sz="4" w:space="1" w:color="auto"/>
      </w:pBdr>
      <w:spacing w:after="0" w:line="240" w:lineRule="auto"/>
      <w:jc w:val="both"/>
      <w:outlineLvl w:val="0"/>
    </w:pPr>
    <w:rPr>
      <w:rFonts w:cs="Arial"/>
      <w:b/>
      <w:sz w:val="32"/>
      <w:szCs w:val="32"/>
    </w:rPr>
  </w:style>
  <w:style w:type="paragraph" w:styleId="Heading2">
    <w:name w:val="heading 2"/>
    <w:basedOn w:val="Normal"/>
    <w:next w:val="Normal"/>
    <w:link w:val="Heading2Char"/>
    <w:qFormat/>
    <w:rsid w:val="00F9487B"/>
    <w:pPr>
      <w:spacing w:after="0" w:line="360" w:lineRule="auto"/>
      <w:jc w:val="both"/>
      <w:outlineLvl w:val="1"/>
    </w:pPr>
    <w:rPr>
      <w:rFonts w:cs="Arial"/>
      <w:b/>
      <w:sz w:val="28"/>
      <w:szCs w:val="28"/>
    </w:rPr>
  </w:style>
  <w:style w:type="paragraph" w:styleId="Heading3">
    <w:name w:val="heading 3"/>
    <w:basedOn w:val="Normal"/>
    <w:next w:val="Normal"/>
    <w:link w:val="Heading3Char"/>
    <w:uiPriority w:val="9"/>
    <w:unhideWhenUsed/>
    <w:qFormat/>
    <w:rsid w:val="00F9487B"/>
    <w:pPr>
      <w:spacing w:after="0" w:line="360" w:lineRule="auto"/>
      <w:jc w:val="both"/>
      <w:outlineLvl w:val="2"/>
    </w:pPr>
    <w:rPr>
      <w:rFonts w:cs="Arial"/>
      <w:b/>
      <w:sz w:val="24"/>
      <w:szCs w:val="24"/>
    </w:rPr>
  </w:style>
  <w:style w:type="paragraph" w:styleId="Heading4">
    <w:name w:val="heading 4"/>
    <w:basedOn w:val="PlainText"/>
    <w:next w:val="Normal"/>
    <w:link w:val="Heading4Char"/>
    <w:uiPriority w:val="9"/>
    <w:unhideWhenUsed/>
    <w:qFormat/>
    <w:rsid w:val="00F9487B"/>
    <w:pPr>
      <w:jc w:val="both"/>
      <w:outlineLvl w:val="3"/>
    </w:pPr>
    <w:rPr>
      <w:rFonts w:ascii="Calibri" w:hAnsi="Calibri" w:cs="Arial"/>
      <w:b/>
      <w:sz w:val="24"/>
      <w:szCs w:val="24"/>
    </w:rPr>
  </w:style>
  <w:style w:type="paragraph" w:styleId="Heading5">
    <w:name w:val="heading 5"/>
    <w:basedOn w:val="PlainText"/>
    <w:next w:val="Normal"/>
    <w:link w:val="Heading5Char"/>
    <w:uiPriority w:val="9"/>
    <w:unhideWhenUsed/>
    <w:qFormat/>
    <w:rsid w:val="00F9487B"/>
    <w:pPr>
      <w:keepNext/>
      <w:keepLines/>
      <w:spacing w:before="200"/>
      <w:outlineLvl w:val="4"/>
    </w:pPr>
    <w:rPr>
      <w:rFonts w:ascii="Calibri" w:eastAsiaTheme="majorEastAsia" w:hAnsi="Calibri"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87B"/>
    <w:rPr>
      <w:rFonts w:ascii="Arial" w:hAnsi="Arial" w:cs="Arial"/>
      <w:b/>
      <w:sz w:val="32"/>
      <w:szCs w:val="32"/>
    </w:rPr>
  </w:style>
  <w:style w:type="character" w:customStyle="1" w:styleId="Heading2Char">
    <w:name w:val="Heading 2 Char"/>
    <w:basedOn w:val="DefaultParagraphFont"/>
    <w:link w:val="Heading2"/>
    <w:rsid w:val="00F9487B"/>
    <w:rPr>
      <w:rFonts w:ascii="Arial" w:hAnsi="Arial" w:cs="Arial"/>
      <w:b/>
      <w:sz w:val="28"/>
      <w:szCs w:val="28"/>
    </w:rPr>
  </w:style>
  <w:style w:type="character" w:customStyle="1" w:styleId="Heading3Char">
    <w:name w:val="Heading 3 Char"/>
    <w:basedOn w:val="DefaultParagraphFont"/>
    <w:link w:val="Heading3"/>
    <w:uiPriority w:val="9"/>
    <w:rsid w:val="00F9487B"/>
    <w:rPr>
      <w:rFonts w:ascii="Arial" w:hAnsi="Arial" w:cs="Arial"/>
      <w:b/>
      <w:sz w:val="24"/>
      <w:szCs w:val="24"/>
    </w:rPr>
  </w:style>
  <w:style w:type="character" w:customStyle="1" w:styleId="Heading4Char">
    <w:name w:val="Heading 4 Char"/>
    <w:basedOn w:val="DefaultParagraphFont"/>
    <w:link w:val="Heading4"/>
    <w:uiPriority w:val="9"/>
    <w:rsid w:val="00F9487B"/>
    <w:rPr>
      <w:rFonts w:ascii="Calibri" w:hAnsi="Calibri" w:cs="Arial"/>
      <w:b/>
      <w:sz w:val="24"/>
      <w:szCs w:val="24"/>
    </w:rPr>
  </w:style>
  <w:style w:type="character" w:customStyle="1" w:styleId="Heading5Char">
    <w:name w:val="Heading 5 Char"/>
    <w:basedOn w:val="DefaultParagraphFont"/>
    <w:link w:val="Heading5"/>
    <w:uiPriority w:val="9"/>
    <w:rsid w:val="00F9487B"/>
    <w:rPr>
      <w:rFonts w:ascii="Calibri" w:eastAsiaTheme="majorEastAsia" w:hAnsi="Calibri" w:cstheme="majorBidi"/>
      <w:b/>
      <w:sz w:val="24"/>
      <w:szCs w:val="21"/>
    </w:rPr>
  </w:style>
  <w:style w:type="paragraph" w:styleId="Header">
    <w:name w:val="header"/>
    <w:basedOn w:val="Normal"/>
    <w:link w:val="HeaderChar"/>
    <w:uiPriority w:val="99"/>
    <w:unhideWhenUsed/>
    <w:rsid w:val="00F948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87B"/>
    <w:rPr>
      <w:rFonts w:ascii="Arial" w:hAnsi="Arial"/>
    </w:rPr>
  </w:style>
  <w:style w:type="table" w:styleId="TableGrid">
    <w:name w:val="Table Grid"/>
    <w:basedOn w:val="TableNormal"/>
    <w:uiPriority w:val="59"/>
    <w:rsid w:val="00F9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487B"/>
    <w:rPr>
      <w:color w:val="0000FF"/>
      <w:u w:val="single"/>
    </w:rPr>
  </w:style>
  <w:style w:type="character" w:customStyle="1" w:styleId="st1">
    <w:name w:val="st1"/>
    <w:basedOn w:val="DefaultParagraphFont"/>
    <w:rsid w:val="00F9487B"/>
  </w:style>
  <w:style w:type="paragraph" w:styleId="Footer">
    <w:name w:val="footer"/>
    <w:basedOn w:val="Normal"/>
    <w:link w:val="FooterChar"/>
    <w:uiPriority w:val="99"/>
    <w:unhideWhenUsed/>
    <w:rsid w:val="00F94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87B"/>
    <w:rPr>
      <w:rFonts w:ascii="Arial" w:hAnsi="Arial"/>
    </w:rPr>
  </w:style>
  <w:style w:type="paragraph" w:styleId="PlainText">
    <w:name w:val="Plain Text"/>
    <w:basedOn w:val="Normal"/>
    <w:link w:val="PlainTextChar"/>
    <w:uiPriority w:val="99"/>
    <w:unhideWhenUsed/>
    <w:rsid w:val="00F9487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9487B"/>
    <w:rPr>
      <w:rFonts w:ascii="Consolas" w:hAnsi="Consolas"/>
      <w:sz w:val="21"/>
      <w:szCs w:val="21"/>
    </w:rPr>
  </w:style>
  <w:style w:type="paragraph" w:styleId="ListParagraph">
    <w:name w:val="List Paragraph"/>
    <w:basedOn w:val="Normal"/>
    <w:uiPriority w:val="34"/>
    <w:qFormat/>
    <w:rsid w:val="00F9487B"/>
    <w:pPr>
      <w:ind w:left="720"/>
      <w:contextualSpacing/>
    </w:pPr>
  </w:style>
  <w:style w:type="paragraph" w:styleId="BalloonText">
    <w:name w:val="Balloon Text"/>
    <w:basedOn w:val="Normal"/>
    <w:link w:val="BalloonTextChar"/>
    <w:uiPriority w:val="99"/>
    <w:semiHidden/>
    <w:unhideWhenUsed/>
    <w:rsid w:val="00F94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87B"/>
    <w:rPr>
      <w:rFonts w:ascii="Tahoma" w:hAnsi="Tahoma" w:cs="Tahoma"/>
      <w:sz w:val="16"/>
      <w:szCs w:val="16"/>
    </w:rPr>
  </w:style>
  <w:style w:type="character" w:customStyle="1" w:styleId="referencetext1">
    <w:name w:val="referencetext1"/>
    <w:basedOn w:val="DefaultParagraphFont"/>
    <w:rsid w:val="00F9487B"/>
    <w:rPr>
      <w:vanish w:val="0"/>
      <w:webHidden w:val="0"/>
      <w:specVanish w:val="0"/>
    </w:rPr>
  </w:style>
  <w:style w:type="paragraph" w:styleId="TOCHeading">
    <w:name w:val="TOC Heading"/>
    <w:basedOn w:val="Heading1"/>
    <w:next w:val="Normal"/>
    <w:uiPriority w:val="39"/>
    <w:unhideWhenUsed/>
    <w:qFormat/>
    <w:rsid w:val="00F9487B"/>
    <w:pPr>
      <w:keepNext/>
      <w:keepLines/>
      <w:pBdr>
        <w:bottom w:val="none" w:sz="0" w:space="0" w:color="auto"/>
      </w:pBdr>
      <w:spacing w:before="480" w:line="276" w:lineRule="auto"/>
      <w:jc w:val="left"/>
      <w:outlineLvl w:val="9"/>
    </w:pPr>
    <w:rPr>
      <w:rFonts w:asciiTheme="majorHAnsi" w:eastAsiaTheme="majorEastAsia" w:hAnsiTheme="majorHAnsi" w:cstheme="majorBidi"/>
      <w:bCs/>
      <w:color w:val="365F91" w:themeColor="accent1" w:themeShade="BF"/>
      <w:sz w:val="28"/>
      <w:szCs w:val="28"/>
      <w:lang w:val="en-US"/>
    </w:rPr>
  </w:style>
  <w:style w:type="paragraph" w:styleId="TOC1">
    <w:name w:val="toc 1"/>
    <w:basedOn w:val="Normal"/>
    <w:next w:val="Normal"/>
    <w:autoRedefine/>
    <w:uiPriority w:val="39"/>
    <w:unhideWhenUsed/>
    <w:qFormat/>
    <w:rsid w:val="00F9487B"/>
    <w:pPr>
      <w:tabs>
        <w:tab w:val="left" w:pos="1760"/>
        <w:tab w:val="right" w:leader="dot" w:pos="8471"/>
      </w:tabs>
      <w:spacing w:after="100" w:line="360" w:lineRule="auto"/>
    </w:pPr>
  </w:style>
  <w:style w:type="paragraph" w:styleId="TOC2">
    <w:name w:val="toc 2"/>
    <w:basedOn w:val="Normal"/>
    <w:next w:val="Normal"/>
    <w:autoRedefine/>
    <w:uiPriority w:val="39"/>
    <w:unhideWhenUsed/>
    <w:qFormat/>
    <w:rsid w:val="00F9487B"/>
    <w:pPr>
      <w:spacing w:after="100"/>
      <w:ind w:left="220"/>
    </w:pPr>
  </w:style>
  <w:style w:type="paragraph" w:styleId="TOC3">
    <w:name w:val="toc 3"/>
    <w:basedOn w:val="Normal"/>
    <w:next w:val="Normal"/>
    <w:autoRedefine/>
    <w:uiPriority w:val="39"/>
    <w:unhideWhenUsed/>
    <w:qFormat/>
    <w:rsid w:val="00F9487B"/>
    <w:pPr>
      <w:spacing w:after="100"/>
      <w:ind w:left="440"/>
    </w:pPr>
  </w:style>
  <w:style w:type="paragraph" w:styleId="TOC4">
    <w:name w:val="toc 4"/>
    <w:basedOn w:val="Normal"/>
    <w:next w:val="Normal"/>
    <w:autoRedefine/>
    <w:uiPriority w:val="39"/>
    <w:unhideWhenUsed/>
    <w:rsid w:val="00F9487B"/>
    <w:pPr>
      <w:spacing w:after="100"/>
      <w:ind w:left="660"/>
    </w:pPr>
  </w:style>
  <w:style w:type="paragraph" w:styleId="TOC9">
    <w:name w:val="toc 9"/>
    <w:basedOn w:val="Normal"/>
    <w:next w:val="Normal"/>
    <w:autoRedefine/>
    <w:uiPriority w:val="39"/>
    <w:unhideWhenUsed/>
    <w:rsid w:val="00F9487B"/>
    <w:pPr>
      <w:spacing w:after="100"/>
      <w:ind w:left="1760"/>
    </w:pPr>
  </w:style>
  <w:style w:type="paragraph" w:styleId="DocumentMap">
    <w:name w:val="Document Map"/>
    <w:basedOn w:val="Normal"/>
    <w:link w:val="DocumentMapChar"/>
    <w:uiPriority w:val="99"/>
    <w:semiHidden/>
    <w:unhideWhenUsed/>
    <w:rsid w:val="00F9487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487B"/>
    <w:rPr>
      <w:rFonts w:ascii="Tahoma" w:hAnsi="Tahoma" w:cs="Tahoma"/>
      <w:sz w:val="16"/>
      <w:szCs w:val="16"/>
    </w:rPr>
  </w:style>
  <w:style w:type="paragraph" w:styleId="NormalWeb">
    <w:name w:val="Normal (Web)"/>
    <w:basedOn w:val="Normal"/>
    <w:uiPriority w:val="99"/>
    <w:unhideWhenUsed/>
    <w:rsid w:val="00F948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i-widget">
    <w:name w:val="ui-widget"/>
    <w:basedOn w:val="Normal"/>
    <w:rsid w:val="00F9487B"/>
    <w:pPr>
      <w:spacing w:before="100" w:beforeAutospacing="1" w:after="360" w:line="240" w:lineRule="auto"/>
    </w:pPr>
    <w:rPr>
      <w:rFonts w:ascii="Verdana" w:eastAsia="Times New Roman" w:hAnsi="Verdana" w:cs="Times New Roman"/>
      <w:sz w:val="26"/>
      <w:szCs w:val="26"/>
      <w:lang w:eastAsia="en-GB"/>
    </w:rPr>
  </w:style>
  <w:style w:type="paragraph" w:customStyle="1" w:styleId="Default">
    <w:name w:val="Default"/>
    <w:rsid w:val="00F9487B"/>
    <w:pPr>
      <w:autoSpaceDE w:val="0"/>
      <w:autoSpaceDN w:val="0"/>
      <w:adjustRightInd w:val="0"/>
      <w:spacing w:after="0" w:line="240" w:lineRule="auto"/>
    </w:pPr>
    <w:rPr>
      <w:rFonts w:ascii="Verdana" w:hAnsi="Verdana" w:cs="Verdana"/>
      <w:color w:val="000000"/>
      <w:sz w:val="24"/>
      <w:szCs w:val="24"/>
    </w:rPr>
  </w:style>
  <w:style w:type="numbering" w:customStyle="1" w:styleId="NoList1">
    <w:name w:val="No List1"/>
    <w:next w:val="NoList"/>
    <w:uiPriority w:val="99"/>
    <w:semiHidden/>
    <w:unhideWhenUsed/>
    <w:rsid w:val="00F9487B"/>
  </w:style>
  <w:style w:type="table" w:customStyle="1" w:styleId="TableGrid1">
    <w:name w:val="Table Grid1"/>
    <w:basedOn w:val="TableNormal"/>
    <w:next w:val="TableGrid"/>
    <w:uiPriority w:val="59"/>
    <w:rsid w:val="00F9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vol">
    <w:name w:val="slug-vol"/>
    <w:basedOn w:val="DefaultParagraphFont"/>
    <w:rsid w:val="00F9487B"/>
    <w:rPr>
      <w:b/>
      <w:bCs/>
    </w:rPr>
  </w:style>
  <w:style w:type="character" w:customStyle="1" w:styleId="cit-sep1">
    <w:name w:val="cit-sep1"/>
    <w:basedOn w:val="DefaultParagraphFont"/>
    <w:rsid w:val="00F9487B"/>
    <w:rPr>
      <w:b w:val="0"/>
      <w:bCs w:val="0"/>
    </w:rPr>
  </w:style>
  <w:style w:type="character" w:customStyle="1" w:styleId="slug-doi2">
    <w:name w:val="slug-doi2"/>
    <w:basedOn w:val="DefaultParagraphFont"/>
    <w:rsid w:val="00F9487B"/>
  </w:style>
  <w:style w:type="character" w:customStyle="1" w:styleId="name">
    <w:name w:val="name"/>
    <w:basedOn w:val="DefaultParagraphFont"/>
    <w:rsid w:val="00F9487B"/>
  </w:style>
  <w:style w:type="character" w:styleId="HTMLCite">
    <w:name w:val="HTML Cite"/>
    <w:basedOn w:val="DefaultParagraphFont"/>
    <w:uiPriority w:val="99"/>
    <w:semiHidden/>
    <w:unhideWhenUsed/>
    <w:rsid w:val="00F9487B"/>
    <w:rPr>
      <w:i/>
      <w:iCs/>
    </w:rPr>
  </w:style>
  <w:style w:type="character" w:customStyle="1" w:styleId="cit-vol1">
    <w:name w:val="cit-vol1"/>
    <w:basedOn w:val="DefaultParagraphFont"/>
    <w:rsid w:val="00F9487B"/>
    <w:rPr>
      <w:b/>
      <w:bCs/>
    </w:rPr>
  </w:style>
  <w:style w:type="character" w:customStyle="1" w:styleId="cit-print-date">
    <w:name w:val="cit-print-date"/>
    <w:basedOn w:val="DefaultParagraphFont"/>
    <w:rsid w:val="00F9487B"/>
  </w:style>
  <w:style w:type="character" w:customStyle="1" w:styleId="cit-issue">
    <w:name w:val="cit-issue"/>
    <w:basedOn w:val="DefaultParagraphFont"/>
    <w:rsid w:val="00F9487B"/>
  </w:style>
  <w:style w:type="character" w:customStyle="1" w:styleId="cit-first-page">
    <w:name w:val="cit-first-page"/>
    <w:basedOn w:val="DefaultParagraphFont"/>
    <w:rsid w:val="00F9487B"/>
  </w:style>
  <w:style w:type="character" w:customStyle="1" w:styleId="bibrecord-highlight-user">
    <w:name w:val="bibrecord-highlight-user"/>
    <w:basedOn w:val="DefaultParagraphFont"/>
    <w:rsid w:val="00F9487B"/>
  </w:style>
  <w:style w:type="paragraph" w:styleId="Caption">
    <w:name w:val="caption"/>
    <w:basedOn w:val="Normal"/>
    <w:next w:val="Normal"/>
    <w:uiPriority w:val="35"/>
    <w:unhideWhenUsed/>
    <w:qFormat/>
    <w:rsid w:val="00F9487B"/>
    <w:pPr>
      <w:spacing w:line="240" w:lineRule="auto"/>
      <w:jc w:val="center"/>
    </w:pPr>
    <w:rPr>
      <w:b/>
      <w:bCs/>
      <w:sz w:val="24"/>
      <w:szCs w:val="18"/>
    </w:rPr>
  </w:style>
  <w:style w:type="paragraph" w:styleId="CommentText">
    <w:name w:val="annotation text"/>
    <w:basedOn w:val="Normal"/>
    <w:link w:val="CommentTextChar"/>
    <w:uiPriority w:val="99"/>
    <w:unhideWhenUsed/>
    <w:rsid w:val="00F9487B"/>
    <w:pPr>
      <w:spacing w:after="0" w:line="240" w:lineRule="auto"/>
    </w:pPr>
    <w:rPr>
      <w:sz w:val="20"/>
      <w:szCs w:val="20"/>
    </w:rPr>
  </w:style>
  <w:style w:type="character" w:customStyle="1" w:styleId="CommentTextChar">
    <w:name w:val="Comment Text Char"/>
    <w:basedOn w:val="DefaultParagraphFont"/>
    <w:link w:val="CommentText"/>
    <w:uiPriority w:val="99"/>
    <w:rsid w:val="00F9487B"/>
    <w:rPr>
      <w:rFonts w:ascii="Arial" w:hAnsi="Arial"/>
      <w:sz w:val="20"/>
      <w:szCs w:val="20"/>
    </w:rPr>
  </w:style>
  <w:style w:type="character" w:styleId="CommentReference">
    <w:name w:val="annotation reference"/>
    <w:basedOn w:val="DefaultParagraphFont"/>
    <w:uiPriority w:val="99"/>
    <w:semiHidden/>
    <w:unhideWhenUsed/>
    <w:rsid w:val="00F9487B"/>
    <w:rPr>
      <w:sz w:val="16"/>
      <w:szCs w:val="16"/>
    </w:rPr>
  </w:style>
  <w:style w:type="character" w:customStyle="1" w:styleId="sublft1">
    <w:name w:val="sublft1"/>
    <w:basedOn w:val="DefaultParagraphFont"/>
    <w:rsid w:val="00F9487B"/>
    <w:rPr>
      <w:rFonts w:ascii="Arial" w:hAnsi="Arial" w:cs="Arial" w:hint="default"/>
      <w:b/>
      <w:bCs/>
      <w:color w:val="6633CC"/>
      <w:spacing w:val="0"/>
      <w:sz w:val="24"/>
      <w:szCs w:val="24"/>
    </w:rPr>
  </w:style>
  <w:style w:type="character" w:styleId="FollowedHyperlink">
    <w:name w:val="FollowedHyperlink"/>
    <w:basedOn w:val="DefaultParagraphFont"/>
    <w:uiPriority w:val="99"/>
    <w:semiHidden/>
    <w:unhideWhenUsed/>
    <w:rsid w:val="00F9487B"/>
    <w:rPr>
      <w:color w:val="800080" w:themeColor="followedHyperlink"/>
      <w:u w:val="single"/>
    </w:rPr>
  </w:style>
  <w:style w:type="paragraph" w:styleId="TOC5">
    <w:name w:val="toc 5"/>
    <w:basedOn w:val="Normal"/>
    <w:next w:val="Normal"/>
    <w:autoRedefine/>
    <w:uiPriority w:val="39"/>
    <w:unhideWhenUsed/>
    <w:rsid w:val="00F9487B"/>
    <w:pPr>
      <w:tabs>
        <w:tab w:val="right" w:leader="dot" w:pos="8471"/>
      </w:tabs>
      <w:spacing w:after="100"/>
      <w:jc w:val="both"/>
    </w:pPr>
    <w:rPr>
      <w:rFonts w:asciiTheme="minorHAnsi" w:eastAsiaTheme="minorEastAsia" w:hAnsiTheme="minorHAnsi"/>
      <w:lang w:eastAsia="en-GB"/>
    </w:rPr>
  </w:style>
  <w:style w:type="paragraph" w:styleId="TOC6">
    <w:name w:val="toc 6"/>
    <w:basedOn w:val="Normal"/>
    <w:next w:val="Normal"/>
    <w:autoRedefine/>
    <w:uiPriority w:val="39"/>
    <w:unhideWhenUsed/>
    <w:rsid w:val="00F9487B"/>
    <w:pPr>
      <w:spacing w:after="100"/>
      <w:ind w:left="1100"/>
    </w:pPr>
    <w:rPr>
      <w:rFonts w:asciiTheme="minorHAnsi" w:eastAsiaTheme="minorEastAsia" w:hAnsiTheme="minorHAnsi"/>
      <w:lang w:eastAsia="en-GB"/>
    </w:rPr>
  </w:style>
  <w:style w:type="paragraph" w:styleId="TOC7">
    <w:name w:val="toc 7"/>
    <w:basedOn w:val="Normal"/>
    <w:next w:val="Normal"/>
    <w:autoRedefine/>
    <w:uiPriority w:val="39"/>
    <w:unhideWhenUsed/>
    <w:rsid w:val="00F9487B"/>
    <w:pPr>
      <w:spacing w:after="100"/>
      <w:ind w:left="1320"/>
    </w:pPr>
    <w:rPr>
      <w:rFonts w:asciiTheme="minorHAnsi" w:eastAsiaTheme="minorEastAsia" w:hAnsiTheme="minorHAnsi"/>
      <w:lang w:eastAsia="en-GB"/>
    </w:rPr>
  </w:style>
  <w:style w:type="paragraph" w:styleId="TOC8">
    <w:name w:val="toc 8"/>
    <w:basedOn w:val="Normal"/>
    <w:next w:val="Normal"/>
    <w:autoRedefine/>
    <w:uiPriority w:val="39"/>
    <w:unhideWhenUsed/>
    <w:rsid w:val="00F9487B"/>
    <w:pPr>
      <w:spacing w:after="100"/>
      <w:ind w:left="1540"/>
    </w:pPr>
    <w:rPr>
      <w:rFonts w:asciiTheme="minorHAnsi" w:eastAsiaTheme="minorEastAsia" w:hAnsiTheme="minorHAnsi"/>
      <w:lang w:eastAsia="en-GB"/>
    </w:rPr>
  </w:style>
  <w:style w:type="character" w:customStyle="1" w:styleId="searchhistory-search-term">
    <w:name w:val="searchhistory-search-term"/>
    <w:basedOn w:val="DefaultParagraphFont"/>
    <w:rsid w:val="00F9487B"/>
  </w:style>
  <w:style w:type="paragraph" w:styleId="CommentSubject">
    <w:name w:val="annotation subject"/>
    <w:basedOn w:val="CommentText"/>
    <w:next w:val="CommentText"/>
    <w:link w:val="CommentSubjectChar"/>
    <w:uiPriority w:val="99"/>
    <w:semiHidden/>
    <w:unhideWhenUsed/>
    <w:rsid w:val="00F9487B"/>
    <w:pPr>
      <w:spacing w:after="200"/>
    </w:pPr>
    <w:rPr>
      <w:b/>
      <w:bCs/>
    </w:rPr>
  </w:style>
  <w:style w:type="character" w:customStyle="1" w:styleId="CommentSubjectChar">
    <w:name w:val="Comment Subject Char"/>
    <w:basedOn w:val="CommentTextChar"/>
    <w:link w:val="CommentSubject"/>
    <w:uiPriority w:val="99"/>
    <w:semiHidden/>
    <w:rsid w:val="00F9487B"/>
    <w:rPr>
      <w:rFonts w:ascii="Arial" w:hAnsi="Arial"/>
      <w:b/>
      <w:bCs/>
      <w:sz w:val="20"/>
      <w:szCs w:val="20"/>
    </w:rPr>
  </w:style>
  <w:style w:type="character" w:styleId="PlaceholderText">
    <w:name w:val="Placeholder Text"/>
    <w:basedOn w:val="DefaultParagraphFont"/>
    <w:uiPriority w:val="99"/>
    <w:semiHidden/>
    <w:rsid w:val="00F9487B"/>
    <w:rPr>
      <w:color w:val="808080"/>
    </w:rPr>
  </w:style>
  <w:style w:type="table" w:customStyle="1" w:styleId="TableGrid2">
    <w:name w:val="Table Grid2"/>
    <w:basedOn w:val="TableNormal"/>
    <w:next w:val="TableGrid"/>
    <w:uiPriority w:val="59"/>
    <w:rsid w:val="00F9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487B"/>
    <w:pPr>
      <w:spacing w:after="0" w:line="240" w:lineRule="auto"/>
    </w:pPr>
    <w:rPr>
      <w:rFonts w:ascii="Arial" w:hAnsi="Arial"/>
    </w:rPr>
  </w:style>
  <w:style w:type="character" w:styleId="Emphasis">
    <w:name w:val="Emphasis"/>
    <w:basedOn w:val="DefaultParagraphFont"/>
    <w:uiPriority w:val="20"/>
    <w:qFormat/>
    <w:rsid w:val="00F948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2034</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5</cp:revision>
  <dcterms:created xsi:type="dcterms:W3CDTF">2015-10-12T16:19:00Z</dcterms:created>
  <dcterms:modified xsi:type="dcterms:W3CDTF">2015-10-12T17:26:00Z</dcterms:modified>
</cp:coreProperties>
</file>