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C74" w:rsidRPr="00A35B63" w:rsidRDefault="00C553AB" w:rsidP="00783C74">
      <w:pPr>
        <w:rPr>
          <w:b/>
        </w:rPr>
      </w:pPr>
      <w:r>
        <w:rPr>
          <w:b/>
        </w:rPr>
        <w:t>Additional file 5</w:t>
      </w:r>
      <w:r w:rsidR="00783C74" w:rsidRPr="00A35B63">
        <w:rPr>
          <w:b/>
        </w:rPr>
        <w:t xml:space="preserve"> </w:t>
      </w:r>
      <w:r>
        <w:rPr>
          <w:b/>
        </w:rPr>
        <w:t xml:space="preserve">- </w:t>
      </w:r>
      <w:r w:rsidR="00783C74" w:rsidRPr="00A35B63">
        <w:rPr>
          <w:b/>
        </w:rPr>
        <w:t>Unadjusted RCT patient report outcome models</w:t>
      </w:r>
    </w:p>
    <w:p w:rsidR="00783C74" w:rsidRDefault="00EC7862" w:rsidP="00783C74">
      <w:pPr>
        <w:spacing w:after="0" w:line="240" w:lineRule="auto"/>
      </w:pPr>
      <w:r w:rsidRPr="00EC7862">
        <w:t>Table S</w:t>
      </w:r>
      <w:r w:rsidR="00C553AB">
        <w:t>5.1</w:t>
      </w:r>
      <w:r w:rsidR="00783C74">
        <w:t>: Unadjusted scores for primary outcome measures</w:t>
      </w:r>
    </w:p>
    <w:tbl>
      <w:tblPr>
        <w:tblStyle w:val="TableGrid"/>
        <w:tblW w:w="14000" w:type="dxa"/>
        <w:tblLayout w:type="fixed"/>
        <w:tblLook w:val="04A0"/>
      </w:tblPr>
      <w:tblGrid>
        <w:gridCol w:w="1559"/>
        <w:gridCol w:w="1853"/>
        <w:gridCol w:w="1621"/>
        <w:gridCol w:w="1615"/>
        <w:gridCol w:w="6"/>
        <w:gridCol w:w="1623"/>
        <w:gridCol w:w="1470"/>
        <w:gridCol w:w="2694"/>
        <w:gridCol w:w="1559"/>
      </w:tblGrid>
      <w:tr w:rsidR="00783C74" w:rsidTr="00C553AB">
        <w:trPr>
          <w:trHeight w:val="679"/>
        </w:trPr>
        <w:tc>
          <w:tcPr>
            <w:tcW w:w="3412" w:type="dxa"/>
            <w:gridSpan w:val="2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3236" w:type="dxa"/>
            <w:gridSpan w:val="2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Mean (SD)</w:t>
            </w:r>
          </w:p>
        </w:tc>
        <w:tc>
          <w:tcPr>
            <w:tcW w:w="3099" w:type="dxa"/>
            <w:gridSpan w:val="3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Change from baseline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Treatment effect* (95% CI), Significance</w:t>
            </w:r>
          </w:p>
          <w:p w:rsidR="00783C74" w:rsidRDefault="00783C74" w:rsidP="00C553AB">
            <w:pPr>
              <w:spacing w:after="0" w:line="240" w:lineRule="auto"/>
            </w:pPr>
            <w:r>
              <w:t>(*Intervention-control)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Effect size (Cohen’s ‘d’); 95% CI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Measure</w:t>
            </w:r>
          </w:p>
        </w:tc>
        <w:tc>
          <w:tcPr>
            <w:tcW w:w="1853" w:type="dxa"/>
          </w:tcPr>
          <w:p w:rsidR="00783C74" w:rsidRDefault="00783C74" w:rsidP="00C553AB">
            <w:pPr>
              <w:spacing w:after="0" w:line="240" w:lineRule="auto"/>
            </w:pPr>
            <w:r>
              <w:t>Time point</w:t>
            </w:r>
          </w:p>
        </w:tc>
        <w:tc>
          <w:tcPr>
            <w:tcW w:w="1621" w:type="dxa"/>
          </w:tcPr>
          <w:p w:rsidR="00783C74" w:rsidRDefault="00783C74" w:rsidP="00C553AB">
            <w:pPr>
              <w:spacing w:after="0" w:line="240" w:lineRule="auto"/>
            </w:pPr>
            <w:r>
              <w:t>Intervention</w:t>
            </w:r>
          </w:p>
        </w:tc>
        <w:tc>
          <w:tcPr>
            <w:tcW w:w="1621" w:type="dxa"/>
            <w:gridSpan w:val="2"/>
          </w:tcPr>
          <w:p w:rsidR="00783C74" w:rsidRDefault="00783C74" w:rsidP="00C553AB">
            <w:pPr>
              <w:spacing w:after="0" w:line="240" w:lineRule="auto"/>
            </w:pPr>
            <w:r>
              <w:t>Control</w:t>
            </w:r>
          </w:p>
        </w:tc>
        <w:tc>
          <w:tcPr>
            <w:tcW w:w="1623" w:type="dxa"/>
          </w:tcPr>
          <w:p w:rsidR="00783C74" w:rsidRDefault="00783C74" w:rsidP="00C553AB">
            <w:pPr>
              <w:spacing w:after="0" w:line="240" w:lineRule="auto"/>
            </w:pPr>
            <w:r>
              <w:t>Intervention</w:t>
            </w:r>
          </w:p>
        </w:tc>
        <w:tc>
          <w:tcPr>
            <w:tcW w:w="1470" w:type="dxa"/>
          </w:tcPr>
          <w:p w:rsidR="00783C74" w:rsidRDefault="00783C74" w:rsidP="00C553AB">
            <w:pPr>
              <w:spacing w:after="0" w:line="240" w:lineRule="auto"/>
            </w:pPr>
            <w:r>
              <w:t>Control</w:t>
            </w:r>
          </w:p>
        </w:tc>
        <w:tc>
          <w:tcPr>
            <w:tcW w:w="2694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59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EQ-5D (utility score)</w:t>
            </w:r>
          </w:p>
        </w:tc>
        <w:tc>
          <w:tcPr>
            <w:tcW w:w="1853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21" w:type="dxa"/>
          </w:tcPr>
          <w:p w:rsidR="00783C74" w:rsidRDefault="00783C74" w:rsidP="00C553AB">
            <w:pPr>
              <w:spacing w:after="0" w:line="240" w:lineRule="auto"/>
            </w:pPr>
            <w:r>
              <w:t>0.53 (0.23)</w:t>
            </w:r>
          </w:p>
        </w:tc>
        <w:tc>
          <w:tcPr>
            <w:tcW w:w="1621" w:type="dxa"/>
            <w:gridSpan w:val="2"/>
          </w:tcPr>
          <w:p w:rsidR="00783C74" w:rsidRDefault="00783C74" w:rsidP="00C553AB">
            <w:pPr>
              <w:spacing w:after="0" w:line="240" w:lineRule="auto"/>
            </w:pPr>
            <w:r>
              <w:t>0.56 (0.27)</w:t>
            </w:r>
          </w:p>
        </w:tc>
        <w:tc>
          <w:tcPr>
            <w:tcW w:w="1623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470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694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59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53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21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0.55 (0.23)</w:t>
            </w:r>
          </w:p>
        </w:tc>
        <w:tc>
          <w:tcPr>
            <w:tcW w:w="1621" w:type="dxa"/>
            <w:gridSpan w:val="2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0.59 (0.23)</w:t>
            </w:r>
          </w:p>
        </w:tc>
        <w:tc>
          <w:tcPr>
            <w:tcW w:w="1623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0.02 (0.18)</w:t>
            </w:r>
          </w:p>
        </w:tc>
        <w:tc>
          <w:tcPr>
            <w:tcW w:w="1470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0.05 (0.17)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-0.04 (-0.13 – 0.06), p=0.44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-0.17 (-0.57 – 0.26)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53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0.54 (0.24)</w:t>
            </w:r>
          </w:p>
        </w:tc>
        <w:tc>
          <w:tcPr>
            <w:tcW w:w="1621" w:type="dxa"/>
            <w:gridSpan w:val="2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0.58 (0.28)</w:t>
            </w:r>
          </w:p>
        </w:tc>
        <w:tc>
          <w:tcPr>
            <w:tcW w:w="1623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0.01 (0.20)</w:t>
            </w:r>
          </w:p>
        </w:tc>
        <w:tc>
          <w:tcPr>
            <w:tcW w:w="1470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0.02 (0.17)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-0.02 (-0.13 – 0.09), p=0.67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-0.08 (-0.50 – 0.35)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EQ5D - AUC</w:t>
            </w:r>
          </w:p>
        </w:tc>
        <w:tc>
          <w:tcPr>
            <w:tcW w:w="1853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21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621" w:type="dxa"/>
            <w:gridSpan w:val="2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623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470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694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59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53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21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0.09 (0.04)</w:t>
            </w:r>
          </w:p>
        </w:tc>
        <w:tc>
          <w:tcPr>
            <w:tcW w:w="1621" w:type="dxa"/>
            <w:gridSpan w:val="2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0.10 (0.04)</w:t>
            </w:r>
          </w:p>
        </w:tc>
        <w:tc>
          <w:tcPr>
            <w:tcW w:w="1623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470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-0.00 (-0.03 – 0.02), p=0.82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0.00 (-0.13 – 0.09)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53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0.24 (0.09)</w:t>
            </w:r>
          </w:p>
        </w:tc>
        <w:tc>
          <w:tcPr>
            <w:tcW w:w="1621" w:type="dxa"/>
            <w:gridSpan w:val="2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0.24 (0.10)</w:t>
            </w:r>
          </w:p>
        </w:tc>
        <w:tc>
          <w:tcPr>
            <w:tcW w:w="1623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470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-0.01 (-0.07 – 0.05), p=0.74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0.10 (-0.27 – 0.19)</w:t>
            </w:r>
          </w:p>
        </w:tc>
      </w:tr>
    </w:tbl>
    <w:p w:rsidR="00783C74" w:rsidRDefault="00783C74" w:rsidP="00783C74">
      <w:pPr>
        <w:spacing w:after="0" w:line="240" w:lineRule="auto"/>
      </w:pPr>
      <w:r>
        <w:t>F/u – Follow up; N/A – Not applicable</w:t>
      </w:r>
    </w:p>
    <w:p w:rsidR="00783C74" w:rsidRDefault="00783C74" w:rsidP="00783C74">
      <w:pPr>
        <w:spacing w:after="0" w:line="240" w:lineRule="auto"/>
      </w:pPr>
    </w:p>
    <w:p w:rsidR="00783C74" w:rsidRDefault="00783C74" w:rsidP="00783C74">
      <w:pPr>
        <w:spacing w:after="200" w:line="276" w:lineRule="auto"/>
      </w:pPr>
      <w:r>
        <w:br w:type="page"/>
      </w:r>
    </w:p>
    <w:p w:rsidR="00783C74" w:rsidRPr="00D90D4C" w:rsidRDefault="00F908AF" w:rsidP="00783C74">
      <w:pPr>
        <w:spacing w:after="0" w:line="240" w:lineRule="auto"/>
        <w:rPr>
          <w:b/>
        </w:rPr>
      </w:pPr>
      <w:r w:rsidRPr="00EC7862">
        <w:lastRenderedPageBreak/>
        <w:t>Table S</w:t>
      </w:r>
      <w:r w:rsidR="00C553AB">
        <w:t>5.2</w:t>
      </w:r>
      <w:r w:rsidR="00783C74">
        <w:t>: Unadjusted scores for primary outcome measures</w:t>
      </w:r>
    </w:p>
    <w:tbl>
      <w:tblPr>
        <w:tblStyle w:val="TableGrid"/>
        <w:tblW w:w="14000" w:type="dxa"/>
        <w:tblLayout w:type="fixed"/>
        <w:tblLook w:val="04A0"/>
      </w:tblPr>
      <w:tblGrid>
        <w:gridCol w:w="1559"/>
        <w:gridCol w:w="1853"/>
        <w:gridCol w:w="1621"/>
        <w:gridCol w:w="1615"/>
        <w:gridCol w:w="6"/>
        <w:gridCol w:w="1623"/>
        <w:gridCol w:w="1470"/>
        <w:gridCol w:w="2694"/>
        <w:gridCol w:w="1559"/>
      </w:tblGrid>
      <w:tr w:rsidR="00783C74" w:rsidRPr="00136B82" w:rsidTr="00C553AB">
        <w:trPr>
          <w:trHeight w:val="679"/>
        </w:trPr>
        <w:tc>
          <w:tcPr>
            <w:tcW w:w="3412" w:type="dxa"/>
            <w:gridSpan w:val="2"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3236" w:type="dxa"/>
            <w:gridSpan w:val="2"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Mean (SD)</w:t>
            </w:r>
          </w:p>
        </w:tc>
        <w:tc>
          <w:tcPr>
            <w:tcW w:w="3099" w:type="dxa"/>
            <w:gridSpan w:val="3"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Change from baseline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Treatment effect* (95% CI), Significance</w:t>
            </w:r>
          </w:p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(*Intervention-control)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Effect size (Cohen’s ‘d’) (95% CI)</w:t>
            </w:r>
          </w:p>
        </w:tc>
      </w:tr>
      <w:tr w:rsidR="00783C74" w:rsidRPr="00136B82" w:rsidTr="00C553AB">
        <w:trPr>
          <w:trHeight w:val="229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Perceived stress scale - overall</w:t>
            </w:r>
          </w:p>
        </w:tc>
        <w:tc>
          <w:tcPr>
            <w:tcW w:w="1853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Baseline</w:t>
            </w:r>
          </w:p>
        </w:tc>
        <w:tc>
          <w:tcPr>
            <w:tcW w:w="1621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21.08 (1.72)</w:t>
            </w:r>
          </w:p>
        </w:tc>
        <w:tc>
          <w:tcPr>
            <w:tcW w:w="1621" w:type="dxa"/>
            <w:gridSpan w:val="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21.96 (1.34)</w:t>
            </w:r>
          </w:p>
        </w:tc>
        <w:tc>
          <w:tcPr>
            <w:tcW w:w="1623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N/A</w:t>
            </w:r>
          </w:p>
        </w:tc>
        <w:tc>
          <w:tcPr>
            <w:tcW w:w="1470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N/A</w:t>
            </w:r>
          </w:p>
        </w:tc>
        <w:tc>
          <w:tcPr>
            <w:tcW w:w="2694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N/A</w:t>
            </w:r>
          </w:p>
        </w:tc>
        <w:tc>
          <w:tcPr>
            <w:tcW w:w="1559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N/A</w:t>
            </w:r>
          </w:p>
        </w:tc>
      </w:tr>
      <w:tr w:rsidR="00783C74" w:rsidRPr="00136B82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853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Post</w:t>
            </w:r>
          </w:p>
        </w:tc>
        <w:tc>
          <w:tcPr>
            <w:tcW w:w="1621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13.50 (7.62)</w:t>
            </w:r>
          </w:p>
        </w:tc>
        <w:tc>
          <w:tcPr>
            <w:tcW w:w="1621" w:type="dxa"/>
            <w:gridSpan w:val="2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21.77 (8.01)</w:t>
            </w:r>
          </w:p>
        </w:tc>
        <w:tc>
          <w:tcPr>
            <w:tcW w:w="1623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tabs>
                <w:tab w:val="center" w:pos="703"/>
              </w:tabs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-7.50 (-8.00)</w:t>
            </w:r>
            <w:r>
              <w:rPr>
                <w:sz w:val="22"/>
              </w:rPr>
              <w:tab/>
            </w:r>
          </w:p>
        </w:tc>
        <w:tc>
          <w:tcPr>
            <w:tcW w:w="1470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-0.32 (-6.27)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-7.34 (-11.44 - -3.23), </w:t>
            </w:r>
            <w:r w:rsidRPr="008348D7">
              <w:rPr>
                <w:b/>
                <w:sz w:val="22"/>
              </w:rPr>
              <w:t>p=&lt;0.01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0.93 (0.41 – 1.44)</w:t>
            </w:r>
          </w:p>
        </w:tc>
      </w:tr>
      <w:tr w:rsidR="00783C74" w:rsidRPr="00136B82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853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F/u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16.05 (7.94)</w:t>
            </w:r>
          </w:p>
        </w:tc>
        <w:tc>
          <w:tcPr>
            <w:tcW w:w="1621" w:type="dxa"/>
            <w:gridSpan w:val="2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18.83 (5.93)</w:t>
            </w:r>
          </w:p>
        </w:tc>
        <w:tc>
          <w:tcPr>
            <w:tcW w:w="1623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-4.40 (7.16)</w:t>
            </w:r>
          </w:p>
        </w:tc>
        <w:tc>
          <w:tcPr>
            <w:tcW w:w="1470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-2.87 (4.60)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-1.51 (-5.04 – 2.20), p=0.39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0.26 (-0.37 – 0.85)</w:t>
            </w:r>
          </w:p>
        </w:tc>
      </w:tr>
      <w:tr w:rsidR="00783C74" w:rsidRPr="00136B82" w:rsidTr="00C553AB">
        <w:trPr>
          <w:trHeight w:val="229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Perceived stress scale – negative stressors</w:t>
            </w:r>
          </w:p>
        </w:tc>
        <w:tc>
          <w:tcPr>
            <w:tcW w:w="1853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Baseline</w:t>
            </w:r>
          </w:p>
        </w:tc>
        <w:tc>
          <w:tcPr>
            <w:tcW w:w="1621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14.56 (6.09)</w:t>
            </w:r>
          </w:p>
        </w:tc>
        <w:tc>
          <w:tcPr>
            <w:tcW w:w="1621" w:type="dxa"/>
            <w:gridSpan w:val="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14.60 (4.97)</w:t>
            </w:r>
          </w:p>
        </w:tc>
        <w:tc>
          <w:tcPr>
            <w:tcW w:w="1623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N/A</w:t>
            </w:r>
          </w:p>
        </w:tc>
        <w:tc>
          <w:tcPr>
            <w:tcW w:w="1470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N/A</w:t>
            </w:r>
          </w:p>
        </w:tc>
        <w:tc>
          <w:tcPr>
            <w:tcW w:w="2694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N/A</w:t>
            </w:r>
          </w:p>
        </w:tc>
        <w:tc>
          <w:tcPr>
            <w:tcW w:w="1559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N/A</w:t>
            </w:r>
          </w:p>
        </w:tc>
      </w:tr>
      <w:tr w:rsidR="00783C74" w:rsidRPr="00136B82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853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Post</w:t>
            </w:r>
          </w:p>
        </w:tc>
        <w:tc>
          <w:tcPr>
            <w:tcW w:w="1621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9.10 (5.26)</w:t>
            </w:r>
          </w:p>
        </w:tc>
        <w:tc>
          <w:tcPr>
            <w:tcW w:w="1621" w:type="dxa"/>
            <w:gridSpan w:val="2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14.23 (5.80)</w:t>
            </w:r>
          </w:p>
        </w:tc>
        <w:tc>
          <w:tcPr>
            <w:tcW w:w="1623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tabs>
                <w:tab w:val="center" w:pos="703"/>
              </w:tabs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-5.00 (5.96)</w:t>
            </w:r>
          </w:p>
        </w:tc>
        <w:tc>
          <w:tcPr>
            <w:tcW w:w="1470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-0.27 (4.76)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-4.92 (-7.86 - -1.98), </w:t>
            </w:r>
            <w:r w:rsidRPr="003E49F9">
              <w:rPr>
                <w:b/>
                <w:sz w:val="22"/>
              </w:rPr>
              <w:t>p&lt;0.05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0.85 (0.34 – 1.35)</w:t>
            </w:r>
          </w:p>
        </w:tc>
      </w:tr>
      <w:tr w:rsidR="00783C74" w:rsidRPr="00136B82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853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F/u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10.15 (6.55)</w:t>
            </w:r>
          </w:p>
        </w:tc>
        <w:tc>
          <w:tcPr>
            <w:tcW w:w="1621" w:type="dxa"/>
            <w:gridSpan w:val="2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11.48 (5.30)</w:t>
            </w:r>
          </w:p>
        </w:tc>
        <w:tc>
          <w:tcPr>
            <w:tcW w:w="1623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-3.75 (5.81)</w:t>
            </w:r>
          </w:p>
        </w:tc>
        <w:tc>
          <w:tcPr>
            <w:tcW w:w="1470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-3.13 (3.60)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-0.84 (-3.60 – 1.92), p=0.54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0.14 (-0.33 – 0.62)</w:t>
            </w:r>
          </w:p>
        </w:tc>
      </w:tr>
      <w:tr w:rsidR="00783C74" w:rsidRPr="00136B82" w:rsidTr="00C553AB">
        <w:trPr>
          <w:trHeight w:val="229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Perceived stress scale – stress resilience</w:t>
            </w:r>
          </w:p>
        </w:tc>
        <w:tc>
          <w:tcPr>
            <w:tcW w:w="1853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Baseline</w:t>
            </w:r>
          </w:p>
        </w:tc>
        <w:tc>
          <w:tcPr>
            <w:tcW w:w="1621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6.79 (2.82)</w:t>
            </w:r>
          </w:p>
        </w:tc>
        <w:tc>
          <w:tcPr>
            <w:tcW w:w="1621" w:type="dxa"/>
            <w:gridSpan w:val="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7.36 (2.72)</w:t>
            </w:r>
          </w:p>
        </w:tc>
        <w:tc>
          <w:tcPr>
            <w:tcW w:w="1623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N/A</w:t>
            </w:r>
          </w:p>
        </w:tc>
        <w:tc>
          <w:tcPr>
            <w:tcW w:w="1470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N/A</w:t>
            </w:r>
          </w:p>
        </w:tc>
        <w:tc>
          <w:tcPr>
            <w:tcW w:w="2694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N/A</w:t>
            </w:r>
          </w:p>
        </w:tc>
        <w:tc>
          <w:tcPr>
            <w:tcW w:w="1559" w:type="dxa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N/A</w:t>
            </w:r>
          </w:p>
        </w:tc>
      </w:tr>
      <w:tr w:rsidR="00783C74" w:rsidRPr="00136B82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853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Post</w:t>
            </w:r>
          </w:p>
        </w:tc>
        <w:tc>
          <w:tcPr>
            <w:tcW w:w="1621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4.40 (2.58)</w:t>
            </w:r>
          </w:p>
        </w:tc>
        <w:tc>
          <w:tcPr>
            <w:tcW w:w="1621" w:type="dxa"/>
            <w:gridSpan w:val="2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7.54 (2.91)</w:t>
            </w:r>
          </w:p>
        </w:tc>
        <w:tc>
          <w:tcPr>
            <w:tcW w:w="1623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tabs>
                <w:tab w:val="center" w:pos="703"/>
              </w:tabs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2.50 (2.48)</w:t>
            </w:r>
          </w:p>
        </w:tc>
        <w:tc>
          <w:tcPr>
            <w:tcW w:w="1470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0.04 (2.64)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-2.75 (-4.21 - -1.30), </w:t>
            </w:r>
            <w:r w:rsidRPr="003E49F9">
              <w:rPr>
                <w:b/>
                <w:sz w:val="22"/>
              </w:rPr>
              <w:t>p&lt;0.001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0.98 (0.46 – 1.49)</w:t>
            </w:r>
          </w:p>
        </w:tc>
      </w:tr>
      <w:tr w:rsidR="00783C74" w:rsidRPr="00136B82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853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 w:rsidRPr="00136B82">
              <w:rPr>
                <w:sz w:val="22"/>
              </w:rPr>
              <w:t>F/u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5.90 (1.92)</w:t>
            </w:r>
          </w:p>
        </w:tc>
        <w:tc>
          <w:tcPr>
            <w:tcW w:w="1621" w:type="dxa"/>
            <w:gridSpan w:val="2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7.34 (1.72)</w:t>
            </w:r>
          </w:p>
        </w:tc>
        <w:tc>
          <w:tcPr>
            <w:tcW w:w="1623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0.65 (2.28)</w:t>
            </w:r>
          </w:p>
        </w:tc>
        <w:tc>
          <w:tcPr>
            <w:tcW w:w="1470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0.26 (2.78)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-1.31 (-2.73 - -0.25), </w:t>
            </w:r>
            <w:r w:rsidRPr="003E49F9">
              <w:rPr>
                <w:b/>
                <w:sz w:val="22"/>
              </w:rPr>
              <w:t>p&lt;0.05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783C74" w:rsidRPr="00136B82" w:rsidRDefault="00783C74" w:rsidP="00C553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0.51 (0.10 – 1.06)</w:t>
            </w:r>
          </w:p>
        </w:tc>
      </w:tr>
    </w:tbl>
    <w:p w:rsidR="00783C74" w:rsidRDefault="00783C74" w:rsidP="00783C74">
      <w:pPr>
        <w:spacing w:after="0" w:line="240" w:lineRule="auto"/>
      </w:pPr>
      <w:r>
        <w:t>F/u – Follow up; N/A – Not applicable</w:t>
      </w:r>
    </w:p>
    <w:p w:rsidR="00783C74" w:rsidRDefault="00783C74" w:rsidP="00783C74">
      <w:pPr>
        <w:spacing w:after="0" w:line="240" w:lineRule="auto"/>
      </w:pPr>
    </w:p>
    <w:p w:rsidR="00783C74" w:rsidRDefault="00783C74" w:rsidP="00783C74">
      <w:pPr>
        <w:spacing w:after="0" w:line="240" w:lineRule="auto"/>
      </w:pPr>
      <w:r>
        <w:br w:type="page"/>
      </w:r>
    </w:p>
    <w:p w:rsidR="00783C74" w:rsidRDefault="00F908AF" w:rsidP="00783C74">
      <w:pPr>
        <w:spacing w:after="0" w:line="240" w:lineRule="auto"/>
      </w:pPr>
      <w:r w:rsidRPr="00EC7862">
        <w:t>Table S</w:t>
      </w:r>
      <w:r w:rsidR="00C962A2">
        <w:t>5</w:t>
      </w:r>
      <w:r w:rsidR="00C553AB">
        <w:t>.</w:t>
      </w:r>
      <w:r w:rsidR="00C962A2">
        <w:t>3</w:t>
      </w:r>
      <w:r w:rsidR="00783C74">
        <w:t>: Unadjusted scores for Multiple Sclerosis Quality of Life Inventory</w:t>
      </w:r>
    </w:p>
    <w:tbl>
      <w:tblPr>
        <w:tblStyle w:val="TableGrid"/>
        <w:tblW w:w="13978" w:type="dxa"/>
        <w:tblLayout w:type="fixed"/>
        <w:tblLook w:val="04A0"/>
      </w:tblPr>
      <w:tblGrid>
        <w:gridCol w:w="1559"/>
        <w:gridCol w:w="1849"/>
        <w:gridCol w:w="1617"/>
        <w:gridCol w:w="1619"/>
        <w:gridCol w:w="1618"/>
        <w:gridCol w:w="1387"/>
        <w:gridCol w:w="2797"/>
        <w:gridCol w:w="1532"/>
      </w:tblGrid>
      <w:tr w:rsidR="00783C74" w:rsidTr="00C553AB">
        <w:trPr>
          <w:trHeight w:val="419"/>
        </w:trPr>
        <w:tc>
          <w:tcPr>
            <w:tcW w:w="3408" w:type="dxa"/>
            <w:gridSpan w:val="2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3236" w:type="dxa"/>
            <w:gridSpan w:val="2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Mean (SD)</w:t>
            </w:r>
          </w:p>
        </w:tc>
        <w:tc>
          <w:tcPr>
            <w:tcW w:w="3005" w:type="dxa"/>
            <w:gridSpan w:val="2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Change from baseline</w:t>
            </w:r>
          </w:p>
        </w:tc>
        <w:tc>
          <w:tcPr>
            <w:tcW w:w="2797" w:type="dxa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Treatment effect* (95% CI), Significance</w:t>
            </w:r>
          </w:p>
          <w:p w:rsidR="00783C74" w:rsidRDefault="00783C74" w:rsidP="00C553AB">
            <w:pPr>
              <w:spacing w:after="0" w:line="240" w:lineRule="auto"/>
            </w:pPr>
            <w:r>
              <w:t>(*Intervention-control)</w:t>
            </w:r>
          </w:p>
        </w:tc>
        <w:tc>
          <w:tcPr>
            <w:tcW w:w="1532" w:type="dxa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Effect size (Cohen’s ‘d’); 95% CI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Measure</w:t>
            </w:r>
          </w:p>
        </w:tc>
        <w:tc>
          <w:tcPr>
            <w:tcW w:w="1849" w:type="dxa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617" w:type="dxa"/>
          </w:tcPr>
          <w:p w:rsidR="00783C74" w:rsidRDefault="00783C74" w:rsidP="00C553AB">
            <w:pPr>
              <w:spacing w:after="0" w:line="240" w:lineRule="auto"/>
            </w:pPr>
            <w:r>
              <w:t>Intervention</w:t>
            </w:r>
          </w:p>
        </w:tc>
        <w:tc>
          <w:tcPr>
            <w:tcW w:w="1619" w:type="dxa"/>
          </w:tcPr>
          <w:p w:rsidR="00783C74" w:rsidRDefault="00783C74" w:rsidP="00C553AB">
            <w:pPr>
              <w:spacing w:after="0" w:line="240" w:lineRule="auto"/>
            </w:pPr>
            <w:r>
              <w:t>Control</w:t>
            </w:r>
          </w:p>
        </w:tc>
        <w:tc>
          <w:tcPr>
            <w:tcW w:w="1618" w:type="dxa"/>
          </w:tcPr>
          <w:p w:rsidR="00783C74" w:rsidRDefault="00783C74" w:rsidP="00C553AB">
            <w:pPr>
              <w:spacing w:after="0" w:line="240" w:lineRule="auto"/>
            </w:pPr>
            <w:r>
              <w:t>Intervention</w:t>
            </w:r>
          </w:p>
        </w:tc>
        <w:tc>
          <w:tcPr>
            <w:tcW w:w="1387" w:type="dxa"/>
          </w:tcPr>
          <w:p w:rsidR="00783C74" w:rsidRDefault="00783C74" w:rsidP="00C553AB">
            <w:pPr>
              <w:spacing w:after="0" w:line="240" w:lineRule="auto"/>
            </w:pPr>
            <w:r>
              <w:t>Control</w:t>
            </w:r>
          </w:p>
        </w:tc>
        <w:tc>
          <w:tcPr>
            <w:tcW w:w="2797" w:type="dxa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532" w:type="dxa"/>
          </w:tcPr>
          <w:p w:rsidR="00783C74" w:rsidRPr="0001047C" w:rsidRDefault="00783C74" w:rsidP="00C553AB">
            <w:pPr>
              <w:spacing w:after="0" w:line="240" w:lineRule="auto"/>
            </w:pPr>
          </w:p>
        </w:tc>
      </w:tr>
      <w:tr w:rsidR="00783C74" w:rsidTr="00C553AB">
        <w:trPr>
          <w:trHeight w:val="273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MFIS</w:t>
            </w:r>
          </w:p>
        </w:tc>
        <w:tc>
          <w:tcPr>
            <w:tcW w:w="1849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17" w:type="dxa"/>
          </w:tcPr>
          <w:p w:rsidR="00783C74" w:rsidRDefault="00783C74" w:rsidP="00C553AB">
            <w:pPr>
              <w:spacing w:after="0" w:line="240" w:lineRule="auto"/>
            </w:pPr>
            <w:r>
              <w:t>53.21 (18.68)</w:t>
            </w:r>
          </w:p>
        </w:tc>
        <w:tc>
          <w:tcPr>
            <w:tcW w:w="1619" w:type="dxa"/>
          </w:tcPr>
          <w:p w:rsidR="00783C74" w:rsidRDefault="00783C74" w:rsidP="00C553AB">
            <w:pPr>
              <w:spacing w:after="0" w:line="240" w:lineRule="auto"/>
            </w:pPr>
            <w:r>
              <w:t>54.26 (16.77)</w:t>
            </w:r>
          </w:p>
        </w:tc>
        <w:tc>
          <w:tcPr>
            <w:tcW w:w="1618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38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79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32" w:type="dxa"/>
          </w:tcPr>
          <w:p w:rsidR="00783C74" w:rsidRPr="0001047C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1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38.47 (19.84)</w:t>
            </w:r>
          </w:p>
        </w:tc>
        <w:tc>
          <w:tcPr>
            <w:tcW w:w="161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49.91 (17.19)</w:t>
            </w:r>
          </w:p>
        </w:tc>
        <w:tc>
          <w:tcPr>
            <w:tcW w:w="1618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-13.33 (14.56)</w:t>
            </w:r>
          </w:p>
        </w:tc>
        <w:tc>
          <w:tcPr>
            <w:tcW w:w="138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-4.18 (10.87)</w:t>
            </w:r>
          </w:p>
        </w:tc>
        <w:tc>
          <w:tcPr>
            <w:tcW w:w="279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 xml:space="preserve">-9.46 (-17.24 - -1.67), </w:t>
            </w:r>
            <w:r w:rsidRPr="0090566C">
              <w:rPr>
                <w:b/>
              </w:rPr>
              <w:t>p&lt;0.05</w:t>
            </w:r>
          </w:p>
        </w:tc>
        <w:tc>
          <w:tcPr>
            <w:tcW w:w="1532" w:type="dxa"/>
            <w:shd w:val="clear" w:color="auto" w:fill="DBE5F1" w:themeFill="accent1" w:themeFillTint="33"/>
          </w:tcPr>
          <w:p w:rsidR="00783C74" w:rsidRPr="0001047C" w:rsidRDefault="00783C74" w:rsidP="00C553AB">
            <w:pPr>
              <w:spacing w:after="0" w:line="240" w:lineRule="auto"/>
            </w:pPr>
            <w:r w:rsidRPr="0001047C">
              <w:t>0.71</w:t>
            </w:r>
            <w:r>
              <w:t xml:space="preserve"> (0.13 – 1.29)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1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42.95 (18.58)</w:t>
            </w:r>
          </w:p>
        </w:tc>
        <w:tc>
          <w:tcPr>
            <w:tcW w:w="161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50.00 (15.54)</w:t>
            </w:r>
          </w:p>
        </w:tc>
        <w:tc>
          <w:tcPr>
            <w:tcW w:w="1618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-9.5 (14.58)</w:t>
            </w:r>
          </w:p>
        </w:tc>
        <w:tc>
          <w:tcPr>
            <w:tcW w:w="138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-3.91 (11.15)</w:t>
            </w:r>
          </w:p>
        </w:tc>
        <w:tc>
          <w:tcPr>
            <w:tcW w:w="279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-5.72 (-13.10 – 1.66), p=0.13</w:t>
            </w:r>
          </w:p>
        </w:tc>
        <w:tc>
          <w:tcPr>
            <w:tcW w:w="1532" w:type="dxa"/>
            <w:shd w:val="clear" w:color="auto" w:fill="B8CCE4" w:themeFill="accent1" w:themeFillTint="66"/>
          </w:tcPr>
          <w:p w:rsidR="00783C74" w:rsidRPr="0001047C" w:rsidRDefault="00783C74" w:rsidP="00C553AB">
            <w:pPr>
              <w:spacing w:after="0" w:line="240" w:lineRule="auto"/>
            </w:pPr>
            <w:r>
              <w:t>0.44 (-1.00 - -0.13)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MHI</w:t>
            </w:r>
          </w:p>
        </w:tc>
        <w:tc>
          <w:tcPr>
            <w:tcW w:w="1849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17" w:type="dxa"/>
          </w:tcPr>
          <w:p w:rsidR="00783C74" w:rsidRDefault="00783C74" w:rsidP="00C553AB">
            <w:pPr>
              <w:spacing w:after="0" w:line="240" w:lineRule="auto"/>
            </w:pPr>
            <w:r>
              <w:t>68.92 (17.48)</w:t>
            </w:r>
          </w:p>
        </w:tc>
        <w:tc>
          <w:tcPr>
            <w:tcW w:w="1619" w:type="dxa"/>
          </w:tcPr>
          <w:p w:rsidR="00783C74" w:rsidRDefault="00783C74" w:rsidP="00C553AB">
            <w:pPr>
              <w:spacing w:after="0" w:line="240" w:lineRule="auto"/>
            </w:pPr>
            <w:r>
              <w:t>67.45 (16.87)</w:t>
            </w:r>
          </w:p>
        </w:tc>
        <w:tc>
          <w:tcPr>
            <w:tcW w:w="1618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38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79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32" w:type="dxa"/>
          </w:tcPr>
          <w:p w:rsidR="00783C74" w:rsidRPr="0001047C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1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83.52 (14.18)</w:t>
            </w:r>
          </w:p>
        </w:tc>
        <w:tc>
          <w:tcPr>
            <w:tcW w:w="161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74.22 (16.53)</w:t>
            </w:r>
          </w:p>
        </w:tc>
        <w:tc>
          <w:tcPr>
            <w:tcW w:w="1618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  <w:jc w:val="center"/>
            </w:pPr>
            <w:r>
              <w:t>13.43 (13.65)</w:t>
            </w:r>
          </w:p>
        </w:tc>
        <w:tc>
          <w:tcPr>
            <w:tcW w:w="138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6.10 (13.00)</w:t>
            </w:r>
          </w:p>
        </w:tc>
        <w:tc>
          <w:tcPr>
            <w:tcW w:w="279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 xml:space="preserve">8.38 (1.09 - 15.68), </w:t>
            </w:r>
            <w:r w:rsidRPr="0090566C">
              <w:rPr>
                <w:b/>
              </w:rPr>
              <w:t>p&lt;0.01</w:t>
            </w:r>
          </w:p>
        </w:tc>
        <w:tc>
          <w:tcPr>
            <w:tcW w:w="1532" w:type="dxa"/>
            <w:shd w:val="clear" w:color="auto" w:fill="DBE5F1" w:themeFill="accent1" w:themeFillTint="33"/>
          </w:tcPr>
          <w:p w:rsidR="00783C74" w:rsidRPr="0001047C" w:rsidRDefault="00783C74" w:rsidP="00C553AB">
            <w:pPr>
              <w:spacing w:after="0" w:line="240" w:lineRule="auto"/>
            </w:pPr>
            <w:r>
              <w:t>0.61 (0.08 – 1.15)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1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78.29 (19.60)</w:t>
            </w:r>
          </w:p>
        </w:tc>
        <w:tc>
          <w:tcPr>
            <w:tcW w:w="161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73.41 (17.08)</w:t>
            </w:r>
          </w:p>
        </w:tc>
        <w:tc>
          <w:tcPr>
            <w:tcW w:w="1618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8.19 (18.44)</w:t>
            </w:r>
          </w:p>
        </w:tc>
        <w:tc>
          <w:tcPr>
            <w:tcW w:w="138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6.25 (8.73)</w:t>
            </w:r>
          </w:p>
        </w:tc>
        <w:tc>
          <w:tcPr>
            <w:tcW w:w="279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2.40 (-6.46 – 11.26), p=0.59</w:t>
            </w:r>
          </w:p>
        </w:tc>
        <w:tc>
          <w:tcPr>
            <w:tcW w:w="1532" w:type="dxa"/>
            <w:shd w:val="clear" w:color="auto" w:fill="B8CCE4" w:themeFill="accent1" w:themeFillTint="66"/>
          </w:tcPr>
          <w:p w:rsidR="00783C74" w:rsidRPr="0001047C" w:rsidRDefault="00783C74" w:rsidP="00C553AB">
            <w:pPr>
              <w:spacing w:after="0" w:line="240" w:lineRule="auto"/>
            </w:pPr>
            <w:r>
              <w:t>0.17 (-0.44 – 1.09)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PDQ</w:t>
            </w:r>
          </w:p>
        </w:tc>
        <w:tc>
          <w:tcPr>
            <w:tcW w:w="1849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17" w:type="dxa"/>
          </w:tcPr>
          <w:p w:rsidR="00783C74" w:rsidRDefault="00783C74" w:rsidP="00C553AB">
            <w:pPr>
              <w:spacing w:after="0" w:line="240" w:lineRule="auto"/>
            </w:pPr>
            <w:r>
              <w:t>38.48 (16.24)</w:t>
            </w:r>
          </w:p>
        </w:tc>
        <w:tc>
          <w:tcPr>
            <w:tcW w:w="1619" w:type="dxa"/>
          </w:tcPr>
          <w:p w:rsidR="00783C74" w:rsidRDefault="00783C74" w:rsidP="00C553AB">
            <w:pPr>
              <w:spacing w:after="0" w:line="240" w:lineRule="auto"/>
            </w:pPr>
            <w:r>
              <w:t>39.04 (14.36)</w:t>
            </w:r>
          </w:p>
        </w:tc>
        <w:tc>
          <w:tcPr>
            <w:tcW w:w="1618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38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79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32" w:type="dxa"/>
          </w:tcPr>
          <w:p w:rsidR="00783C74" w:rsidRPr="0001047C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1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29.05 (12.31)</w:t>
            </w:r>
          </w:p>
        </w:tc>
        <w:tc>
          <w:tcPr>
            <w:tcW w:w="161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34.32 (14.81)</w:t>
            </w:r>
          </w:p>
        </w:tc>
        <w:tc>
          <w:tcPr>
            <w:tcW w:w="1618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-9.00 (12.98)</w:t>
            </w:r>
          </w:p>
        </w:tc>
        <w:tc>
          <w:tcPr>
            <w:tcW w:w="138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-4.10 (8.77)</w:t>
            </w:r>
          </w:p>
        </w:tc>
        <w:tc>
          <w:tcPr>
            <w:tcW w:w="279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-5.02 (-11.27 – 1.23), p=0.11</w:t>
            </w:r>
          </w:p>
        </w:tc>
        <w:tc>
          <w:tcPr>
            <w:tcW w:w="1532" w:type="dxa"/>
            <w:shd w:val="clear" w:color="auto" w:fill="DBE5F1" w:themeFill="accent1" w:themeFillTint="33"/>
          </w:tcPr>
          <w:p w:rsidR="00783C74" w:rsidRPr="0001047C" w:rsidRDefault="00783C74" w:rsidP="00C553AB">
            <w:pPr>
              <w:spacing w:after="0" w:line="240" w:lineRule="auto"/>
            </w:pPr>
            <w:r>
              <w:t>0.46 (0.11- 1.03)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1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33.18 (16.94)</w:t>
            </w:r>
          </w:p>
        </w:tc>
        <w:tc>
          <w:tcPr>
            <w:tcW w:w="161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35.23 (14.65)</w:t>
            </w:r>
          </w:p>
        </w:tc>
        <w:tc>
          <w:tcPr>
            <w:tcW w:w="1618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-5.47 (7.16)</w:t>
            </w:r>
          </w:p>
        </w:tc>
        <w:tc>
          <w:tcPr>
            <w:tcW w:w="138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-2.29 (7.71)</w:t>
            </w:r>
          </w:p>
        </w:tc>
        <w:tc>
          <w:tcPr>
            <w:tcW w:w="279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-2.93 (-8.00 – 2.12), p=0.25</w:t>
            </w:r>
          </w:p>
        </w:tc>
        <w:tc>
          <w:tcPr>
            <w:tcW w:w="1532" w:type="dxa"/>
            <w:shd w:val="clear" w:color="auto" w:fill="B8CCE4" w:themeFill="accent1" w:themeFillTint="66"/>
          </w:tcPr>
          <w:p w:rsidR="00783C74" w:rsidRPr="0001047C" w:rsidRDefault="00783C74" w:rsidP="00C553AB">
            <w:pPr>
              <w:spacing w:after="0" w:line="240" w:lineRule="auto"/>
            </w:pPr>
            <w:r>
              <w:t>0.38 (0.28 – 1.05)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MSSS</w:t>
            </w:r>
          </w:p>
        </w:tc>
        <w:tc>
          <w:tcPr>
            <w:tcW w:w="1849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17" w:type="dxa"/>
          </w:tcPr>
          <w:p w:rsidR="00783C74" w:rsidRDefault="00783C74" w:rsidP="00C553AB">
            <w:pPr>
              <w:spacing w:after="0" w:line="240" w:lineRule="auto"/>
            </w:pPr>
            <w:r>
              <w:t>44.61 (25.05)</w:t>
            </w:r>
          </w:p>
        </w:tc>
        <w:tc>
          <w:tcPr>
            <w:tcW w:w="1619" w:type="dxa"/>
          </w:tcPr>
          <w:p w:rsidR="00783C74" w:rsidRDefault="00783C74" w:rsidP="00C553AB">
            <w:pPr>
              <w:spacing w:after="0" w:line="240" w:lineRule="auto"/>
            </w:pPr>
            <w:r>
              <w:t>43.12 (20.74)</w:t>
            </w:r>
          </w:p>
        </w:tc>
        <w:tc>
          <w:tcPr>
            <w:tcW w:w="1618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38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79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32" w:type="dxa"/>
          </w:tcPr>
          <w:p w:rsidR="00783C74" w:rsidRPr="0001047C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1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45.60 (26.93)</w:t>
            </w:r>
          </w:p>
        </w:tc>
        <w:tc>
          <w:tcPr>
            <w:tcW w:w="161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41.45 (17.01)</w:t>
            </w:r>
          </w:p>
        </w:tc>
        <w:tc>
          <w:tcPr>
            <w:tcW w:w="1618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-3.83 (10.62)</w:t>
            </w:r>
          </w:p>
        </w:tc>
        <w:tc>
          <w:tcPr>
            <w:tcW w:w="138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-0.18 (15.69)</w:t>
            </w:r>
          </w:p>
        </w:tc>
        <w:tc>
          <w:tcPr>
            <w:tcW w:w="279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-1.90 (-10.08 – 6.28), p=0.64</w:t>
            </w:r>
          </w:p>
        </w:tc>
        <w:tc>
          <w:tcPr>
            <w:tcW w:w="1532" w:type="dxa"/>
            <w:shd w:val="clear" w:color="auto" w:fill="DBE5F1" w:themeFill="accent1" w:themeFillTint="33"/>
          </w:tcPr>
          <w:p w:rsidR="00783C74" w:rsidRPr="0001047C" w:rsidRDefault="00783C74" w:rsidP="00C553AB">
            <w:pPr>
              <w:spacing w:after="0" w:line="240" w:lineRule="auto"/>
            </w:pPr>
            <w:r>
              <w:t>0.14 (-0.74 – 0.46)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1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44.00 (25.40)</w:t>
            </w:r>
          </w:p>
        </w:tc>
        <w:tc>
          <w:tcPr>
            <w:tcW w:w="161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45.27 (21.36)</w:t>
            </w:r>
          </w:p>
        </w:tc>
        <w:tc>
          <w:tcPr>
            <w:tcW w:w="1618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-6.56 (8.99)</w:t>
            </w:r>
          </w:p>
        </w:tc>
        <w:tc>
          <w:tcPr>
            <w:tcW w:w="138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2.45 (16.98)</w:t>
            </w:r>
          </w:p>
        </w:tc>
        <w:tc>
          <w:tcPr>
            <w:tcW w:w="279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-7.76 (-16.28 – 0.76), p=0.07</w:t>
            </w:r>
          </w:p>
        </w:tc>
        <w:tc>
          <w:tcPr>
            <w:tcW w:w="1532" w:type="dxa"/>
            <w:shd w:val="clear" w:color="auto" w:fill="B8CCE4" w:themeFill="accent1" w:themeFillTint="66"/>
          </w:tcPr>
          <w:p w:rsidR="00783C74" w:rsidRPr="0001047C" w:rsidRDefault="00783C74" w:rsidP="00C553AB">
            <w:pPr>
              <w:spacing w:after="0" w:line="240" w:lineRule="auto"/>
            </w:pPr>
            <w:r>
              <w:t>0.53 (-1.12 – 0.05)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PES</w:t>
            </w:r>
          </w:p>
        </w:tc>
        <w:tc>
          <w:tcPr>
            <w:tcW w:w="1849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17" w:type="dxa"/>
          </w:tcPr>
          <w:p w:rsidR="00783C74" w:rsidRDefault="00783C74" w:rsidP="00C553AB">
            <w:pPr>
              <w:spacing w:after="0" w:line="240" w:lineRule="auto"/>
            </w:pPr>
            <w:r>
              <w:t>17.76 (5.75)</w:t>
            </w:r>
          </w:p>
        </w:tc>
        <w:tc>
          <w:tcPr>
            <w:tcW w:w="1619" w:type="dxa"/>
          </w:tcPr>
          <w:p w:rsidR="00783C74" w:rsidRDefault="00783C74" w:rsidP="00C553AB">
            <w:pPr>
              <w:spacing w:after="0" w:line="240" w:lineRule="auto"/>
            </w:pPr>
            <w:r>
              <w:t>18.17 (6.04)</w:t>
            </w:r>
          </w:p>
        </w:tc>
        <w:tc>
          <w:tcPr>
            <w:tcW w:w="1618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38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79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32" w:type="dxa"/>
          </w:tcPr>
          <w:p w:rsidR="00783C74" w:rsidRPr="0001047C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1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14.29 (4.71)</w:t>
            </w:r>
          </w:p>
        </w:tc>
        <w:tc>
          <w:tcPr>
            <w:tcW w:w="161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17.00 (5.65)</w:t>
            </w:r>
          </w:p>
        </w:tc>
        <w:tc>
          <w:tcPr>
            <w:tcW w:w="1618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-2.90 (4.13)</w:t>
            </w:r>
          </w:p>
        </w:tc>
        <w:tc>
          <w:tcPr>
            <w:tcW w:w="138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-1.18 (5.48)</w:t>
            </w:r>
          </w:p>
        </w:tc>
        <w:tc>
          <w:tcPr>
            <w:tcW w:w="279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-2.09 (-4.62 – 0.45), p=0.11</w:t>
            </w:r>
          </w:p>
        </w:tc>
        <w:tc>
          <w:tcPr>
            <w:tcW w:w="1532" w:type="dxa"/>
            <w:shd w:val="clear" w:color="auto" w:fill="DBE5F1" w:themeFill="accent1" w:themeFillTint="33"/>
          </w:tcPr>
          <w:p w:rsidR="00783C74" w:rsidRPr="0001047C" w:rsidRDefault="00783C74" w:rsidP="00C553AB">
            <w:pPr>
              <w:spacing w:after="0" w:line="240" w:lineRule="auto"/>
            </w:pPr>
            <w:r>
              <w:t>-0.43 (-0.94 – 0.09)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1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14.48 (5.73)</w:t>
            </w:r>
          </w:p>
        </w:tc>
        <w:tc>
          <w:tcPr>
            <w:tcW w:w="161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17.22 (5.69)</w:t>
            </w:r>
          </w:p>
        </w:tc>
        <w:tc>
          <w:tcPr>
            <w:tcW w:w="1618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-2.71 (4.82)</w:t>
            </w:r>
          </w:p>
        </w:tc>
        <w:tc>
          <w:tcPr>
            <w:tcW w:w="138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-1.00 (4.70)</w:t>
            </w:r>
          </w:p>
        </w:tc>
        <w:tc>
          <w:tcPr>
            <w:tcW w:w="279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-1.96 (-4.60 – 0.67), p=0.14</w:t>
            </w:r>
          </w:p>
        </w:tc>
        <w:tc>
          <w:tcPr>
            <w:tcW w:w="1532" w:type="dxa"/>
            <w:shd w:val="clear" w:color="auto" w:fill="B8CCE4" w:themeFill="accent1" w:themeFillTint="66"/>
          </w:tcPr>
          <w:p w:rsidR="00783C74" w:rsidRPr="0001047C" w:rsidRDefault="00783C74" w:rsidP="00C553AB">
            <w:pPr>
              <w:spacing w:after="0" w:line="240" w:lineRule="auto"/>
            </w:pPr>
            <w:r>
              <w:t>-0.41 (-0.96 – 0.14)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IVIS</w:t>
            </w:r>
          </w:p>
        </w:tc>
        <w:tc>
          <w:tcPr>
            <w:tcW w:w="1849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17" w:type="dxa"/>
          </w:tcPr>
          <w:p w:rsidR="00783C74" w:rsidRDefault="00783C74" w:rsidP="00C553AB">
            <w:pPr>
              <w:spacing w:after="0" w:line="240" w:lineRule="auto"/>
            </w:pPr>
            <w:r>
              <w:t>7.08 (3.29)</w:t>
            </w:r>
          </w:p>
        </w:tc>
        <w:tc>
          <w:tcPr>
            <w:tcW w:w="1619" w:type="dxa"/>
          </w:tcPr>
          <w:p w:rsidR="00783C74" w:rsidRDefault="00783C74" w:rsidP="00C553AB">
            <w:pPr>
              <w:spacing w:after="0" w:line="240" w:lineRule="auto"/>
            </w:pPr>
            <w:r>
              <w:t>7.54 (3.64)</w:t>
            </w:r>
          </w:p>
        </w:tc>
        <w:tc>
          <w:tcPr>
            <w:tcW w:w="1618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38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79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32" w:type="dxa"/>
          </w:tcPr>
          <w:p w:rsidR="00783C74" w:rsidRPr="0001047C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1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6.55 (2.52)</w:t>
            </w:r>
          </w:p>
        </w:tc>
        <w:tc>
          <w:tcPr>
            <w:tcW w:w="161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7.37 (3.12)</w:t>
            </w:r>
          </w:p>
        </w:tc>
        <w:tc>
          <w:tcPr>
            <w:tcW w:w="1618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-0.85 (3.36)</w:t>
            </w:r>
          </w:p>
        </w:tc>
        <w:tc>
          <w:tcPr>
            <w:tcW w:w="138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-0.22 (3.16)</w:t>
            </w:r>
          </w:p>
        </w:tc>
        <w:tc>
          <w:tcPr>
            <w:tcW w:w="279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-0.78 (-2.32 – 0.76), p=0.31</w:t>
            </w:r>
          </w:p>
        </w:tc>
        <w:tc>
          <w:tcPr>
            <w:tcW w:w="1532" w:type="dxa"/>
            <w:shd w:val="clear" w:color="auto" w:fill="DBE5F1" w:themeFill="accent1" w:themeFillTint="33"/>
          </w:tcPr>
          <w:p w:rsidR="00783C74" w:rsidRPr="0001047C" w:rsidRDefault="00783C74" w:rsidP="00C553AB">
            <w:pPr>
              <w:spacing w:after="0" w:line="240" w:lineRule="auto"/>
            </w:pPr>
            <w:r>
              <w:t>-0.24 (-0.72 – 0.24)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1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6.90 (2.77)</w:t>
            </w:r>
          </w:p>
        </w:tc>
        <w:tc>
          <w:tcPr>
            <w:tcW w:w="161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7.47 (3.30)</w:t>
            </w:r>
          </w:p>
        </w:tc>
        <w:tc>
          <w:tcPr>
            <w:tcW w:w="1618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-0.38 (3.14)</w:t>
            </w:r>
          </w:p>
        </w:tc>
        <w:tc>
          <w:tcPr>
            <w:tcW w:w="138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-0.41 (3.23)</w:t>
            </w:r>
          </w:p>
        </w:tc>
        <w:tc>
          <w:tcPr>
            <w:tcW w:w="279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-0.14 (-1.67 – 1.38), p=0.85</w:t>
            </w:r>
          </w:p>
        </w:tc>
        <w:tc>
          <w:tcPr>
            <w:tcW w:w="1532" w:type="dxa"/>
            <w:shd w:val="clear" w:color="auto" w:fill="B8CCE4" w:themeFill="accent1" w:themeFillTint="66"/>
          </w:tcPr>
          <w:p w:rsidR="00783C74" w:rsidRPr="0001047C" w:rsidRDefault="00783C74" w:rsidP="00C553AB">
            <w:pPr>
              <w:spacing w:after="0" w:line="240" w:lineRule="auto"/>
            </w:pPr>
            <w:r>
              <w:t>0.04 (-0.53 – 0.44)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BCS</w:t>
            </w:r>
          </w:p>
        </w:tc>
        <w:tc>
          <w:tcPr>
            <w:tcW w:w="1849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17" w:type="dxa"/>
          </w:tcPr>
          <w:p w:rsidR="00783C74" w:rsidRDefault="00783C74" w:rsidP="00C553AB">
            <w:pPr>
              <w:spacing w:after="0" w:line="240" w:lineRule="auto"/>
            </w:pPr>
            <w:r>
              <w:t>9.71 (6.15)</w:t>
            </w:r>
          </w:p>
        </w:tc>
        <w:tc>
          <w:tcPr>
            <w:tcW w:w="1619" w:type="dxa"/>
          </w:tcPr>
          <w:p w:rsidR="00783C74" w:rsidRDefault="00783C74" w:rsidP="00C553AB">
            <w:pPr>
              <w:spacing w:after="0" w:line="240" w:lineRule="auto"/>
            </w:pPr>
            <w:r>
              <w:t>9.33 (5.82)</w:t>
            </w:r>
          </w:p>
        </w:tc>
        <w:tc>
          <w:tcPr>
            <w:tcW w:w="1618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38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79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32" w:type="dxa"/>
          </w:tcPr>
          <w:p w:rsidR="00783C74" w:rsidRPr="0001047C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1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7.86 (4.79)</w:t>
            </w:r>
          </w:p>
        </w:tc>
        <w:tc>
          <w:tcPr>
            <w:tcW w:w="161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7.61 (4.67)</w:t>
            </w:r>
          </w:p>
        </w:tc>
        <w:tc>
          <w:tcPr>
            <w:tcW w:w="1618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-1.75 (3.94)</w:t>
            </w:r>
          </w:p>
        </w:tc>
        <w:tc>
          <w:tcPr>
            <w:tcW w:w="138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-1.95 (3.72)</w:t>
            </w:r>
          </w:p>
        </w:tc>
        <w:tc>
          <w:tcPr>
            <w:tcW w:w="279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0.13 (-1.76 – 2.02), p=0.89</w:t>
            </w:r>
          </w:p>
        </w:tc>
        <w:tc>
          <w:tcPr>
            <w:tcW w:w="1532" w:type="dxa"/>
            <w:shd w:val="clear" w:color="auto" w:fill="DBE5F1" w:themeFill="accent1" w:themeFillTint="33"/>
          </w:tcPr>
          <w:p w:rsidR="00783C74" w:rsidRPr="0001047C" w:rsidRDefault="00783C74" w:rsidP="00C553AB">
            <w:pPr>
              <w:spacing w:after="0" w:line="240" w:lineRule="auto"/>
            </w:pPr>
            <w:r>
              <w:t>0.03 (-0.47 – 0.53)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1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7.90 (4.75)</w:t>
            </w:r>
          </w:p>
        </w:tc>
        <w:tc>
          <w:tcPr>
            <w:tcW w:w="161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8.13 (5.21)</w:t>
            </w:r>
          </w:p>
        </w:tc>
        <w:tc>
          <w:tcPr>
            <w:tcW w:w="1618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-1.32 (4.50)</w:t>
            </w:r>
          </w:p>
        </w:tc>
        <w:tc>
          <w:tcPr>
            <w:tcW w:w="138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-1.09 (3.15)</w:t>
            </w:r>
          </w:p>
        </w:tc>
        <w:tc>
          <w:tcPr>
            <w:tcW w:w="279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-0.33 (-2.37 – 1.71), p=0.74</w:t>
            </w:r>
          </w:p>
        </w:tc>
        <w:tc>
          <w:tcPr>
            <w:tcW w:w="1532" w:type="dxa"/>
            <w:shd w:val="clear" w:color="auto" w:fill="B8CCE4" w:themeFill="accent1" w:themeFillTint="66"/>
          </w:tcPr>
          <w:p w:rsidR="00783C74" w:rsidRPr="0001047C" w:rsidRDefault="00783C74" w:rsidP="00C553AB">
            <w:pPr>
              <w:spacing w:after="0" w:line="240" w:lineRule="auto"/>
            </w:pPr>
            <w:r>
              <w:t>0.09 (-0.63 – 0.45)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BWCS</w:t>
            </w:r>
          </w:p>
        </w:tc>
        <w:tc>
          <w:tcPr>
            <w:tcW w:w="1849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17" w:type="dxa"/>
          </w:tcPr>
          <w:p w:rsidR="00783C74" w:rsidRDefault="00783C74" w:rsidP="00C553AB">
            <w:pPr>
              <w:spacing w:after="0" w:line="240" w:lineRule="auto"/>
            </w:pPr>
            <w:r>
              <w:t>11.87 (6.19)</w:t>
            </w:r>
          </w:p>
        </w:tc>
        <w:tc>
          <w:tcPr>
            <w:tcW w:w="1619" w:type="dxa"/>
          </w:tcPr>
          <w:p w:rsidR="00783C74" w:rsidRDefault="00783C74" w:rsidP="00C553AB">
            <w:pPr>
              <w:spacing w:after="0" w:line="240" w:lineRule="auto"/>
            </w:pPr>
            <w:r>
              <w:t>9.04 (6.43)</w:t>
            </w:r>
          </w:p>
        </w:tc>
        <w:tc>
          <w:tcPr>
            <w:tcW w:w="1618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38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79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32" w:type="dxa"/>
          </w:tcPr>
          <w:p w:rsidR="00783C74" w:rsidRPr="0001047C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1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9.80 (5.25)</w:t>
            </w:r>
          </w:p>
        </w:tc>
        <w:tc>
          <w:tcPr>
            <w:tcW w:w="161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8.09 (5.15)</w:t>
            </w:r>
          </w:p>
        </w:tc>
        <w:tc>
          <w:tcPr>
            <w:tcW w:w="1618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-2.11 (2.97)</w:t>
            </w:r>
          </w:p>
        </w:tc>
        <w:tc>
          <w:tcPr>
            <w:tcW w:w="138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-1.09 (6.08)</w:t>
            </w:r>
          </w:p>
        </w:tc>
        <w:tc>
          <w:tcPr>
            <w:tcW w:w="279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0.21 (-2.41 – 2.82), p=0.87</w:t>
            </w:r>
          </w:p>
        </w:tc>
        <w:tc>
          <w:tcPr>
            <w:tcW w:w="1532" w:type="dxa"/>
            <w:shd w:val="clear" w:color="auto" w:fill="DBE5F1" w:themeFill="accent1" w:themeFillTint="33"/>
          </w:tcPr>
          <w:p w:rsidR="00783C74" w:rsidRPr="0001047C" w:rsidRDefault="00783C74" w:rsidP="00C553AB">
            <w:pPr>
              <w:spacing w:after="0" w:line="240" w:lineRule="auto"/>
            </w:pPr>
            <w:r>
              <w:t>0.04 (-0.49 – 0.57)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1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10.05 (5.58)</w:t>
            </w:r>
          </w:p>
        </w:tc>
        <w:tc>
          <w:tcPr>
            <w:tcW w:w="161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8.09 (4.44)</w:t>
            </w:r>
          </w:p>
        </w:tc>
        <w:tc>
          <w:tcPr>
            <w:tcW w:w="1618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-1.06 (5.24)</w:t>
            </w:r>
          </w:p>
        </w:tc>
        <w:tc>
          <w:tcPr>
            <w:tcW w:w="138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-1.22 (4.96)</w:t>
            </w:r>
          </w:p>
        </w:tc>
        <w:tc>
          <w:tcPr>
            <w:tcW w:w="279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1.27 (-1.36 – 3.90), p=0.34</w:t>
            </w:r>
          </w:p>
        </w:tc>
        <w:tc>
          <w:tcPr>
            <w:tcW w:w="1532" w:type="dxa"/>
            <w:shd w:val="clear" w:color="auto" w:fill="B8CCE4" w:themeFill="accent1" w:themeFillTint="66"/>
          </w:tcPr>
          <w:p w:rsidR="00783C74" w:rsidRPr="0001047C" w:rsidRDefault="00783C74" w:rsidP="00C553AB">
            <w:pPr>
              <w:spacing w:after="0" w:line="240" w:lineRule="auto"/>
            </w:pPr>
            <w:r>
              <w:t>0.25 (-0.27 – 0.77)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SSS</w:t>
            </w:r>
          </w:p>
        </w:tc>
        <w:tc>
          <w:tcPr>
            <w:tcW w:w="1849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17" w:type="dxa"/>
          </w:tcPr>
          <w:p w:rsidR="00783C74" w:rsidRDefault="00783C74" w:rsidP="00C553AB">
            <w:pPr>
              <w:spacing w:after="0" w:line="240" w:lineRule="auto"/>
            </w:pPr>
            <w:r>
              <w:t>13.00 (6.50)</w:t>
            </w:r>
          </w:p>
        </w:tc>
        <w:tc>
          <w:tcPr>
            <w:tcW w:w="1619" w:type="dxa"/>
          </w:tcPr>
          <w:p w:rsidR="00783C74" w:rsidRDefault="00783C74" w:rsidP="00C553AB">
            <w:pPr>
              <w:spacing w:after="0" w:line="240" w:lineRule="auto"/>
            </w:pPr>
            <w:r>
              <w:t>13.84 (6.87)</w:t>
            </w:r>
          </w:p>
        </w:tc>
        <w:tc>
          <w:tcPr>
            <w:tcW w:w="1618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38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79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32" w:type="dxa"/>
          </w:tcPr>
          <w:p w:rsidR="00783C74" w:rsidRPr="0001047C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1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8.80 (3.88)</w:t>
            </w:r>
          </w:p>
        </w:tc>
        <w:tc>
          <w:tcPr>
            <w:tcW w:w="1619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14.89 (6.50)</w:t>
            </w:r>
          </w:p>
        </w:tc>
        <w:tc>
          <w:tcPr>
            <w:tcW w:w="1618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-1.11 (4.34)</w:t>
            </w:r>
          </w:p>
        </w:tc>
        <w:tc>
          <w:tcPr>
            <w:tcW w:w="138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0.23 (3.56)</w:t>
            </w:r>
          </w:p>
        </w:tc>
        <w:tc>
          <w:tcPr>
            <w:tcW w:w="279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-2.38 (-5.53 - -0.03), p=0.13</w:t>
            </w:r>
          </w:p>
        </w:tc>
        <w:tc>
          <w:tcPr>
            <w:tcW w:w="1532" w:type="dxa"/>
            <w:shd w:val="clear" w:color="auto" w:fill="DBE5F1" w:themeFill="accent1" w:themeFillTint="33"/>
          </w:tcPr>
          <w:p w:rsidR="00783C74" w:rsidRPr="0001047C" w:rsidRDefault="00783C74" w:rsidP="00C553AB">
            <w:pPr>
              <w:spacing w:after="0" w:line="240" w:lineRule="auto"/>
            </w:pPr>
            <w:r>
              <w:t>0.62 (0.01 -1.45)</w:t>
            </w:r>
          </w:p>
        </w:tc>
      </w:tr>
      <w:tr w:rsidR="00783C74" w:rsidTr="00C553AB">
        <w:trPr>
          <w:trHeight w:val="273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1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8.90 (4.43)</w:t>
            </w:r>
          </w:p>
        </w:tc>
        <w:tc>
          <w:tcPr>
            <w:tcW w:w="1619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14.69 (7.00)</w:t>
            </w:r>
          </w:p>
        </w:tc>
        <w:tc>
          <w:tcPr>
            <w:tcW w:w="1618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-1.67 (2.50)</w:t>
            </w:r>
          </w:p>
        </w:tc>
        <w:tc>
          <w:tcPr>
            <w:tcW w:w="138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1.64 (4.85)</w:t>
            </w:r>
          </w:p>
        </w:tc>
        <w:tc>
          <w:tcPr>
            <w:tcW w:w="2797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 xml:space="preserve">-3.80 (-7.24 – - 0.01), </w:t>
            </w:r>
            <w:r w:rsidRPr="0090566C">
              <w:rPr>
                <w:b/>
              </w:rPr>
              <w:t>p&lt;0.05</w:t>
            </w:r>
          </w:p>
        </w:tc>
        <w:tc>
          <w:tcPr>
            <w:tcW w:w="1532" w:type="dxa"/>
            <w:shd w:val="clear" w:color="auto" w:fill="B8CCE4" w:themeFill="accent1" w:themeFillTint="66"/>
          </w:tcPr>
          <w:p w:rsidR="00783C74" w:rsidRPr="0001047C" w:rsidRDefault="00783C74" w:rsidP="00C553AB">
            <w:pPr>
              <w:spacing w:after="0" w:line="240" w:lineRule="auto"/>
            </w:pPr>
            <w:r>
              <w:t>0.88 (0.01 – 1.67)</w:t>
            </w:r>
          </w:p>
        </w:tc>
      </w:tr>
    </w:tbl>
    <w:p w:rsidR="00783C74" w:rsidRDefault="00783C74" w:rsidP="00783C74">
      <w:pPr>
        <w:spacing w:after="0" w:line="240" w:lineRule="auto"/>
      </w:pPr>
      <w:r>
        <w:t>F/u – Follow up; N/A – Not applicable</w:t>
      </w:r>
    </w:p>
    <w:p w:rsidR="00783C74" w:rsidRDefault="00783C74" w:rsidP="00783C74">
      <w:pPr>
        <w:spacing w:after="0" w:line="240" w:lineRule="auto"/>
      </w:pPr>
    </w:p>
    <w:p w:rsidR="00783C74" w:rsidRDefault="00783C74" w:rsidP="00783C74">
      <w:pPr>
        <w:spacing w:after="0" w:line="240" w:lineRule="auto"/>
      </w:pPr>
    </w:p>
    <w:p w:rsidR="00783C74" w:rsidRDefault="00783C74" w:rsidP="00783C74">
      <w:pPr>
        <w:spacing w:after="0" w:line="240" w:lineRule="auto"/>
      </w:pPr>
      <w:r>
        <w:br w:type="page"/>
      </w:r>
    </w:p>
    <w:p w:rsidR="00783C74" w:rsidRDefault="00F908AF" w:rsidP="00783C74">
      <w:pPr>
        <w:spacing w:after="0" w:line="240" w:lineRule="auto"/>
      </w:pPr>
      <w:r w:rsidRPr="00EC7862">
        <w:t>Table S</w:t>
      </w:r>
      <w:r w:rsidR="00C553AB">
        <w:t>5.</w:t>
      </w:r>
      <w:r w:rsidR="00C962A2">
        <w:t>4</w:t>
      </w:r>
      <w:r w:rsidR="00783C74">
        <w:t>: Unadjusted scores for measures of Mindfulness and Self-Compassion</w:t>
      </w:r>
    </w:p>
    <w:tbl>
      <w:tblPr>
        <w:tblStyle w:val="TableGrid"/>
        <w:tblW w:w="14000" w:type="dxa"/>
        <w:tblLayout w:type="fixed"/>
        <w:tblLook w:val="04A0"/>
      </w:tblPr>
      <w:tblGrid>
        <w:gridCol w:w="1559"/>
        <w:gridCol w:w="1853"/>
        <w:gridCol w:w="1621"/>
        <w:gridCol w:w="1615"/>
        <w:gridCol w:w="6"/>
        <w:gridCol w:w="1623"/>
        <w:gridCol w:w="1470"/>
        <w:gridCol w:w="2835"/>
        <w:gridCol w:w="1418"/>
      </w:tblGrid>
      <w:tr w:rsidR="00783C74" w:rsidTr="00C553AB">
        <w:trPr>
          <w:trHeight w:val="679"/>
        </w:trPr>
        <w:tc>
          <w:tcPr>
            <w:tcW w:w="3412" w:type="dxa"/>
            <w:gridSpan w:val="2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3236" w:type="dxa"/>
            <w:gridSpan w:val="2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Mean (SD)</w:t>
            </w:r>
          </w:p>
        </w:tc>
        <w:tc>
          <w:tcPr>
            <w:tcW w:w="3099" w:type="dxa"/>
            <w:gridSpan w:val="3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Change from baseline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Treatment effect* (95% CI), Significance</w:t>
            </w:r>
          </w:p>
          <w:p w:rsidR="00783C74" w:rsidRDefault="00783C74" w:rsidP="00C553AB">
            <w:pPr>
              <w:spacing w:after="0" w:line="240" w:lineRule="auto"/>
            </w:pPr>
            <w:r>
              <w:t>(*Intervention-control)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Effect size (Cohen’s ‘d’); 95% CI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Measure</w:t>
            </w:r>
          </w:p>
        </w:tc>
        <w:tc>
          <w:tcPr>
            <w:tcW w:w="1853" w:type="dxa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621" w:type="dxa"/>
          </w:tcPr>
          <w:p w:rsidR="00783C74" w:rsidRDefault="00783C74" w:rsidP="00C553AB">
            <w:pPr>
              <w:spacing w:after="0" w:line="240" w:lineRule="auto"/>
            </w:pPr>
            <w:r>
              <w:t>Intervention</w:t>
            </w:r>
          </w:p>
        </w:tc>
        <w:tc>
          <w:tcPr>
            <w:tcW w:w="1621" w:type="dxa"/>
            <w:gridSpan w:val="2"/>
          </w:tcPr>
          <w:p w:rsidR="00783C74" w:rsidRDefault="00783C74" w:rsidP="00C553AB">
            <w:pPr>
              <w:spacing w:after="0" w:line="240" w:lineRule="auto"/>
            </w:pPr>
            <w:r>
              <w:t>Control</w:t>
            </w:r>
          </w:p>
        </w:tc>
        <w:tc>
          <w:tcPr>
            <w:tcW w:w="1623" w:type="dxa"/>
          </w:tcPr>
          <w:p w:rsidR="00783C74" w:rsidRDefault="00783C74" w:rsidP="00C553AB">
            <w:pPr>
              <w:spacing w:after="0" w:line="240" w:lineRule="auto"/>
            </w:pPr>
            <w:r>
              <w:t>Intervention</w:t>
            </w:r>
          </w:p>
        </w:tc>
        <w:tc>
          <w:tcPr>
            <w:tcW w:w="1470" w:type="dxa"/>
          </w:tcPr>
          <w:p w:rsidR="00783C74" w:rsidRDefault="00783C74" w:rsidP="00C553AB">
            <w:pPr>
              <w:spacing w:after="0" w:line="240" w:lineRule="auto"/>
            </w:pPr>
            <w:r>
              <w:t>Control</w:t>
            </w:r>
          </w:p>
        </w:tc>
        <w:tc>
          <w:tcPr>
            <w:tcW w:w="2835" w:type="dxa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418" w:type="dxa"/>
          </w:tcPr>
          <w:p w:rsidR="00783C74" w:rsidRDefault="00783C74" w:rsidP="00C553AB">
            <w:pPr>
              <w:spacing w:after="0" w:line="240" w:lineRule="auto"/>
            </w:pPr>
          </w:p>
        </w:tc>
      </w:tr>
      <w:tr w:rsidR="00783C74" w:rsidTr="00C553AB">
        <w:trPr>
          <w:trHeight w:val="229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MAAS</w:t>
            </w:r>
          </w:p>
        </w:tc>
        <w:tc>
          <w:tcPr>
            <w:tcW w:w="1853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21" w:type="dxa"/>
          </w:tcPr>
          <w:p w:rsidR="00783C74" w:rsidRDefault="00783C74" w:rsidP="00C553AB">
            <w:pPr>
              <w:spacing w:after="0" w:line="240" w:lineRule="auto"/>
            </w:pPr>
            <w:r>
              <w:t>52.09 (17.29)</w:t>
            </w:r>
          </w:p>
        </w:tc>
        <w:tc>
          <w:tcPr>
            <w:tcW w:w="1621" w:type="dxa"/>
            <w:gridSpan w:val="2"/>
          </w:tcPr>
          <w:p w:rsidR="00783C74" w:rsidRDefault="00783C74" w:rsidP="00C553AB">
            <w:pPr>
              <w:spacing w:after="0" w:line="240" w:lineRule="auto"/>
            </w:pPr>
            <w:r>
              <w:t>49.81 (10.89)</w:t>
            </w:r>
          </w:p>
        </w:tc>
        <w:tc>
          <w:tcPr>
            <w:tcW w:w="1623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470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835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418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53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21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57.76 (9.81)</w:t>
            </w:r>
          </w:p>
        </w:tc>
        <w:tc>
          <w:tcPr>
            <w:tcW w:w="1621" w:type="dxa"/>
            <w:gridSpan w:val="2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58.17 (14.06)</w:t>
            </w:r>
          </w:p>
        </w:tc>
        <w:tc>
          <w:tcPr>
            <w:tcW w:w="1623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12.80 (10.14)</w:t>
            </w:r>
          </w:p>
        </w:tc>
        <w:tc>
          <w:tcPr>
            <w:tcW w:w="1470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8.5 (11.60)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6.22 (-0.90 – 13.35), p=0.09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783C74" w:rsidRPr="00003A06" w:rsidRDefault="00783C74" w:rsidP="00C553AB">
            <w:pPr>
              <w:spacing w:after="0" w:line="240" w:lineRule="auto"/>
            </w:pPr>
            <w:r w:rsidRPr="00003A06">
              <w:t>0.56</w:t>
            </w:r>
            <w:r>
              <w:t xml:space="preserve"> (-0.08 - 1.21)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53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66.24 (7.64)</w:t>
            </w:r>
          </w:p>
        </w:tc>
        <w:tc>
          <w:tcPr>
            <w:tcW w:w="1621" w:type="dxa"/>
            <w:gridSpan w:val="2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51.70 (12.60</w:t>
            </w:r>
          </w:p>
        </w:tc>
        <w:tc>
          <w:tcPr>
            <w:tcW w:w="1623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15.6 (11.75)</w:t>
            </w:r>
          </w:p>
        </w:tc>
        <w:tc>
          <w:tcPr>
            <w:tcW w:w="1470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1.65 (7.52)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 xml:space="preserve">14.67 (8.87 – 20.48), </w:t>
            </w:r>
            <w:r w:rsidRPr="00303CF2">
              <w:rPr>
                <w:b/>
              </w:rPr>
              <w:t>p&lt;0.001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783C74" w:rsidRPr="00003A06" w:rsidRDefault="00783C74" w:rsidP="00C553AB">
            <w:pPr>
              <w:spacing w:after="0" w:line="240" w:lineRule="auto"/>
            </w:pPr>
            <w:r w:rsidRPr="00003A06">
              <w:t>1.23</w:t>
            </w:r>
            <w:r>
              <w:t xml:space="preserve"> (0.80 – 1.72)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SCS-</w:t>
            </w:r>
            <w:proofErr w:type="spellStart"/>
            <w:r>
              <w:t>sf</w:t>
            </w:r>
            <w:proofErr w:type="spellEnd"/>
          </w:p>
        </w:tc>
        <w:tc>
          <w:tcPr>
            <w:tcW w:w="1853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21" w:type="dxa"/>
          </w:tcPr>
          <w:p w:rsidR="00783C74" w:rsidRDefault="00783C74" w:rsidP="00C553AB">
            <w:pPr>
              <w:spacing w:after="0" w:line="240" w:lineRule="auto"/>
            </w:pPr>
            <w:r>
              <w:t>31.58 (10.17)</w:t>
            </w:r>
          </w:p>
        </w:tc>
        <w:tc>
          <w:tcPr>
            <w:tcW w:w="1621" w:type="dxa"/>
            <w:gridSpan w:val="2"/>
          </w:tcPr>
          <w:p w:rsidR="00783C74" w:rsidRDefault="00783C74" w:rsidP="00C553AB">
            <w:pPr>
              <w:spacing w:after="0" w:line="240" w:lineRule="auto"/>
            </w:pPr>
            <w:r>
              <w:t>32.56 (8.70)</w:t>
            </w:r>
          </w:p>
        </w:tc>
        <w:tc>
          <w:tcPr>
            <w:tcW w:w="1623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470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835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418" w:type="dxa"/>
          </w:tcPr>
          <w:p w:rsidR="00783C74" w:rsidRPr="00003A06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53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21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42.71 (9.80)</w:t>
            </w:r>
          </w:p>
        </w:tc>
        <w:tc>
          <w:tcPr>
            <w:tcW w:w="1621" w:type="dxa"/>
            <w:gridSpan w:val="2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33.79 (10.84)</w:t>
            </w:r>
          </w:p>
        </w:tc>
        <w:tc>
          <w:tcPr>
            <w:tcW w:w="1623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11.00 (10.21)</w:t>
            </w:r>
          </w:p>
        </w:tc>
        <w:tc>
          <w:tcPr>
            <w:tcW w:w="1470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1.38 (8.21)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 xml:space="preserve">9.44 (4.21 – 14.67), </w:t>
            </w:r>
            <w:r>
              <w:rPr>
                <w:b/>
              </w:rPr>
              <w:t>p&lt;0.01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783C74" w:rsidRPr="00003A06" w:rsidRDefault="00783C74" w:rsidP="00C553AB">
            <w:pPr>
              <w:spacing w:after="0" w:line="240" w:lineRule="auto"/>
            </w:pPr>
            <w:r>
              <w:t>0.92 (0.41 – 1.43)</w:t>
            </w:r>
          </w:p>
        </w:tc>
      </w:tr>
      <w:tr w:rsidR="00783C74" w:rsidTr="00C553AB">
        <w:trPr>
          <w:trHeight w:val="229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53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41.27 (11.75)</w:t>
            </w:r>
          </w:p>
        </w:tc>
        <w:tc>
          <w:tcPr>
            <w:tcW w:w="1621" w:type="dxa"/>
            <w:gridSpan w:val="2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32.15 (9.65)</w:t>
            </w:r>
          </w:p>
        </w:tc>
        <w:tc>
          <w:tcPr>
            <w:tcW w:w="1623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9.18 (11.05)</w:t>
            </w:r>
          </w:p>
        </w:tc>
        <w:tc>
          <w:tcPr>
            <w:tcW w:w="1470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0.35 (7.34)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 xml:space="preserve">8.99 (3.09 – 14.89) </w:t>
            </w:r>
            <w:r w:rsidRPr="00303CF2">
              <w:rPr>
                <w:b/>
              </w:rPr>
              <w:t>p&lt;0.01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783C74" w:rsidRPr="00003A06" w:rsidRDefault="00783C74" w:rsidP="00C553AB">
            <w:pPr>
              <w:spacing w:after="0" w:line="240" w:lineRule="auto"/>
            </w:pPr>
            <w:r>
              <w:t>0.89 (0.31 – 1.47)</w:t>
            </w:r>
          </w:p>
        </w:tc>
      </w:tr>
    </w:tbl>
    <w:p w:rsidR="00783C74" w:rsidRDefault="00783C74" w:rsidP="00783C74">
      <w:pPr>
        <w:spacing w:after="0" w:line="240" w:lineRule="auto"/>
      </w:pPr>
      <w:r>
        <w:t>F/u – Follow up; N/A – Not applicable</w:t>
      </w:r>
    </w:p>
    <w:p w:rsidR="00783C74" w:rsidRDefault="00783C74" w:rsidP="00783C74">
      <w:pPr>
        <w:spacing w:after="0" w:line="240" w:lineRule="auto"/>
      </w:pPr>
    </w:p>
    <w:p w:rsidR="00783C74" w:rsidRDefault="00F908AF" w:rsidP="00783C74">
      <w:pPr>
        <w:spacing w:after="0" w:line="240" w:lineRule="auto"/>
      </w:pPr>
      <w:r w:rsidRPr="00EC7862">
        <w:t>Table S</w:t>
      </w:r>
      <w:r w:rsidR="00C962A2">
        <w:t>5</w:t>
      </w:r>
      <w:r w:rsidR="00C553AB">
        <w:t>.</w:t>
      </w:r>
      <w:r w:rsidR="00C962A2">
        <w:t>5</w:t>
      </w:r>
      <w:r w:rsidR="00783C74">
        <w:t xml:space="preserve">: Unadjusted scores for the Emotional </w:t>
      </w:r>
      <w:proofErr w:type="spellStart"/>
      <w:r w:rsidR="00783C74">
        <w:t>Lability</w:t>
      </w:r>
      <w:proofErr w:type="spellEnd"/>
      <w:r w:rsidR="00783C74">
        <w:t xml:space="preserve"> Questionnaire</w:t>
      </w:r>
    </w:p>
    <w:tbl>
      <w:tblPr>
        <w:tblStyle w:val="TableGrid"/>
        <w:tblW w:w="14007" w:type="dxa"/>
        <w:tblLayout w:type="fixed"/>
        <w:tblLook w:val="04A0"/>
      </w:tblPr>
      <w:tblGrid>
        <w:gridCol w:w="1559"/>
        <w:gridCol w:w="1854"/>
        <w:gridCol w:w="1622"/>
        <w:gridCol w:w="1622"/>
        <w:gridCol w:w="1531"/>
        <w:gridCol w:w="1482"/>
        <w:gridCol w:w="2797"/>
        <w:gridCol w:w="1540"/>
      </w:tblGrid>
      <w:tr w:rsidR="00783C74" w:rsidTr="00C553AB">
        <w:trPr>
          <w:trHeight w:val="772"/>
        </w:trPr>
        <w:tc>
          <w:tcPr>
            <w:tcW w:w="3413" w:type="dxa"/>
            <w:gridSpan w:val="2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3244" w:type="dxa"/>
            <w:gridSpan w:val="2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Mean (SD)</w:t>
            </w:r>
          </w:p>
        </w:tc>
        <w:tc>
          <w:tcPr>
            <w:tcW w:w="3013" w:type="dxa"/>
            <w:gridSpan w:val="2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Change from baseline</w:t>
            </w:r>
          </w:p>
        </w:tc>
        <w:tc>
          <w:tcPr>
            <w:tcW w:w="2797" w:type="dxa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Treatment effect* (95% CI), Significance</w:t>
            </w:r>
          </w:p>
          <w:p w:rsidR="00783C74" w:rsidRDefault="00783C74" w:rsidP="00C553AB">
            <w:pPr>
              <w:spacing w:after="0" w:line="240" w:lineRule="auto"/>
            </w:pPr>
            <w:r>
              <w:t>(*Intervention-control)</w:t>
            </w:r>
          </w:p>
        </w:tc>
        <w:tc>
          <w:tcPr>
            <w:tcW w:w="1540" w:type="dxa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Effect size</w:t>
            </w:r>
          </w:p>
        </w:tc>
      </w:tr>
      <w:tr w:rsidR="00783C74" w:rsidTr="00C553AB">
        <w:trPr>
          <w:trHeight w:val="258"/>
        </w:trPr>
        <w:tc>
          <w:tcPr>
            <w:tcW w:w="1559" w:type="dxa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Measure</w:t>
            </w:r>
          </w:p>
        </w:tc>
        <w:tc>
          <w:tcPr>
            <w:tcW w:w="1854" w:type="dxa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622" w:type="dxa"/>
          </w:tcPr>
          <w:p w:rsidR="00783C74" w:rsidRDefault="00783C74" w:rsidP="00C553AB">
            <w:pPr>
              <w:spacing w:after="0" w:line="240" w:lineRule="auto"/>
            </w:pPr>
            <w:r>
              <w:t>Intervention</w:t>
            </w:r>
          </w:p>
        </w:tc>
        <w:tc>
          <w:tcPr>
            <w:tcW w:w="1622" w:type="dxa"/>
          </w:tcPr>
          <w:p w:rsidR="00783C74" w:rsidRDefault="00783C74" w:rsidP="00C553AB">
            <w:pPr>
              <w:spacing w:after="0" w:line="240" w:lineRule="auto"/>
            </w:pPr>
            <w:r>
              <w:t>Control</w:t>
            </w:r>
          </w:p>
        </w:tc>
        <w:tc>
          <w:tcPr>
            <w:tcW w:w="1531" w:type="dxa"/>
          </w:tcPr>
          <w:p w:rsidR="00783C74" w:rsidRDefault="00783C74" w:rsidP="00C553AB">
            <w:pPr>
              <w:spacing w:after="0" w:line="240" w:lineRule="auto"/>
            </w:pPr>
            <w:r>
              <w:t>Intervention</w:t>
            </w:r>
          </w:p>
        </w:tc>
        <w:tc>
          <w:tcPr>
            <w:tcW w:w="1482" w:type="dxa"/>
          </w:tcPr>
          <w:p w:rsidR="00783C74" w:rsidRDefault="00783C74" w:rsidP="00C553AB">
            <w:pPr>
              <w:spacing w:after="0" w:line="240" w:lineRule="auto"/>
            </w:pPr>
            <w:r>
              <w:t>Control</w:t>
            </w:r>
          </w:p>
        </w:tc>
        <w:tc>
          <w:tcPr>
            <w:tcW w:w="2797" w:type="dxa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540" w:type="dxa"/>
          </w:tcPr>
          <w:p w:rsidR="00783C74" w:rsidRDefault="00783C74" w:rsidP="00C553AB">
            <w:pPr>
              <w:spacing w:after="0" w:line="240" w:lineRule="auto"/>
            </w:pPr>
          </w:p>
        </w:tc>
      </w:tr>
      <w:tr w:rsidR="00783C74" w:rsidTr="00C553AB">
        <w:trPr>
          <w:trHeight w:val="258"/>
        </w:trPr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  <w:r>
              <w:t>ELQ</w:t>
            </w:r>
          </w:p>
        </w:tc>
        <w:tc>
          <w:tcPr>
            <w:tcW w:w="1854" w:type="dxa"/>
          </w:tcPr>
          <w:p w:rsidR="00783C74" w:rsidRDefault="00783C74" w:rsidP="00C553AB">
            <w:pPr>
              <w:spacing w:after="0" w:line="240" w:lineRule="auto"/>
            </w:pPr>
            <w:r>
              <w:t>Baseline</w:t>
            </w:r>
          </w:p>
        </w:tc>
        <w:tc>
          <w:tcPr>
            <w:tcW w:w="1622" w:type="dxa"/>
          </w:tcPr>
          <w:p w:rsidR="00783C74" w:rsidRDefault="00783C74" w:rsidP="00C553AB">
            <w:pPr>
              <w:spacing w:after="0" w:line="240" w:lineRule="auto"/>
            </w:pPr>
            <w:r>
              <w:t>15.19 (14.18)</w:t>
            </w:r>
          </w:p>
        </w:tc>
        <w:tc>
          <w:tcPr>
            <w:tcW w:w="1622" w:type="dxa"/>
          </w:tcPr>
          <w:p w:rsidR="00783C74" w:rsidRDefault="00783C74" w:rsidP="00C553AB">
            <w:pPr>
              <w:spacing w:after="0" w:line="240" w:lineRule="auto"/>
            </w:pPr>
            <w:r>
              <w:t>15.46 (11.33)</w:t>
            </w:r>
          </w:p>
        </w:tc>
        <w:tc>
          <w:tcPr>
            <w:tcW w:w="1531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482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2797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  <w:tc>
          <w:tcPr>
            <w:tcW w:w="1540" w:type="dxa"/>
          </w:tcPr>
          <w:p w:rsidR="00783C74" w:rsidRDefault="00783C74" w:rsidP="00C553AB">
            <w:pPr>
              <w:spacing w:after="0" w:line="240" w:lineRule="auto"/>
            </w:pPr>
            <w:r>
              <w:t>N/A</w:t>
            </w:r>
          </w:p>
        </w:tc>
      </w:tr>
      <w:tr w:rsidR="00783C74" w:rsidTr="00C553AB">
        <w:trPr>
          <w:trHeight w:val="258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54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Post</w:t>
            </w:r>
          </w:p>
        </w:tc>
        <w:tc>
          <w:tcPr>
            <w:tcW w:w="1622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9.56 (10.15)</w:t>
            </w:r>
          </w:p>
        </w:tc>
        <w:tc>
          <w:tcPr>
            <w:tcW w:w="1622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9.14 (9.56)</w:t>
            </w:r>
          </w:p>
        </w:tc>
        <w:tc>
          <w:tcPr>
            <w:tcW w:w="1531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-5.79 (9.67)</w:t>
            </w:r>
          </w:p>
        </w:tc>
        <w:tc>
          <w:tcPr>
            <w:tcW w:w="1482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-5.05 (8.21)</w:t>
            </w:r>
          </w:p>
        </w:tc>
        <w:tc>
          <w:tcPr>
            <w:tcW w:w="2797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-0.55 (-5.88 – 4.76), p=0.83</w:t>
            </w:r>
          </w:p>
        </w:tc>
        <w:tc>
          <w:tcPr>
            <w:tcW w:w="1540" w:type="dxa"/>
            <w:shd w:val="clear" w:color="auto" w:fill="DBE5F1" w:themeFill="accent1" w:themeFillTint="33"/>
          </w:tcPr>
          <w:p w:rsidR="00783C74" w:rsidRDefault="00783C74" w:rsidP="00C553AB">
            <w:pPr>
              <w:spacing w:after="0" w:line="240" w:lineRule="auto"/>
            </w:pPr>
            <w:r>
              <w:t>0.06 (-0.46 – 0.37)</w:t>
            </w:r>
          </w:p>
        </w:tc>
      </w:tr>
      <w:tr w:rsidR="00783C74" w:rsidTr="00C553AB">
        <w:trPr>
          <w:trHeight w:val="258"/>
        </w:trPr>
        <w:tc>
          <w:tcPr>
            <w:tcW w:w="1559" w:type="dxa"/>
            <w:vMerge/>
            <w:shd w:val="clear" w:color="auto" w:fill="F2F2F2" w:themeFill="background1" w:themeFillShade="F2"/>
          </w:tcPr>
          <w:p w:rsidR="00783C74" w:rsidRDefault="00783C74" w:rsidP="00C553AB">
            <w:pPr>
              <w:spacing w:after="0" w:line="240" w:lineRule="auto"/>
            </w:pPr>
          </w:p>
        </w:tc>
        <w:tc>
          <w:tcPr>
            <w:tcW w:w="1854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F/u</w:t>
            </w:r>
          </w:p>
        </w:tc>
        <w:tc>
          <w:tcPr>
            <w:tcW w:w="1622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 xml:space="preserve"> 8.72 (11.31)</w:t>
            </w:r>
          </w:p>
        </w:tc>
        <w:tc>
          <w:tcPr>
            <w:tcW w:w="1622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11.00 (8.29)</w:t>
            </w:r>
          </w:p>
        </w:tc>
        <w:tc>
          <w:tcPr>
            <w:tcW w:w="1531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-5.25 (13.58)</w:t>
            </w:r>
          </w:p>
        </w:tc>
        <w:tc>
          <w:tcPr>
            <w:tcW w:w="1482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-5.12 (8.01)</w:t>
            </w:r>
          </w:p>
        </w:tc>
        <w:tc>
          <w:tcPr>
            <w:tcW w:w="2797" w:type="dxa"/>
            <w:shd w:val="clear" w:color="auto" w:fill="B8CCE4" w:themeFill="accent1" w:themeFillTint="66"/>
          </w:tcPr>
          <w:p w:rsidR="00783C74" w:rsidRDefault="00783C74" w:rsidP="00C553AB">
            <w:pPr>
              <w:tabs>
                <w:tab w:val="center" w:pos="1290"/>
              </w:tabs>
              <w:spacing w:after="0" w:line="240" w:lineRule="auto"/>
            </w:pPr>
            <w:r>
              <w:t>-1.22 (-7.03 – 4.60), p=0.67</w:t>
            </w:r>
          </w:p>
        </w:tc>
        <w:tc>
          <w:tcPr>
            <w:tcW w:w="1540" w:type="dxa"/>
            <w:shd w:val="clear" w:color="auto" w:fill="B8CCE4" w:themeFill="accent1" w:themeFillTint="66"/>
          </w:tcPr>
          <w:p w:rsidR="00783C74" w:rsidRDefault="00783C74" w:rsidP="00C553AB">
            <w:pPr>
              <w:spacing w:after="0" w:line="240" w:lineRule="auto"/>
            </w:pPr>
            <w:r>
              <w:t>0.12 (-0.41 – 0.27)</w:t>
            </w:r>
          </w:p>
        </w:tc>
      </w:tr>
    </w:tbl>
    <w:p w:rsidR="00783C74" w:rsidRDefault="00783C74" w:rsidP="00783C74">
      <w:pPr>
        <w:spacing w:after="0" w:line="240" w:lineRule="auto"/>
      </w:pPr>
      <w:r>
        <w:t>F/u – Follow up; N/A – Not applicable</w:t>
      </w:r>
    </w:p>
    <w:p w:rsidR="00783C74" w:rsidRDefault="00783C74" w:rsidP="00783C74">
      <w:pPr>
        <w:spacing w:after="0" w:line="240" w:lineRule="auto"/>
        <w:sectPr w:rsidR="00783C74" w:rsidSect="00C553AB">
          <w:pgSz w:w="16840" w:h="11900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783C74" w:rsidRPr="003D5C12" w:rsidRDefault="00783C74" w:rsidP="00783C74">
      <w:pPr>
        <w:rPr>
          <w:b/>
        </w:rPr>
      </w:pPr>
      <w:r w:rsidRPr="00C92423">
        <w:t xml:space="preserve">Figure </w:t>
      </w:r>
      <w:r w:rsidR="009A07FC">
        <w:t>S</w:t>
      </w:r>
      <w:r w:rsidR="00C962A2">
        <w:t>5</w:t>
      </w:r>
      <w:r w:rsidR="00130001">
        <w:t>.</w:t>
      </w:r>
      <w:bookmarkStart w:id="0" w:name="_GoBack"/>
      <w:bookmarkEnd w:id="0"/>
      <w:r w:rsidR="00C962A2">
        <w:t>1</w:t>
      </w:r>
      <w:r w:rsidRPr="00C92423">
        <w:t xml:space="preserve">: Unadjusted treatment effects with confidence intervals </w:t>
      </w:r>
      <w:r w:rsidR="00C553AB">
        <w:t>immediately post-</w:t>
      </w:r>
      <w:r w:rsidRPr="00C92423">
        <w:t xml:space="preserve"> MBSR</w:t>
      </w:r>
      <w:r w:rsidRPr="00222CEB">
        <w:rPr>
          <w:b/>
        </w:rPr>
        <w:t>:</w:t>
      </w:r>
    </w:p>
    <w:p w:rsidR="00783C74" w:rsidRDefault="00783C74" w:rsidP="00783C74">
      <w:r>
        <w:rPr>
          <w:noProof/>
          <w:lang w:val="en-US" w:eastAsia="en-US"/>
        </w:rPr>
        <w:drawing>
          <wp:inline distT="0" distB="0" distL="0" distR="0">
            <wp:extent cx="5270500" cy="5339431"/>
            <wp:effectExtent l="0" t="0" r="12700" b="20320"/>
            <wp:docPr id="36" name="Char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83C74" w:rsidRDefault="00783C74" w:rsidP="00783C74">
      <w:pPr>
        <w:spacing w:line="240" w:lineRule="auto"/>
      </w:pPr>
      <w:r w:rsidRPr="00944268">
        <w:rPr>
          <w:sz w:val="18"/>
          <w:szCs w:val="18"/>
        </w:rPr>
        <w:t xml:space="preserve">EQ5D – </w:t>
      </w:r>
      <w:proofErr w:type="spellStart"/>
      <w:r w:rsidRPr="00944268">
        <w:rPr>
          <w:sz w:val="18"/>
          <w:szCs w:val="18"/>
        </w:rPr>
        <w:t>EuroQol</w:t>
      </w:r>
      <w:proofErr w:type="spellEnd"/>
      <w:r w:rsidRPr="00944268">
        <w:rPr>
          <w:sz w:val="18"/>
          <w:szCs w:val="18"/>
        </w:rPr>
        <w:t xml:space="preserve"> QOL measure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AUC – </w:t>
      </w:r>
      <w:proofErr w:type="spellStart"/>
      <w:r w:rsidRPr="00944268">
        <w:rPr>
          <w:sz w:val="18"/>
          <w:szCs w:val="18"/>
        </w:rPr>
        <w:t>EuroQol</w:t>
      </w:r>
      <w:proofErr w:type="spellEnd"/>
      <w:r w:rsidRPr="00944268">
        <w:rPr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 w:rsidRPr="00944268">
        <w:rPr>
          <w:sz w:val="18"/>
          <w:szCs w:val="18"/>
        </w:rPr>
        <w:t xml:space="preserve">rea </w:t>
      </w:r>
      <w:r>
        <w:rPr>
          <w:sz w:val="18"/>
          <w:szCs w:val="18"/>
        </w:rPr>
        <w:t>U</w:t>
      </w:r>
      <w:r w:rsidRPr="00944268">
        <w:rPr>
          <w:sz w:val="18"/>
          <w:szCs w:val="18"/>
        </w:rPr>
        <w:t xml:space="preserve">nder the </w:t>
      </w:r>
      <w:r>
        <w:rPr>
          <w:sz w:val="18"/>
          <w:szCs w:val="18"/>
        </w:rPr>
        <w:t>C</w:t>
      </w:r>
      <w:r w:rsidRPr="00944268">
        <w:rPr>
          <w:sz w:val="18"/>
          <w:szCs w:val="18"/>
        </w:rPr>
        <w:t>urve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PSS – Perceived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 xml:space="preserve">tress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MFIS – Modified </w:t>
      </w:r>
      <w:r>
        <w:rPr>
          <w:sz w:val="18"/>
          <w:szCs w:val="18"/>
        </w:rPr>
        <w:t>F</w:t>
      </w:r>
      <w:r w:rsidRPr="00944268">
        <w:rPr>
          <w:sz w:val="18"/>
          <w:szCs w:val="18"/>
        </w:rPr>
        <w:t xml:space="preserve">atigue </w:t>
      </w:r>
      <w:r>
        <w:rPr>
          <w:sz w:val="18"/>
          <w:szCs w:val="18"/>
        </w:rPr>
        <w:t>I</w:t>
      </w:r>
      <w:r w:rsidRPr="00944268">
        <w:rPr>
          <w:sz w:val="18"/>
          <w:szCs w:val="18"/>
        </w:rPr>
        <w:t xml:space="preserve">mpact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MHI – Mental </w:t>
      </w:r>
      <w:r>
        <w:rPr>
          <w:sz w:val="18"/>
          <w:szCs w:val="18"/>
        </w:rPr>
        <w:t>H</w:t>
      </w:r>
      <w:r w:rsidRPr="00944268">
        <w:rPr>
          <w:sz w:val="18"/>
          <w:szCs w:val="18"/>
        </w:rPr>
        <w:t xml:space="preserve">ealth </w:t>
      </w:r>
      <w:r>
        <w:rPr>
          <w:sz w:val="18"/>
          <w:szCs w:val="18"/>
        </w:rPr>
        <w:t>I</w:t>
      </w:r>
      <w:r w:rsidRPr="00944268">
        <w:rPr>
          <w:sz w:val="18"/>
          <w:szCs w:val="18"/>
        </w:rPr>
        <w:t>nventory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PDQ – Perceived </w:t>
      </w:r>
      <w:r>
        <w:rPr>
          <w:sz w:val="18"/>
          <w:szCs w:val="18"/>
        </w:rPr>
        <w:t>D</w:t>
      </w:r>
      <w:r w:rsidRPr="00944268">
        <w:rPr>
          <w:sz w:val="18"/>
          <w:szCs w:val="18"/>
        </w:rPr>
        <w:t xml:space="preserve">eficits </w:t>
      </w:r>
      <w:r>
        <w:rPr>
          <w:sz w:val="18"/>
          <w:szCs w:val="18"/>
        </w:rPr>
        <w:t>Q</w:t>
      </w:r>
      <w:r w:rsidRPr="00944268">
        <w:rPr>
          <w:sz w:val="18"/>
          <w:szCs w:val="18"/>
        </w:rPr>
        <w:t>uestionnaire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MSSS – Modified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 xml:space="preserve">ocial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 xml:space="preserve">upport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urvey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PES – Pain </w:t>
      </w:r>
      <w:r>
        <w:rPr>
          <w:sz w:val="18"/>
          <w:szCs w:val="18"/>
        </w:rPr>
        <w:t>E</w:t>
      </w:r>
      <w:r w:rsidRPr="00944268">
        <w:rPr>
          <w:sz w:val="18"/>
          <w:szCs w:val="18"/>
        </w:rPr>
        <w:t xml:space="preserve">ffects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IVIS – Impact of </w:t>
      </w:r>
      <w:r>
        <w:rPr>
          <w:sz w:val="18"/>
          <w:szCs w:val="18"/>
        </w:rPr>
        <w:t>V</w:t>
      </w:r>
      <w:r w:rsidRPr="00944268">
        <w:rPr>
          <w:sz w:val="18"/>
          <w:szCs w:val="18"/>
        </w:rPr>
        <w:t xml:space="preserve">isual </w:t>
      </w:r>
      <w:r>
        <w:rPr>
          <w:sz w:val="18"/>
          <w:szCs w:val="18"/>
        </w:rPr>
        <w:t>I</w:t>
      </w:r>
      <w:r w:rsidRPr="00944268">
        <w:rPr>
          <w:sz w:val="18"/>
          <w:szCs w:val="18"/>
        </w:rPr>
        <w:t xml:space="preserve">mpairment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BCS – Bladder </w:t>
      </w:r>
      <w:r>
        <w:rPr>
          <w:sz w:val="18"/>
          <w:szCs w:val="18"/>
        </w:rPr>
        <w:t>C</w:t>
      </w:r>
      <w:r w:rsidRPr="00944268">
        <w:rPr>
          <w:sz w:val="18"/>
          <w:szCs w:val="18"/>
        </w:rPr>
        <w:t xml:space="preserve">ontrol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BWCS – Bowel </w:t>
      </w:r>
      <w:r>
        <w:rPr>
          <w:sz w:val="18"/>
          <w:szCs w:val="18"/>
        </w:rPr>
        <w:t>C</w:t>
      </w:r>
      <w:r w:rsidRPr="00944268">
        <w:rPr>
          <w:sz w:val="18"/>
          <w:szCs w:val="18"/>
        </w:rPr>
        <w:t xml:space="preserve">ontrol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SSS – Sexual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 xml:space="preserve">atisfaction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MAAS – Mindful </w:t>
      </w:r>
      <w:r>
        <w:rPr>
          <w:sz w:val="18"/>
          <w:szCs w:val="18"/>
        </w:rPr>
        <w:t>A</w:t>
      </w:r>
      <w:r w:rsidRPr="00944268">
        <w:rPr>
          <w:sz w:val="18"/>
          <w:szCs w:val="18"/>
        </w:rPr>
        <w:t xml:space="preserve">ttention </w:t>
      </w:r>
      <w:r>
        <w:rPr>
          <w:sz w:val="18"/>
          <w:szCs w:val="18"/>
        </w:rPr>
        <w:t>A</w:t>
      </w:r>
      <w:r w:rsidRPr="00944268">
        <w:rPr>
          <w:sz w:val="18"/>
          <w:szCs w:val="18"/>
        </w:rPr>
        <w:t xml:space="preserve">wareness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>SCS</w:t>
      </w:r>
      <w:r>
        <w:rPr>
          <w:sz w:val="18"/>
          <w:szCs w:val="18"/>
        </w:rPr>
        <w:t>-</w:t>
      </w:r>
      <w:proofErr w:type="spellStart"/>
      <w:r w:rsidRPr="00944268">
        <w:rPr>
          <w:sz w:val="18"/>
          <w:szCs w:val="18"/>
        </w:rPr>
        <w:t>sf</w:t>
      </w:r>
      <w:proofErr w:type="spellEnd"/>
      <w:r w:rsidRPr="00944268">
        <w:rPr>
          <w:sz w:val="18"/>
          <w:szCs w:val="18"/>
        </w:rPr>
        <w:t xml:space="preserve"> – Self-</w:t>
      </w:r>
      <w:r>
        <w:rPr>
          <w:sz w:val="18"/>
          <w:szCs w:val="18"/>
        </w:rPr>
        <w:t>C</w:t>
      </w:r>
      <w:r w:rsidRPr="00944268">
        <w:rPr>
          <w:sz w:val="18"/>
          <w:szCs w:val="18"/>
        </w:rPr>
        <w:t xml:space="preserve">ompassion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 – short form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ELQ – </w:t>
      </w:r>
      <w:r>
        <w:rPr>
          <w:sz w:val="18"/>
          <w:szCs w:val="18"/>
        </w:rPr>
        <w:t xml:space="preserve">Emotional </w:t>
      </w:r>
      <w:proofErr w:type="spellStart"/>
      <w:r>
        <w:rPr>
          <w:sz w:val="18"/>
          <w:szCs w:val="18"/>
        </w:rPr>
        <w:t>Lability</w:t>
      </w:r>
      <w:proofErr w:type="spellEnd"/>
      <w:r>
        <w:rPr>
          <w:sz w:val="18"/>
          <w:szCs w:val="18"/>
        </w:rPr>
        <w:t xml:space="preserve"> Questionnaire</w:t>
      </w:r>
      <w:r>
        <w:br w:type="page"/>
      </w:r>
    </w:p>
    <w:p w:rsidR="00783C74" w:rsidRPr="003D5C12" w:rsidRDefault="00783C74" w:rsidP="00783C74">
      <w:pPr>
        <w:rPr>
          <w:b/>
        </w:rPr>
      </w:pPr>
      <w:r w:rsidRPr="00C92423">
        <w:t xml:space="preserve">Figure </w:t>
      </w:r>
      <w:r w:rsidR="009A07FC">
        <w:t>S</w:t>
      </w:r>
      <w:r w:rsidR="00C962A2">
        <w:t>5</w:t>
      </w:r>
      <w:r w:rsidR="00C553AB">
        <w:t>.</w:t>
      </w:r>
      <w:r w:rsidR="00C962A2">
        <w:t>2</w:t>
      </w:r>
      <w:r w:rsidRPr="00C92423">
        <w:t xml:space="preserve">: Unadjusted treatment effects with confidence intervals </w:t>
      </w:r>
      <w:r w:rsidR="00C553AB">
        <w:t xml:space="preserve">three </w:t>
      </w:r>
      <w:proofErr w:type="gramStart"/>
      <w:r w:rsidR="00C553AB">
        <w:t>moths</w:t>
      </w:r>
      <w:proofErr w:type="gramEnd"/>
      <w:r w:rsidR="00C553AB">
        <w:t xml:space="preserve"> post-</w:t>
      </w:r>
      <w:r w:rsidRPr="00C92423">
        <w:t>MBSR</w:t>
      </w:r>
      <w:r w:rsidRPr="00DD79CB">
        <w:rPr>
          <w:b/>
        </w:rPr>
        <w:t>:</w:t>
      </w:r>
    </w:p>
    <w:p w:rsidR="00783C74" w:rsidRPr="00944268" w:rsidRDefault="00C553AB" w:rsidP="00783C74">
      <w:pPr>
        <w:rPr>
          <w:sz w:val="18"/>
          <w:szCs w:val="18"/>
        </w:rPr>
      </w:pPr>
      <w:r>
        <w:rPr>
          <w:noProof/>
          <w:lang w:val="en-US" w:eastAsia="en-US"/>
        </w:rPr>
        <w:drawing>
          <wp:inline distT="0" distB="0" distL="0" distR="0">
            <wp:extent cx="5270500" cy="5489494"/>
            <wp:effectExtent l="0" t="0" r="12700" b="2286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83C74" w:rsidRDefault="00783C74" w:rsidP="00783C74">
      <w:pPr>
        <w:spacing w:after="0" w:line="240" w:lineRule="auto"/>
        <w:rPr>
          <w:sz w:val="18"/>
          <w:szCs w:val="18"/>
        </w:rPr>
      </w:pPr>
      <w:r w:rsidRPr="00944268">
        <w:rPr>
          <w:sz w:val="18"/>
          <w:szCs w:val="18"/>
        </w:rPr>
        <w:t xml:space="preserve">EQ5D – </w:t>
      </w:r>
      <w:proofErr w:type="spellStart"/>
      <w:r w:rsidRPr="00944268">
        <w:rPr>
          <w:sz w:val="18"/>
          <w:szCs w:val="18"/>
        </w:rPr>
        <w:t>EuroQol</w:t>
      </w:r>
      <w:proofErr w:type="spellEnd"/>
      <w:r w:rsidRPr="00944268">
        <w:rPr>
          <w:sz w:val="18"/>
          <w:szCs w:val="18"/>
        </w:rPr>
        <w:t xml:space="preserve"> QOL measure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AUC – </w:t>
      </w:r>
      <w:proofErr w:type="spellStart"/>
      <w:r w:rsidRPr="00944268">
        <w:rPr>
          <w:sz w:val="18"/>
          <w:szCs w:val="18"/>
        </w:rPr>
        <w:t>EuroQol</w:t>
      </w:r>
      <w:proofErr w:type="spellEnd"/>
      <w:r w:rsidRPr="00944268">
        <w:rPr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 w:rsidRPr="00944268">
        <w:rPr>
          <w:sz w:val="18"/>
          <w:szCs w:val="18"/>
        </w:rPr>
        <w:t xml:space="preserve">rea </w:t>
      </w:r>
      <w:r>
        <w:rPr>
          <w:sz w:val="18"/>
          <w:szCs w:val="18"/>
        </w:rPr>
        <w:t>U</w:t>
      </w:r>
      <w:r w:rsidRPr="00944268">
        <w:rPr>
          <w:sz w:val="18"/>
          <w:szCs w:val="18"/>
        </w:rPr>
        <w:t xml:space="preserve">nder the </w:t>
      </w:r>
      <w:r>
        <w:rPr>
          <w:sz w:val="18"/>
          <w:szCs w:val="18"/>
        </w:rPr>
        <w:t>C</w:t>
      </w:r>
      <w:r w:rsidRPr="00944268">
        <w:rPr>
          <w:sz w:val="18"/>
          <w:szCs w:val="18"/>
        </w:rPr>
        <w:t>urve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PSS – Perceived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 xml:space="preserve">tress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MFIS – Modified </w:t>
      </w:r>
      <w:r>
        <w:rPr>
          <w:sz w:val="18"/>
          <w:szCs w:val="18"/>
        </w:rPr>
        <w:t>F</w:t>
      </w:r>
      <w:r w:rsidRPr="00944268">
        <w:rPr>
          <w:sz w:val="18"/>
          <w:szCs w:val="18"/>
        </w:rPr>
        <w:t xml:space="preserve">atigue </w:t>
      </w:r>
      <w:r>
        <w:rPr>
          <w:sz w:val="18"/>
          <w:szCs w:val="18"/>
        </w:rPr>
        <w:t>I</w:t>
      </w:r>
      <w:r w:rsidRPr="00944268">
        <w:rPr>
          <w:sz w:val="18"/>
          <w:szCs w:val="18"/>
        </w:rPr>
        <w:t xml:space="preserve">mpact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MHI – Mental </w:t>
      </w:r>
      <w:r>
        <w:rPr>
          <w:sz w:val="18"/>
          <w:szCs w:val="18"/>
        </w:rPr>
        <w:t>H</w:t>
      </w:r>
      <w:r w:rsidRPr="00944268">
        <w:rPr>
          <w:sz w:val="18"/>
          <w:szCs w:val="18"/>
        </w:rPr>
        <w:t xml:space="preserve">ealth </w:t>
      </w:r>
      <w:r>
        <w:rPr>
          <w:sz w:val="18"/>
          <w:szCs w:val="18"/>
        </w:rPr>
        <w:t>I</w:t>
      </w:r>
      <w:r w:rsidRPr="00944268">
        <w:rPr>
          <w:sz w:val="18"/>
          <w:szCs w:val="18"/>
        </w:rPr>
        <w:t>nventory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PDQ – Perceived </w:t>
      </w:r>
      <w:r>
        <w:rPr>
          <w:sz w:val="18"/>
          <w:szCs w:val="18"/>
        </w:rPr>
        <w:t>D</w:t>
      </w:r>
      <w:r w:rsidRPr="00944268">
        <w:rPr>
          <w:sz w:val="18"/>
          <w:szCs w:val="18"/>
        </w:rPr>
        <w:t xml:space="preserve">eficits </w:t>
      </w:r>
      <w:r>
        <w:rPr>
          <w:sz w:val="18"/>
          <w:szCs w:val="18"/>
        </w:rPr>
        <w:t>Q</w:t>
      </w:r>
      <w:r w:rsidRPr="00944268">
        <w:rPr>
          <w:sz w:val="18"/>
          <w:szCs w:val="18"/>
        </w:rPr>
        <w:t>uestionnaire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MSSS – Modified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 xml:space="preserve">ocial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 xml:space="preserve">upport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urvey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PES – Pain </w:t>
      </w:r>
      <w:r>
        <w:rPr>
          <w:sz w:val="18"/>
          <w:szCs w:val="18"/>
        </w:rPr>
        <w:t>E</w:t>
      </w:r>
      <w:r w:rsidRPr="00944268">
        <w:rPr>
          <w:sz w:val="18"/>
          <w:szCs w:val="18"/>
        </w:rPr>
        <w:t xml:space="preserve">ffects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IVIS – Impact of </w:t>
      </w:r>
      <w:r>
        <w:rPr>
          <w:sz w:val="18"/>
          <w:szCs w:val="18"/>
        </w:rPr>
        <w:t>V</w:t>
      </w:r>
      <w:r w:rsidRPr="00944268">
        <w:rPr>
          <w:sz w:val="18"/>
          <w:szCs w:val="18"/>
        </w:rPr>
        <w:t xml:space="preserve">isual </w:t>
      </w:r>
      <w:r>
        <w:rPr>
          <w:sz w:val="18"/>
          <w:szCs w:val="18"/>
        </w:rPr>
        <w:t>I</w:t>
      </w:r>
      <w:r w:rsidRPr="00944268">
        <w:rPr>
          <w:sz w:val="18"/>
          <w:szCs w:val="18"/>
        </w:rPr>
        <w:t xml:space="preserve">mpairment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BCS – Bladder </w:t>
      </w:r>
      <w:r>
        <w:rPr>
          <w:sz w:val="18"/>
          <w:szCs w:val="18"/>
        </w:rPr>
        <w:t>C</w:t>
      </w:r>
      <w:r w:rsidRPr="00944268">
        <w:rPr>
          <w:sz w:val="18"/>
          <w:szCs w:val="18"/>
        </w:rPr>
        <w:t xml:space="preserve">ontrol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BWCS – Bowel </w:t>
      </w:r>
      <w:r>
        <w:rPr>
          <w:sz w:val="18"/>
          <w:szCs w:val="18"/>
        </w:rPr>
        <w:t>C</w:t>
      </w:r>
      <w:r w:rsidRPr="00944268">
        <w:rPr>
          <w:sz w:val="18"/>
          <w:szCs w:val="18"/>
        </w:rPr>
        <w:t xml:space="preserve">ontrol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SSS – Sexual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 xml:space="preserve">atisfaction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MAAS – Mindful </w:t>
      </w:r>
      <w:r>
        <w:rPr>
          <w:sz w:val="18"/>
          <w:szCs w:val="18"/>
        </w:rPr>
        <w:t>A</w:t>
      </w:r>
      <w:r w:rsidRPr="00944268">
        <w:rPr>
          <w:sz w:val="18"/>
          <w:szCs w:val="18"/>
        </w:rPr>
        <w:t xml:space="preserve">ttention </w:t>
      </w:r>
      <w:r>
        <w:rPr>
          <w:sz w:val="18"/>
          <w:szCs w:val="18"/>
        </w:rPr>
        <w:t>A</w:t>
      </w:r>
      <w:r w:rsidRPr="00944268">
        <w:rPr>
          <w:sz w:val="18"/>
          <w:szCs w:val="18"/>
        </w:rPr>
        <w:t xml:space="preserve">wareness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>SCS</w:t>
      </w:r>
      <w:r>
        <w:rPr>
          <w:sz w:val="18"/>
          <w:szCs w:val="18"/>
        </w:rPr>
        <w:t>-</w:t>
      </w:r>
      <w:proofErr w:type="spellStart"/>
      <w:r w:rsidRPr="00944268">
        <w:rPr>
          <w:sz w:val="18"/>
          <w:szCs w:val="18"/>
        </w:rPr>
        <w:t>sf</w:t>
      </w:r>
      <w:proofErr w:type="spellEnd"/>
      <w:r w:rsidRPr="00944268">
        <w:rPr>
          <w:sz w:val="18"/>
          <w:szCs w:val="18"/>
        </w:rPr>
        <w:t xml:space="preserve"> – Self-</w:t>
      </w:r>
      <w:r>
        <w:rPr>
          <w:sz w:val="18"/>
          <w:szCs w:val="18"/>
        </w:rPr>
        <w:t>C</w:t>
      </w:r>
      <w:r w:rsidRPr="00944268">
        <w:rPr>
          <w:sz w:val="18"/>
          <w:szCs w:val="18"/>
        </w:rPr>
        <w:t xml:space="preserve">ompassion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 – short form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ELQ – </w:t>
      </w:r>
      <w:r>
        <w:rPr>
          <w:sz w:val="18"/>
          <w:szCs w:val="18"/>
        </w:rPr>
        <w:t xml:space="preserve">Emotional </w:t>
      </w:r>
      <w:proofErr w:type="spellStart"/>
      <w:r>
        <w:rPr>
          <w:sz w:val="18"/>
          <w:szCs w:val="18"/>
        </w:rPr>
        <w:t>Lability</w:t>
      </w:r>
      <w:proofErr w:type="spellEnd"/>
      <w:r>
        <w:rPr>
          <w:sz w:val="18"/>
          <w:szCs w:val="18"/>
        </w:rPr>
        <w:t xml:space="preserve"> Questionnaire</w:t>
      </w:r>
    </w:p>
    <w:p w:rsidR="00D460D1" w:rsidRPr="00783C74" w:rsidRDefault="00D460D1" w:rsidP="00783C74"/>
    <w:sectPr w:rsidR="00D460D1" w:rsidRPr="00783C74" w:rsidSect="00D460D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docVars>
    <w:docVar w:name="Total_Editing_Time" w:val="1"/>
  </w:docVars>
  <w:rsids>
    <w:rsidRoot w:val="00783C74"/>
    <w:rsid w:val="00130001"/>
    <w:rsid w:val="00732207"/>
    <w:rsid w:val="00783C74"/>
    <w:rsid w:val="009A07FC"/>
    <w:rsid w:val="00C07242"/>
    <w:rsid w:val="00C553AB"/>
    <w:rsid w:val="00C962A2"/>
    <w:rsid w:val="00D460D1"/>
    <w:rsid w:val="00D720C7"/>
    <w:rsid w:val="00E66644"/>
    <w:rsid w:val="00EC7862"/>
    <w:rsid w:val="00F908AF"/>
    <w:rsid w:val="00FE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C74"/>
    <w:pPr>
      <w:spacing w:after="360" w:line="360" w:lineRule="auto"/>
    </w:pPr>
    <w:rPr>
      <w:rFonts w:ascii="Times New Roman" w:hAnsi="Times New Roman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C7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C74"/>
    <w:rPr>
      <w:rFonts w:ascii="Lucida Grande" w:hAnsi="Lucida Grande" w:cs="Lucida Grande"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C74"/>
    <w:pPr>
      <w:spacing w:after="360" w:line="360" w:lineRule="auto"/>
    </w:pPr>
    <w:rPr>
      <w:rFonts w:ascii="Times New Roman" w:hAnsi="Times New Roman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C7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C74"/>
    <w:rPr>
      <w:rFonts w:ascii="Lucida Grande" w:hAnsi="Lucida Grande" w:cs="Lucida Grande"/>
      <w:sz w:val="18"/>
      <w:szCs w:val="18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robertsimpson:Desktop:PhD%20stuff:New%20Forest%20plots%20Jan16v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robertsimpson:Desktop:PhD%20stuff:New%20Forest%20plots%20Jan16v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style val="18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Sheet1!$A$3</c:f>
              <c:strCache>
                <c:ptCount val="1"/>
                <c:pt idx="0">
                  <c:v>EQ5D 2/12</c:v>
                </c:pt>
              </c:strCache>
            </c:strRef>
          </c:tx>
          <c:dPt>
            <c:idx val="0"/>
            <c:marker>
              <c:symbol val="square"/>
              <c:size val="9"/>
            </c:marker>
          </c:dPt>
          <c:dPt>
            <c:idx val="1"/>
            <c:marker>
              <c:symbol val="none"/>
            </c:marker>
          </c:dPt>
          <c:dPt>
            <c:idx val="2"/>
            <c:marker>
              <c:symbol val="none"/>
            </c:marker>
          </c:dPt>
          <c:xVal>
            <c:numRef>
              <c:f>Sheet1!$C$3:$C$5</c:f>
              <c:numCache>
                <c:formatCode>General</c:formatCode>
                <c:ptCount val="3"/>
                <c:pt idx="0">
                  <c:v>0.17</c:v>
                </c:pt>
                <c:pt idx="1">
                  <c:v>-0.26</c:v>
                </c:pt>
                <c:pt idx="2">
                  <c:v>0.57000000000000028</c:v>
                </c:pt>
              </c:numCache>
            </c:numRef>
          </c:xVal>
          <c:yVal>
            <c:numRef>
              <c:f>Sheet1!$D$3:$D$5</c:f>
              <c:numCache>
                <c:formatCode>General</c:formatCode>
                <c:ptCount val="3"/>
                <c:pt idx="0">
                  <c:v>15</c:v>
                </c:pt>
                <c:pt idx="1">
                  <c:v>15</c:v>
                </c:pt>
                <c:pt idx="2">
                  <c:v>15</c:v>
                </c:pt>
              </c:numCache>
            </c:numRef>
          </c:yVal>
        </c:ser>
        <c:ser>
          <c:idx val="1"/>
          <c:order val="1"/>
          <c:tx>
            <c:strRef>
              <c:f>Sheet1!$A$6</c:f>
              <c:strCache>
                <c:ptCount val="1"/>
                <c:pt idx="0">
                  <c:v>AUC 2/12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Sheet1!$C$6:$C$8</c:f>
              <c:numCache>
                <c:formatCode>General</c:formatCode>
                <c:ptCount val="3"/>
                <c:pt idx="0">
                  <c:v>0</c:v>
                </c:pt>
                <c:pt idx="1">
                  <c:v>-0.13</c:v>
                </c:pt>
                <c:pt idx="2">
                  <c:v>9.0000000000000024E-2</c:v>
                </c:pt>
              </c:numCache>
            </c:numRef>
          </c:xVal>
          <c:yVal>
            <c:numRef>
              <c:f>Sheet1!$D$6:$D$8</c:f>
              <c:numCache>
                <c:formatCode>General</c:formatCode>
                <c:ptCount val="3"/>
                <c:pt idx="0">
                  <c:v>14</c:v>
                </c:pt>
                <c:pt idx="1">
                  <c:v>14</c:v>
                </c:pt>
                <c:pt idx="2">
                  <c:v>14</c:v>
                </c:pt>
              </c:numCache>
            </c:numRef>
          </c:yVal>
        </c:ser>
        <c:ser>
          <c:idx val="2"/>
          <c:order val="2"/>
          <c:tx>
            <c:strRef>
              <c:f>Sheet1!$A$9</c:f>
              <c:strCache>
                <c:ptCount val="1"/>
                <c:pt idx="0">
                  <c:v>PSS 2/12</c:v>
                </c:pt>
              </c:strCache>
            </c:strRef>
          </c:tx>
          <c:dPt>
            <c:idx val="0"/>
            <c:marker>
              <c:symbol val="square"/>
              <c:size val="9"/>
            </c:marker>
          </c:dPt>
          <c:dPt>
            <c:idx val="1"/>
            <c:marker>
              <c:symbol val="none"/>
            </c:marker>
          </c:dPt>
          <c:dPt>
            <c:idx val="2"/>
            <c:marker>
              <c:symbol val="none"/>
            </c:marker>
          </c:dPt>
          <c:xVal>
            <c:numRef>
              <c:f>Sheet1!$C$9:$C$11</c:f>
              <c:numCache>
                <c:formatCode>General</c:formatCode>
                <c:ptCount val="3"/>
                <c:pt idx="0">
                  <c:v>0.9600000000000003</c:v>
                </c:pt>
                <c:pt idx="1">
                  <c:v>0.41000000000000014</c:v>
                </c:pt>
                <c:pt idx="2">
                  <c:v>1.47</c:v>
                </c:pt>
              </c:numCache>
            </c:numRef>
          </c:xVal>
          <c:yVal>
            <c:numRef>
              <c:f>Sheet1!$D$9:$D$11</c:f>
              <c:numCache>
                <c:formatCode>General</c:formatCode>
                <c:ptCount val="3"/>
                <c:pt idx="0">
                  <c:v>13</c:v>
                </c:pt>
                <c:pt idx="1">
                  <c:v>13</c:v>
                </c:pt>
                <c:pt idx="2">
                  <c:v>13</c:v>
                </c:pt>
              </c:numCache>
            </c:numRef>
          </c:yVal>
        </c:ser>
        <c:ser>
          <c:idx val="3"/>
          <c:order val="3"/>
          <c:tx>
            <c:strRef>
              <c:f>Sheet1!$A$12</c:f>
              <c:strCache>
                <c:ptCount val="1"/>
                <c:pt idx="0">
                  <c:v>MFIS 2/12</c:v>
                </c:pt>
              </c:strCache>
            </c:strRef>
          </c:tx>
          <c:dPt>
            <c:idx val="0"/>
            <c:marker>
              <c:symbol val="square"/>
              <c:size val="9"/>
            </c:marker>
          </c:dPt>
          <c:dPt>
            <c:idx val="1"/>
            <c:marker>
              <c:symbol val="none"/>
            </c:marker>
          </c:dPt>
          <c:dPt>
            <c:idx val="2"/>
            <c:marker>
              <c:symbol val="none"/>
            </c:marker>
          </c:dPt>
          <c:xVal>
            <c:numRef>
              <c:f>Sheet1!$C$12:$C$14</c:f>
              <c:numCache>
                <c:formatCode>General</c:formatCode>
                <c:ptCount val="3"/>
                <c:pt idx="0">
                  <c:v>0.7100000000000003</c:v>
                </c:pt>
                <c:pt idx="1">
                  <c:v>0.13</c:v>
                </c:pt>
                <c:pt idx="2">
                  <c:v>1.29</c:v>
                </c:pt>
              </c:numCache>
            </c:numRef>
          </c:xVal>
          <c:yVal>
            <c:numRef>
              <c:f>Sheet1!$D$12:$D$14</c:f>
              <c:numCache>
                <c:formatCode>General</c:formatCode>
                <c:ptCount val="3"/>
                <c:pt idx="0">
                  <c:v>12</c:v>
                </c:pt>
                <c:pt idx="1">
                  <c:v>12</c:v>
                </c:pt>
                <c:pt idx="2">
                  <c:v>12</c:v>
                </c:pt>
              </c:numCache>
            </c:numRef>
          </c:yVal>
        </c:ser>
        <c:ser>
          <c:idx val="4"/>
          <c:order val="4"/>
          <c:tx>
            <c:strRef>
              <c:f>Sheet1!$A$15</c:f>
              <c:strCache>
                <c:ptCount val="1"/>
                <c:pt idx="0">
                  <c:v>MHI 2/12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Sheet1!$C$15:$C$17</c:f>
              <c:numCache>
                <c:formatCode>General</c:formatCode>
                <c:ptCount val="3"/>
                <c:pt idx="0">
                  <c:v>0.61000000000000032</c:v>
                </c:pt>
                <c:pt idx="1">
                  <c:v>8.0000000000000043E-2</c:v>
                </c:pt>
                <c:pt idx="2">
                  <c:v>1.1500000000000001</c:v>
                </c:pt>
              </c:numCache>
            </c:numRef>
          </c:xVal>
          <c:yVal>
            <c:numRef>
              <c:f>Sheet1!$D$15:$D$17</c:f>
              <c:numCache>
                <c:formatCode>General</c:formatCode>
                <c:ptCount val="3"/>
                <c:pt idx="0">
                  <c:v>11</c:v>
                </c:pt>
                <c:pt idx="1">
                  <c:v>11</c:v>
                </c:pt>
                <c:pt idx="2">
                  <c:v>11</c:v>
                </c:pt>
              </c:numCache>
            </c:numRef>
          </c:yVal>
        </c:ser>
        <c:ser>
          <c:idx val="5"/>
          <c:order val="5"/>
          <c:tx>
            <c:strRef>
              <c:f>Sheet1!$A$18</c:f>
              <c:strCache>
                <c:ptCount val="1"/>
                <c:pt idx="0">
                  <c:v>PDQ 2/12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Sheet1!$C$18:$C$20</c:f>
              <c:numCache>
                <c:formatCode>General</c:formatCode>
                <c:ptCount val="3"/>
                <c:pt idx="0">
                  <c:v>0.46</c:v>
                </c:pt>
                <c:pt idx="1">
                  <c:v>-0.11</c:v>
                </c:pt>
                <c:pt idx="2">
                  <c:v>1.08</c:v>
                </c:pt>
              </c:numCache>
            </c:numRef>
          </c:xVal>
          <c:yVal>
            <c:numRef>
              <c:f>Sheet1!$D$18:$D$20</c:f>
              <c:numCache>
                <c:formatCode>General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10</c:v>
                </c:pt>
              </c:numCache>
            </c:numRef>
          </c:yVal>
        </c:ser>
        <c:ser>
          <c:idx val="6"/>
          <c:order val="6"/>
          <c:tx>
            <c:strRef>
              <c:f>Sheet1!$A$21</c:f>
              <c:strCache>
                <c:ptCount val="1"/>
                <c:pt idx="0">
                  <c:v>MSSS 2/12</c:v>
                </c:pt>
              </c:strCache>
            </c:strRef>
          </c:tx>
          <c:dPt>
            <c:idx val="0"/>
            <c:marker>
              <c:symbol val="square"/>
              <c:size val="9"/>
            </c:marker>
          </c:dPt>
          <c:dPt>
            <c:idx val="1"/>
            <c:marker>
              <c:symbol val="none"/>
            </c:marker>
          </c:dPt>
          <c:dPt>
            <c:idx val="2"/>
            <c:marker>
              <c:symbol val="none"/>
            </c:marker>
          </c:dPt>
          <c:xVal>
            <c:numRef>
              <c:f>Sheet1!$C$21:$C$23</c:f>
              <c:numCache>
                <c:formatCode>General</c:formatCode>
                <c:ptCount val="3"/>
                <c:pt idx="0">
                  <c:v>-6.0000000000000026E-2</c:v>
                </c:pt>
                <c:pt idx="1">
                  <c:v>-0.74000000000000032</c:v>
                </c:pt>
                <c:pt idx="2">
                  <c:v>0.46</c:v>
                </c:pt>
              </c:numCache>
            </c:numRef>
          </c:xVal>
          <c:yVal>
            <c:numRef>
              <c:f>Sheet1!$D$21:$D$23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9</c:v>
                </c:pt>
              </c:numCache>
            </c:numRef>
          </c:yVal>
        </c:ser>
        <c:ser>
          <c:idx val="7"/>
          <c:order val="7"/>
          <c:tx>
            <c:strRef>
              <c:f>Sheet1!$A$24</c:f>
              <c:strCache>
                <c:ptCount val="1"/>
                <c:pt idx="0">
                  <c:v>PES 2/12</c:v>
                </c:pt>
              </c:strCache>
            </c:strRef>
          </c:tx>
          <c:marker>
            <c:symbol val="square"/>
            <c:size val="9"/>
          </c:marker>
          <c:dPt>
            <c:idx val="1"/>
            <c:marker>
              <c:symbol val="none"/>
            </c:marker>
          </c:dPt>
          <c:dPt>
            <c:idx val="2"/>
            <c:marker>
              <c:symbol val="none"/>
            </c:marker>
          </c:dPt>
          <c:xVal>
            <c:numRef>
              <c:f>Sheet1!$C$24:$C$26</c:f>
              <c:numCache>
                <c:formatCode>General</c:formatCode>
                <c:ptCount val="3"/>
                <c:pt idx="0">
                  <c:v>0.43000000000000016</c:v>
                </c:pt>
                <c:pt idx="1">
                  <c:v>-9.0000000000000024E-2</c:v>
                </c:pt>
                <c:pt idx="2">
                  <c:v>0.94000000000000028</c:v>
                </c:pt>
              </c:numCache>
            </c:numRef>
          </c:xVal>
          <c:yVal>
            <c:numRef>
              <c:f>Sheet1!$D$24:$D$26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8</c:v>
                </c:pt>
              </c:numCache>
            </c:numRef>
          </c:yVal>
        </c:ser>
        <c:ser>
          <c:idx val="8"/>
          <c:order val="8"/>
          <c:tx>
            <c:strRef>
              <c:f>Sheet1!$A$27</c:f>
              <c:strCache>
                <c:ptCount val="1"/>
                <c:pt idx="0">
                  <c:v>IVIS 2/12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Sheet1!$C$27:$C$29</c:f>
              <c:numCache>
                <c:formatCode>General</c:formatCode>
                <c:ptCount val="3"/>
                <c:pt idx="0">
                  <c:v>0.24000000000000007</c:v>
                </c:pt>
                <c:pt idx="1">
                  <c:v>-0.24000000000000007</c:v>
                </c:pt>
                <c:pt idx="2">
                  <c:v>0.72000000000000031</c:v>
                </c:pt>
              </c:numCache>
            </c:numRef>
          </c:xVal>
          <c:yVal>
            <c:numRef>
              <c:f>Sheet1!$D$27:$D$29</c:f>
              <c:numCache>
                <c:formatCode>General</c:formatCode>
                <c:ptCount val="3"/>
                <c:pt idx="0">
                  <c:v>7</c:v>
                </c:pt>
                <c:pt idx="1">
                  <c:v>7</c:v>
                </c:pt>
                <c:pt idx="2">
                  <c:v>7</c:v>
                </c:pt>
              </c:numCache>
            </c:numRef>
          </c:yVal>
        </c:ser>
        <c:ser>
          <c:idx val="9"/>
          <c:order val="9"/>
          <c:tx>
            <c:strRef>
              <c:f>Sheet1!$A$30</c:f>
              <c:strCache>
                <c:ptCount val="1"/>
                <c:pt idx="0">
                  <c:v>BCS 2/12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Sheet1!$C$30:$C$32</c:f>
              <c:numCache>
                <c:formatCode>General</c:formatCode>
                <c:ptCount val="3"/>
                <c:pt idx="0">
                  <c:v>3.0000000000000002E-2</c:v>
                </c:pt>
                <c:pt idx="1">
                  <c:v>-0.47000000000000008</c:v>
                </c:pt>
                <c:pt idx="2">
                  <c:v>0.53</c:v>
                </c:pt>
              </c:numCache>
            </c:numRef>
          </c:xVal>
          <c:yVal>
            <c:numRef>
              <c:f>Sheet1!$D$30:$D$32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6</c:v>
                </c:pt>
              </c:numCache>
            </c:numRef>
          </c:yVal>
        </c:ser>
        <c:ser>
          <c:idx val="10"/>
          <c:order val="10"/>
          <c:tx>
            <c:strRef>
              <c:f>Sheet1!$A$33</c:f>
              <c:strCache>
                <c:ptCount val="1"/>
                <c:pt idx="0">
                  <c:v>BWCS 2/12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Sheet1!$C$33:$C$35</c:f>
              <c:numCache>
                <c:formatCode>General</c:formatCode>
                <c:ptCount val="3"/>
                <c:pt idx="0">
                  <c:v>4.0000000000000022E-2</c:v>
                </c:pt>
                <c:pt idx="1">
                  <c:v>-0.49000000000000016</c:v>
                </c:pt>
                <c:pt idx="2">
                  <c:v>0.57000000000000028</c:v>
                </c:pt>
              </c:numCache>
            </c:numRef>
          </c:xVal>
          <c:yVal>
            <c:numRef>
              <c:f>Sheet1!$D$33:$D$35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yVal>
        </c:ser>
        <c:ser>
          <c:idx val="11"/>
          <c:order val="11"/>
          <c:tx>
            <c:strRef>
              <c:f>Sheet1!$A$36</c:f>
              <c:strCache>
                <c:ptCount val="1"/>
                <c:pt idx="0">
                  <c:v>SSS 2/12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Sheet1!$C$36:$C$38</c:f>
              <c:numCache>
                <c:formatCode>General</c:formatCode>
                <c:ptCount val="3"/>
                <c:pt idx="0">
                  <c:v>0.62000000000000033</c:v>
                </c:pt>
                <c:pt idx="1">
                  <c:v>1.0000000000000005E-2</c:v>
                </c:pt>
                <c:pt idx="2">
                  <c:v>1.45</c:v>
                </c:pt>
              </c:numCache>
            </c:numRef>
          </c:xVal>
          <c:yVal>
            <c:numRef>
              <c:f>Sheet1!$D$36:$D$38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yVal>
        </c:ser>
        <c:ser>
          <c:idx val="12"/>
          <c:order val="12"/>
          <c:tx>
            <c:strRef>
              <c:f>Sheet1!$A$39</c:f>
              <c:strCache>
                <c:ptCount val="1"/>
                <c:pt idx="0">
                  <c:v>MAAS 2/12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Sheet1!$C$39:$C$41</c:f>
              <c:numCache>
                <c:formatCode>General</c:formatCode>
                <c:ptCount val="3"/>
                <c:pt idx="0">
                  <c:v>0.56000000000000005</c:v>
                </c:pt>
                <c:pt idx="1">
                  <c:v>-8.0000000000000043E-2</c:v>
                </c:pt>
                <c:pt idx="2">
                  <c:v>1.21</c:v>
                </c:pt>
              </c:numCache>
            </c:numRef>
          </c:xVal>
          <c:yVal>
            <c:numRef>
              <c:f>Sheet1!$D$39:$D$41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3</c:v>
                </c:pt>
              </c:numCache>
            </c:numRef>
          </c:yVal>
        </c:ser>
        <c:ser>
          <c:idx val="13"/>
          <c:order val="13"/>
          <c:tx>
            <c:strRef>
              <c:f>Sheet1!$A$42</c:f>
              <c:strCache>
                <c:ptCount val="1"/>
                <c:pt idx="0">
                  <c:v>SCSsf 2/12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Sheet1!$C$42:$C$44</c:f>
              <c:numCache>
                <c:formatCode>General</c:formatCode>
                <c:ptCount val="3"/>
                <c:pt idx="0">
                  <c:v>0.92</c:v>
                </c:pt>
                <c:pt idx="1">
                  <c:v>0.41000000000000014</c:v>
                </c:pt>
                <c:pt idx="2">
                  <c:v>1.43</c:v>
                </c:pt>
              </c:numCache>
            </c:numRef>
          </c:xVal>
          <c:yVal>
            <c:numRef>
              <c:f>Sheet1!$D$42:$D$44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yVal>
        </c:ser>
        <c:ser>
          <c:idx val="14"/>
          <c:order val="14"/>
          <c:tx>
            <c:strRef>
              <c:f>Sheet1!$A$45</c:f>
              <c:strCache>
                <c:ptCount val="1"/>
                <c:pt idx="0">
                  <c:v>ELQ 2/12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Sheet1!$C$45:$C$47</c:f>
              <c:numCache>
                <c:formatCode>General</c:formatCode>
                <c:ptCount val="3"/>
                <c:pt idx="0">
                  <c:v>-6.0000000000000026E-2</c:v>
                </c:pt>
                <c:pt idx="1">
                  <c:v>-0.46</c:v>
                </c:pt>
                <c:pt idx="2">
                  <c:v>0.47000000000000008</c:v>
                </c:pt>
              </c:numCache>
            </c:numRef>
          </c:xVal>
          <c:yVal>
            <c:numRef>
              <c:f>Sheet1!$D$45:$D$47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yVal>
        </c:ser>
        <c:axId val="390211456"/>
        <c:axId val="393185152"/>
      </c:scatterChart>
      <c:valAx>
        <c:axId val="3902114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Effect size                    Favours intervention (MBSR)</a:t>
                </a:r>
              </a:p>
            </c:rich>
          </c:tx>
          <c:layout>
            <c:manualLayout>
              <c:xMode val="edge"/>
              <c:yMode val="edge"/>
              <c:x val="0.21832881130822501"/>
              <c:y val="0.93766866201667731"/>
            </c:manualLayout>
          </c:layout>
        </c:title>
        <c:numFmt formatCode="General" sourceLinked="1"/>
        <c:tickLblPos val="nextTo"/>
        <c:crossAx val="393185152"/>
        <c:crosses val="autoZero"/>
        <c:crossBetween val="midCat"/>
      </c:valAx>
      <c:valAx>
        <c:axId val="393185152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>
                <a:solidFill>
                  <a:schemeClr val="bg1"/>
                </a:solidFill>
              </a:defRPr>
            </a:pPr>
            <a:endParaRPr lang="en-US"/>
          </a:p>
        </c:txPr>
        <c:crossAx val="390211456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3886726237872034"/>
          <c:y val="5.7828314990597617E-2"/>
          <c:w val="0.14615146421304093"/>
          <c:h val="0.81460682364752035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8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Sheet1!$F$3</c:f>
              <c:strCache>
                <c:ptCount val="1"/>
                <c:pt idx="0">
                  <c:v>EQ5D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Sheet1!$H$3:$H$5</c:f>
              <c:numCache>
                <c:formatCode>General</c:formatCode>
                <c:ptCount val="3"/>
                <c:pt idx="0">
                  <c:v>8.0000000000000043E-2</c:v>
                </c:pt>
                <c:pt idx="1">
                  <c:v>-0.35000000000000014</c:v>
                </c:pt>
                <c:pt idx="2">
                  <c:v>0.5</c:v>
                </c:pt>
              </c:numCache>
            </c:numRef>
          </c:xVal>
          <c:yVal>
            <c:numRef>
              <c:f>Sheet1!$I$3:$I$5</c:f>
              <c:numCache>
                <c:formatCode>General</c:formatCode>
                <c:ptCount val="3"/>
                <c:pt idx="0">
                  <c:v>15</c:v>
                </c:pt>
                <c:pt idx="1">
                  <c:v>15</c:v>
                </c:pt>
                <c:pt idx="2">
                  <c:v>15</c:v>
                </c:pt>
              </c:numCache>
            </c:numRef>
          </c:yVal>
        </c:ser>
        <c:ser>
          <c:idx val="1"/>
          <c:order val="1"/>
          <c:tx>
            <c:strRef>
              <c:f>Sheet1!$F$6</c:f>
              <c:strCache>
                <c:ptCount val="1"/>
                <c:pt idx="0">
                  <c:v>AUC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Sheet1!$H$6:$H$8</c:f>
              <c:numCache>
                <c:formatCode>General</c:formatCode>
                <c:ptCount val="3"/>
                <c:pt idx="0">
                  <c:v>0.1</c:v>
                </c:pt>
                <c:pt idx="1">
                  <c:v>-0.19</c:v>
                </c:pt>
                <c:pt idx="2">
                  <c:v>0.27</c:v>
                </c:pt>
              </c:numCache>
            </c:numRef>
          </c:xVal>
          <c:yVal>
            <c:numRef>
              <c:f>Sheet1!$I$6:$I$8</c:f>
              <c:numCache>
                <c:formatCode>General</c:formatCode>
                <c:ptCount val="3"/>
                <c:pt idx="0">
                  <c:v>14</c:v>
                </c:pt>
                <c:pt idx="1">
                  <c:v>14</c:v>
                </c:pt>
                <c:pt idx="2">
                  <c:v>14</c:v>
                </c:pt>
              </c:numCache>
            </c:numRef>
          </c:yVal>
        </c:ser>
        <c:ser>
          <c:idx val="2"/>
          <c:order val="2"/>
          <c:tx>
            <c:strRef>
              <c:f>Sheet1!$F$9</c:f>
              <c:strCache>
                <c:ptCount val="1"/>
                <c:pt idx="0">
                  <c:v>PSS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Sheet1!$H$9:$H$11</c:f>
              <c:numCache>
                <c:formatCode>General</c:formatCode>
                <c:ptCount val="3"/>
                <c:pt idx="0">
                  <c:v>0.34</c:v>
                </c:pt>
                <c:pt idx="1">
                  <c:v>-0.2</c:v>
                </c:pt>
                <c:pt idx="2">
                  <c:v>0.85000000000000031</c:v>
                </c:pt>
              </c:numCache>
            </c:numRef>
          </c:xVal>
          <c:yVal>
            <c:numRef>
              <c:f>Sheet1!$I$9:$I$11</c:f>
              <c:numCache>
                <c:formatCode>General</c:formatCode>
                <c:ptCount val="3"/>
                <c:pt idx="0">
                  <c:v>13</c:v>
                </c:pt>
                <c:pt idx="1">
                  <c:v>13</c:v>
                </c:pt>
                <c:pt idx="2">
                  <c:v>13</c:v>
                </c:pt>
              </c:numCache>
            </c:numRef>
          </c:yVal>
        </c:ser>
        <c:ser>
          <c:idx val="3"/>
          <c:order val="3"/>
          <c:tx>
            <c:strRef>
              <c:f>Sheet1!$F$12</c:f>
              <c:strCache>
                <c:ptCount val="1"/>
                <c:pt idx="0">
                  <c:v>MFIS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Sheet1!$H$12:$H$14</c:f>
              <c:numCache>
                <c:formatCode>General</c:formatCode>
                <c:ptCount val="3"/>
                <c:pt idx="0">
                  <c:v>0.44</c:v>
                </c:pt>
                <c:pt idx="1">
                  <c:v>-0.13</c:v>
                </c:pt>
                <c:pt idx="2">
                  <c:v>1</c:v>
                </c:pt>
              </c:numCache>
            </c:numRef>
          </c:xVal>
          <c:yVal>
            <c:numRef>
              <c:f>Sheet1!$I$12:$I$14</c:f>
              <c:numCache>
                <c:formatCode>General</c:formatCode>
                <c:ptCount val="3"/>
                <c:pt idx="0">
                  <c:v>12</c:v>
                </c:pt>
                <c:pt idx="1">
                  <c:v>12</c:v>
                </c:pt>
                <c:pt idx="2">
                  <c:v>12</c:v>
                </c:pt>
              </c:numCache>
            </c:numRef>
          </c:yVal>
        </c:ser>
        <c:ser>
          <c:idx val="4"/>
          <c:order val="4"/>
          <c:tx>
            <c:strRef>
              <c:f>Sheet1!$F$15</c:f>
              <c:strCache>
                <c:ptCount val="1"/>
                <c:pt idx="0">
                  <c:v>MHI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Sheet1!$H$15:$H$17</c:f>
              <c:numCache>
                <c:formatCode>General</c:formatCode>
                <c:ptCount val="3"/>
                <c:pt idx="0">
                  <c:v>0.27</c:v>
                </c:pt>
                <c:pt idx="1">
                  <c:v>-0.44</c:v>
                </c:pt>
                <c:pt idx="2">
                  <c:v>1.0900000000000001</c:v>
                </c:pt>
              </c:numCache>
            </c:numRef>
          </c:xVal>
          <c:yVal>
            <c:numRef>
              <c:f>Sheet1!$I$15:$I$17</c:f>
              <c:numCache>
                <c:formatCode>General</c:formatCode>
                <c:ptCount val="3"/>
                <c:pt idx="0">
                  <c:v>11</c:v>
                </c:pt>
                <c:pt idx="1">
                  <c:v>11</c:v>
                </c:pt>
                <c:pt idx="2">
                  <c:v>11</c:v>
                </c:pt>
              </c:numCache>
            </c:numRef>
          </c:yVal>
        </c:ser>
        <c:ser>
          <c:idx val="5"/>
          <c:order val="5"/>
          <c:tx>
            <c:strRef>
              <c:f>Sheet1!$F$18</c:f>
              <c:strCache>
                <c:ptCount val="1"/>
                <c:pt idx="0">
                  <c:v>PDQ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Sheet1!$H$18:$H$20</c:f>
              <c:numCache>
                <c:formatCode>General</c:formatCode>
                <c:ptCount val="3"/>
                <c:pt idx="0">
                  <c:v>0.38000000000000017</c:v>
                </c:pt>
                <c:pt idx="1">
                  <c:v>-0.28000000000000008</c:v>
                </c:pt>
                <c:pt idx="2">
                  <c:v>1.05</c:v>
                </c:pt>
              </c:numCache>
            </c:numRef>
          </c:xVal>
          <c:yVal>
            <c:numRef>
              <c:f>Sheet1!$I$18:$I$20</c:f>
              <c:numCache>
                <c:formatCode>General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10</c:v>
                </c:pt>
              </c:numCache>
            </c:numRef>
          </c:yVal>
        </c:ser>
        <c:ser>
          <c:idx val="6"/>
          <c:order val="6"/>
          <c:tx>
            <c:strRef>
              <c:f>Sheet1!$F$21</c:f>
              <c:strCache>
                <c:ptCount val="1"/>
                <c:pt idx="0">
                  <c:v>MSSS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Sheet1!$H$21:$H$23</c:f>
              <c:numCache>
                <c:formatCode>General</c:formatCode>
                <c:ptCount val="3"/>
                <c:pt idx="0">
                  <c:v>-0.53</c:v>
                </c:pt>
                <c:pt idx="1">
                  <c:v>-1.1200000000000001</c:v>
                </c:pt>
                <c:pt idx="2">
                  <c:v>0.05</c:v>
                </c:pt>
              </c:numCache>
            </c:numRef>
          </c:xVal>
          <c:yVal>
            <c:numRef>
              <c:f>Sheet1!$I$21:$I$23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9</c:v>
                </c:pt>
              </c:numCache>
            </c:numRef>
          </c:yVal>
        </c:ser>
        <c:ser>
          <c:idx val="7"/>
          <c:order val="7"/>
          <c:tx>
            <c:strRef>
              <c:f>Sheet1!$F$24</c:f>
              <c:strCache>
                <c:ptCount val="1"/>
                <c:pt idx="0">
                  <c:v>PES 5/12</c:v>
                </c:pt>
              </c:strCache>
            </c:strRef>
          </c:tx>
          <c:dPt>
            <c:idx val="0"/>
            <c:marker>
              <c:symbol val="square"/>
              <c:size val="9"/>
            </c:marker>
          </c:dPt>
          <c:xVal>
            <c:numRef>
              <c:f>Sheet1!$H$24:$H$26</c:f>
              <c:numCache>
                <c:formatCode>General</c:formatCode>
                <c:ptCount val="3"/>
                <c:pt idx="0">
                  <c:v>0.41000000000000014</c:v>
                </c:pt>
                <c:pt idx="1">
                  <c:v>-0.14000000000000001</c:v>
                </c:pt>
                <c:pt idx="2">
                  <c:v>0.9600000000000003</c:v>
                </c:pt>
              </c:numCache>
            </c:numRef>
          </c:xVal>
          <c:yVal>
            <c:numRef>
              <c:f>Sheet1!$I$24:$I$26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8</c:v>
                </c:pt>
              </c:numCache>
            </c:numRef>
          </c:yVal>
        </c:ser>
        <c:ser>
          <c:idx val="8"/>
          <c:order val="8"/>
          <c:tx>
            <c:strRef>
              <c:f>Sheet1!$F$27</c:f>
              <c:strCache>
                <c:ptCount val="1"/>
                <c:pt idx="0">
                  <c:v>IVIS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Sheet1!$H$27:$H$29</c:f>
              <c:numCache>
                <c:formatCode>General</c:formatCode>
                <c:ptCount val="3"/>
                <c:pt idx="0">
                  <c:v>4.0000000000000022E-2</c:v>
                </c:pt>
                <c:pt idx="1">
                  <c:v>-0.44</c:v>
                </c:pt>
                <c:pt idx="2">
                  <c:v>0.53</c:v>
                </c:pt>
              </c:numCache>
            </c:numRef>
          </c:xVal>
          <c:yVal>
            <c:numRef>
              <c:f>Sheet1!$I$27:$I$29</c:f>
              <c:numCache>
                <c:formatCode>General</c:formatCode>
                <c:ptCount val="3"/>
                <c:pt idx="0">
                  <c:v>7</c:v>
                </c:pt>
                <c:pt idx="1">
                  <c:v>7</c:v>
                </c:pt>
                <c:pt idx="2">
                  <c:v>7</c:v>
                </c:pt>
              </c:numCache>
            </c:numRef>
          </c:yVal>
        </c:ser>
        <c:ser>
          <c:idx val="9"/>
          <c:order val="9"/>
          <c:tx>
            <c:strRef>
              <c:f>Sheet1!$F$30</c:f>
              <c:strCache>
                <c:ptCount val="1"/>
                <c:pt idx="0">
                  <c:v>BCS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Sheet1!$H$30:$H$32</c:f>
              <c:numCache>
                <c:formatCode>General</c:formatCode>
                <c:ptCount val="3"/>
                <c:pt idx="0">
                  <c:v>9.0000000000000024E-2</c:v>
                </c:pt>
                <c:pt idx="1">
                  <c:v>-0.45</c:v>
                </c:pt>
                <c:pt idx="2">
                  <c:v>0.63000000000000034</c:v>
                </c:pt>
              </c:numCache>
            </c:numRef>
          </c:xVal>
          <c:yVal>
            <c:numRef>
              <c:f>Sheet1!$I$30:$I$32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6</c:v>
                </c:pt>
              </c:numCache>
            </c:numRef>
          </c:yVal>
        </c:ser>
        <c:ser>
          <c:idx val="10"/>
          <c:order val="10"/>
          <c:tx>
            <c:strRef>
              <c:f>Sheet1!$F$33</c:f>
              <c:strCache>
                <c:ptCount val="1"/>
                <c:pt idx="0">
                  <c:v>BWCS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Sheet1!$H$33:$H$35</c:f>
              <c:numCache>
                <c:formatCode>General</c:formatCode>
                <c:ptCount val="3"/>
                <c:pt idx="0">
                  <c:v>0.25</c:v>
                </c:pt>
                <c:pt idx="1">
                  <c:v>-0.27</c:v>
                </c:pt>
                <c:pt idx="2">
                  <c:v>0.77000000000000035</c:v>
                </c:pt>
              </c:numCache>
            </c:numRef>
          </c:xVal>
          <c:yVal>
            <c:numRef>
              <c:f>Sheet1!$I$33:$I$35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yVal>
        </c:ser>
        <c:ser>
          <c:idx val="11"/>
          <c:order val="11"/>
          <c:tx>
            <c:strRef>
              <c:f>Sheet1!$F$36</c:f>
              <c:strCache>
                <c:ptCount val="1"/>
                <c:pt idx="0">
                  <c:v>SSS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Sheet1!$H$36:$H$38</c:f>
              <c:numCache>
                <c:formatCode>General</c:formatCode>
                <c:ptCount val="3"/>
                <c:pt idx="0">
                  <c:v>0.88</c:v>
                </c:pt>
                <c:pt idx="1">
                  <c:v>1.0000000000000005E-2</c:v>
                </c:pt>
                <c:pt idx="2">
                  <c:v>1.6700000000000006</c:v>
                </c:pt>
              </c:numCache>
            </c:numRef>
          </c:xVal>
          <c:yVal>
            <c:numRef>
              <c:f>Sheet1!$I$36:$I$38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yVal>
        </c:ser>
        <c:ser>
          <c:idx val="12"/>
          <c:order val="12"/>
          <c:tx>
            <c:strRef>
              <c:f>Sheet1!$F$39</c:f>
              <c:strCache>
                <c:ptCount val="1"/>
                <c:pt idx="0">
                  <c:v>MAAS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Sheet1!$H$39:$H$41</c:f>
              <c:numCache>
                <c:formatCode>General</c:formatCode>
                <c:ptCount val="3"/>
                <c:pt idx="0">
                  <c:v>1.23</c:v>
                </c:pt>
                <c:pt idx="1">
                  <c:v>0.8</c:v>
                </c:pt>
                <c:pt idx="2">
                  <c:v>1.72</c:v>
                </c:pt>
              </c:numCache>
            </c:numRef>
          </c:xVal>
          <c:yVal>
            <c:numRef>
              <c:f>Sheet1!$I$39:$I$41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3</c:v>
                </c:pt>
              </c:numCache>
            </c:numRef>
          </c:yVal>
        </c:ser>
        <c:ser>
          <c:idx val="13"/>
          <c:order val="13"/>
          <c:tx>
            <c:strRef>
              <c:f>Sheet1!$F$42</c:f>
              <c:strCache>
                <c:ptCount val="1"/>
                <c:pt idx="0">
                  <c:v>SCSsf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Sheet1!$H$42:$H$44</c:f>
              <c:numCache>
                <c:formatCode>General</c:formatCode>
                <c:ptCount val="3"/>
                <c:pt idx="0">
                  <c:v>0.89</c:v>
                </c:pt>
                <c:pt idx="1">
                  <c:v>0.31000000000000016</c:v>
                </c:pt>
                <c:pt idx="2">
                  <c:v>1.47</c:v>
                </c:pt>
              </c:numCache>
            </c:numRef>
          </c:xVal>
          <c:yVal>
            <c:numRef>
              <c:f>Sheet1!$I$42:$I$44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yVal>
        </c:ser>
        <c:ser>
          <c:idx val="14"/>
          <c:order val="14"/>
          <c:tx>
            <c:strRef>
              <c:f>Sheet1!$F$45</c:f>
              <c:strCache>
                <c:ptCount val="1"/>
                <c:pt idx="0">
                  <c:v>ELQ 5/12</c:v>
                </c:pt>
              </c:strCache>
            </c:strRef>
          </c:tx>
          <c:marker>
            <c:symbol val="none"/>
          </c:marker>
          <c:dPt>
            <c:idx val="0"/>
            <c:marker>
              <c:symbol val="square"/>
              <c:size val="9"/>
            </c:marker>
          </c:dPt>
          <c:xVal>
            <c:numRef>
              <c:f>Sheet1!$H$45:$H$47</c:f>
              <c:numCache>
                <c:formatCode>General</c:formatCode>
                <c:ptCount val="3"/>
                <c:pt idx="0">
                  <c:v>0.12000000000000002</c:v>
                </c:pt>
                <c:pt idx="1">
                  <c:v>-0.27</c:v>
                </c:pt>
                <c:pt idx="2">
                  <c:v>0.41000000000000014</c:v>
                </c:pt>
              </c:numCache>
            </c:numRef>
          </c:xVal>
          <c:yVal>
            <c:numRef>
              <c:f>Sheet1!$I$45:$I$47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yVal>
        </c:ser>
        <c:axId val="375834880"/>
        <c:axId val="387129728"/>
      </c:scatterChart>
      <c:valAx>
        <c:axId val="3758348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Favours intervention (MBSR)</a:t>
                </a:r>
              </a:p>
            </c:rich>
          </c:tx>
          <c:layout>
            <c:manualLayout>
              <c:xMode val="edge"/>
              <c:yMode val="edge"/>
              <c:x val="0.39255800088700832"/>
              <c:y val="0.94967381174277732"/>
            </c:manualLayout>
          </c:layout>
        </c:title>
        <c:numFmt formatCode="General" sourceLinked="1"/>
        <c:tickLblPos val="nextTo"/>
        <c:crossAx val="387129728"/>
        <c:crosses val="autoZero"/>
        <c:crossBetween val="midCat"/>
      </c:valAx>
      <c:valAx>
        <c:axId val="387129728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>
                <a:solidFill>
                  <a:schemeClr val="bg1"/>
                </a:solidFill>
              </a:defRPr>
            </a:pPr>
            <a:endParaRPr lang="en-US"/>
          </a:p>
        </c:txPr>
        <c:crossAx val="37583488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0794090489381332"/>
          <c:y val="7.0716386041749471E-2"/>
          <c:w val="0.17728531855955701"/>
          <c:h val="0.81566987432910565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1121</Words>
  <Characters>6295</Characters>
  <Application>Microsoft Office Word</Application>
  <DocSecurity>0</DocSecurity>
  <Lines>699</Lines>
  <Paragraphs>570</Paragraphs>
  <ScaleCrop>false</ScaleCrop>
  <Company/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Simpson</dc:creator>
  <cp:keywords/>
  <dc:description/>
  <cp:lastModifiedBy>WDESALES</cp:lastModifiedBy>
  <cp:revision>5</cp:revision>
  <dcterms:created xsi:type="dcterms:W3CDTF">2017-05-05T09:48:00Z</dcterms:created>
  <dcterms:modified xsi:type="dcterms:W3CDTF">2017-05-10T14:43:00Z</dcterms:modified>
</cp:coreProperties>
</file>