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CFE" w:rsidRDefault="00AB098A" w:rsidP="002B63CE">
      <w:pPr>
        <w:spacing w:after="120"/>
        <w:jc w:val="both"/>
        <w:rPr>
          <w:b/>
          <w:u w:val="single"/>
        </w:rPr>
      </w:pPr>
      <w:bookmarkStart w:id="0" w:name="_GoBack"/>
      <w:bookmarkEnd w:id="0"/>
      <w:r>
        <w:rPr>
          <w:b/>
          <w:u w:val="single"/>
        </w:rPr>
        <w:t xml:space="preserve">1. </w:t>
      </w:r>
      <w:r w:rsidR="00C60CFE">
        <w:rPr>
          <w:b/>
          <w:u w:val="single"/>
        </w:rPr>
        <w:t>Scaling of lower limb muscles volume to height and body mass</w:t>
      </w:r>
    </w:p>
    <w:p w:rsidR="00C60CFE" w:rsidRDefault="00C60CFE" w:rsidP="00323417">
      <w:pPr>
        <w:jc w:val="both"/>
        <w:rPr>
          <w:rFonts w:ascii="Times New Roman" w:hAnsi="Times New Roman"/>
        </w:rPr>
      </w:pPr>
      <w:r>
        <w:rPr>
          <w:rFonts w:ascii="Times New Roman" w:hAnsi="Times New Roman"/>
        </w:rPr>
        <w:t>In the literature a case has been made that the product of height and body mass may be a more powerful explanatory variable of lower limb muscle volume than body mass alone. Below we compare the power of hei</w:t>
      </w:r>
      <w:r w:rsidR="008F2D0D">
        <w:rPr>
          <w:rFonts w:ascii="Times New Roman" w:hAnsi="Times New Roman"/>
        </w:rPr>
        <w:t xml:space="preserve">ght, body mass, and height-mass </w:t>
      </w:r>
      <w:r>
        <w:rPr>
          <w:rFonts w:ascii="Times New Roman" w:hAnsi="Times New Roman"/>
        </w:rPr>
        <w:t>product to explain muscle volume in our dataset.</w:t>
      </w:r>
    </w:p>
    <w:p w:rsidR="00C60CFE" w:rsidRDefault="00C60CFE" w:rsidP="00323417">
      <w:pPr>
        <w:jc w:val="both"/>
        <w:rPr>
          <w:rFonts w:ascii="Times New Roman" w:hAnsi="Times New Roman"/>
        </w:rPr>
      </w:pPr>
    </w:p>
    <w:p w:rsidR="00AB7227" w:rsidRPr="002B63CE" w:rsidRDefault="00C60CFE" w:rsidP="002B63CE">
      <w:pPr>
        <w:jc w:val="both"/>
        <w:rPr>
          <w:rFonts w:ascii="Times New Roman" w:hAnsi="Times New Roman"/>
        </w:rPr>
      </w:pPr>
      <w:r>
        <w:rPr>
          <w:rFonts w:ascii="Times New Roman" w:hAnsi="Times New Roman"/>
        </w:rPr>
        <w:t>Linear regression was</w:t>
      </w:r>
      <w:r w:rsidRPr="00CB5905">
        <w:rPr>
          <w:rFonts w:ascii="Times New Roman" w:hAnsi="Times New Roman"/>
        </w:rPr>
        <w:t xml:space="preserve"> performed to </w:t>
      </w:r>
      <w:r>
        <w:rPr>
          <w:rFonts w:ascii="Times New Roman" w:hAnsi="Times New Roman"/>
        </w:rPr>
        <w:t>assess the linear relationship of</w:t>
      </w:r>
      <w:r w:rsidRPr="00CB5905">
        <w:rPr>
          <w:rFonts w:ascii="Times New Roman" w:hAnsi="Times New Roman"/>
        </w:rPr>
        <w:t xml:space="preserve"> limb muscle volume</w:t>
      </w:r>
      <w:r>
        <w:rPr>
          <w:rFonts w:ascii="Times New Roman" w:hAnsi="Times New Roman"/>
        </w:rPr>
        <w:t xml:space="preserve"> with body mass, height, and the height-mass product in the TD group. A </w:t>
      </w:r>
      <w:r w:rsidRPr="00491D08">
        <w:rPr>
          <w:rFonts w:ascii="Times New Roman" w:hAnsi="Times New Roman"/>
        </w:rPr>
        <w:t xml:space="preserve">two-tailed t-test of Fisher transformation to compare </w:t>
      </w:r>
      <w:r>
        <w:rPr>
          <w:rFonts w:ascii="Times New Roman" w:hAnsi="Times New Roman"/>
        </w:rPr>
        <w:t>the effectiveness of height, body mass, and height-mass product scaling with lower limb muscle volume.</w:t>
      </w:r>
      <w:r w:rsidR="00AB7227">
        <w:rPr>
          <w:rFonts w:ascii="Times New Roman" w:hAnsi="Times New Roman"/>
        </w:rPr>
        <w:t xml:space="preserve"> </w:t>
      </w:r>
      <w:r>
        <w:rPr>
          <w:rFonts w:ascii="Times New Roman" w:hAnsi="Times New Roman"/>
        </w:rPr>
        <w:t>Lower limb muscle volume in the TD group was significantly linearly related to height (R</w:t>
      </w:r>
      <w:r>
        <w:rPr>
          <w:rFonts w:ascii="Times New Roman" w:hAnsi="Times New Roman"/>
          <w:vertAlign w:val="superscript"/>
        </w:rPr>
        <w:t>2</w:t>
      </w:r>
      <w:r>
        <w:rPr>
          <w:rFonts w:ascii="Times New Roman" w:hAnsi="Times New Roman"/>
        </w:rPr>
        <w:t xml:space="preserve">=0.70, </w:t>
      </w:r>
      <w:r w:rsidRPr="00CE0624">
        <w:rPr>
          <w:rFonts w:ascii="Times New Roman" w:hAnsi="Times New Roman"/>
          <w:i/>
        </w:rPr>
        <w:t>p</w:t>
      </w:r>
      <w:r>
        <w:rPr>
          <w:rFonts w:ascii="Times New Roman" w:hAnsi="Times New Roman"/>
        </w:rPr>
        <w:t>&lt;0.001), body mass (R</w:t>
      </w:r>
      <w:r>
        <w:rPr>
          <w:rFonts w:ascii="Times New Roman" w:hAnsi="Times New Roman"/>
          <w:vertAlign w:val="superscript"/>
        </w:rPr>
        <w:t>2</w:t>
      </w:r>
      <w:r>
        <w:rPr>
          <w:rFonts w:ascii="Times New Roman" w:hAnsi="Times New Roman"/>
        </w:rPr>
        <w:t xml:space="preserve">=0.77, </w:t>
      </w:r>
      <w:r w:rsidRPr="00CE0624">
        <w:rPr>
          <w:rFonts w:ascii="Times New Roman" w:hAnsi="Times New Roman"/>
          <w:i/>
        </w:rPr>
        <w:t>p</w:t>
      </w:r>
      <w:r>
        <w:rPr>
          <w:rFonts w:ascii="Times New Roman" w:hAnsi="Times New Roman"/>
        </w:rPr>
        <w:t>&lt;0.001), and height-mass product (R</w:t>
      </w:r>
      <w:r>
        <w:rPr>
          <w:rFonts w:ascii="Times New Roman" w:hAnsi="Times New Roman"/>
          <w:vertAlign w:val="superscript"/>
        </w:rPr>
        <w:t>2</w:t>
      </w:r>
      <w:r>
        <w:rPr>
          <w:rFonts w:ascii="Times New Roman" w:hAnsi="Times New Roman"/>
        </w:rPr>
        <w:t xml:space="preserve">=0.80, </w:t>
      </w:r>
      <w:r w:rsidRPr="00CE0624">
        <w:rPr>
          <w:rFonts w:ascii="Times New Roman" w:hAnsi="Times New Roman"/>
          <w:i/>
        </w:rPr>
        <w:t>p</w:t>
      </w:r>
      <w:r>
        <w:rPr>
          <w:rFonts w:ascii="Times New Roman" w:hAnsi="Times New Roman"/>
        </w:rPr>
        <w:t xml:space="preserve">&lt;0.001) a shown in figures S.1 to S.3. However, no significant difference was observed between any of linear regression coefficients (height-mass product vs. body mass: </w:t>
      </w:r>
      <w:r w:rsidRPr="00CE0624">
        <w:rPr>
          <w:rFonts w:ascii="Times New Roman" w:hAnsi="Times New Roman"/>
          <w:i/>
        </w:rPr>
        <w:t>z</w:t>
      </w:r>
      <w:r>
        <w:rPr>
          <w:rFonts w:ascii="Times New Roman" w:hAnsi="Times New Roman"/>
        </w:rPr>
        <w:t xml:space="preserve">=0.23, </w:t>
      </w:r>
      <w:r w:rsidRPr="00CE0624">
        <w:rPr>
          <w:rFonts w:ascii="Times New Roman" w:hAnsi="Times New Roman"/>
          <w:i/>
        </w:rPr>
        <w:t>p</w:t>
      </w:r>
      <w:r>
        <w:rPr>
          <w:rFonts w:ascii="Times New Roman" w:hAnsi="Times New Roman"/>
        </w:rPr>
        <w:t xml:space="preserve">=0.818; height-mass product vs. height: </w:t>
      </w:r>
      <w:r w:rsidRPr="00CE0624">
        <w:rPr>
          <w:rFonts w:ascii="Times New Roman" w:hAnsi="Times New Roman"/>
          <w:i/>
        </w:rPr>
        <w:t>z</w:t>
      </w:r>
      <w:r>
        <w:rPr>
          <w:rFonts w:ascii="Times New Roman" w:hAnsi="Times New Roman"/>
        </w:rPr>
        <w:t xml:space="preserve">=0.74, </w:t>
      </w:r>
      <w:r w:rsidRPr="00CE0624">
        <w:rPr>
          <w:rFonts w:ascii="Times New Roman" w:hAnsi="Times New Roman"/>
          <w:i/>
        </w:rPr>
        <w:t>p</w:t>
      </w:r>
      <w:r>
        <w:rPr>
          <w:rFonts w:ascii="Times New Roman" w:hAnsi="Times New Roman"/>
        </w:rPr>
        <w:t xml:space="preserve">=0.459; body mass vs. height: </w:t>
      </w:r>
      <w:r w:rsidRPr="00CE0624">
        <w:rPr>
          <w:rFonts w:ascii="Times New Roman" w:hAnsi="Times New Roman"/>
          <w:i/>
        </w:rPr>
        <w:t>z</w:t>
      </w:r>
      <w:r>
        <w:rPr>
          <w:rFonts w:ascii="Times New Roman" w:hAnsi="Times New Roman"/>
        </w:rPr>
        <w:t xml:space="preserve">=0.51, p=0.610). </w:t>
      </w:r>
    </w:p>
    <w:p w:rsidR="008F2D0D" w:rsidRDefault="008F2D0D" w:rsidP="008F2D0D">
      <w:pPr>
        <w:rPr>
          <w:b/>
          <w:u w:val="single"/>
        </w:rPr>
      </w:pPr>
    </w:p>
    <w:tbl>
      <w:tblPr>
        <w:tblW w:w="0" w:type="auto"/>
        <w:tblLook w:val="00A0" w:firstRow="1" w:lastRow="0" w:firstColumn="1" w:lastColumn="0" w:noHBand="0" w:noVBand="0"/>
      </w:tblPr>
      <w:tblGrid>
        <w:gridCol w:w="8300"/>
      </w:tblGrid>
      <w:tr w:rsidR="008F2D0D">
        <w:tc>
          <w:tcPr>
            <w:tcW w:w="8516" w:type="dxa"/>
          </w:tcPr>
          <w:p w:rsidR="008F2D0D" w:rsidRPr="00CE0624" w:rsidRDefault="008F2D0D" w:rsidP="00A464AB">
            <w:pPr>
              <w:jc w:val="center"/>
              <w:rPr>
                <w:rFonts w:ascii="Times New Roman" w:hAnsi="Times New Roman"/>
                <w:i/>
                <w:noProof/>
                <w:szCs w:val="20"/>
                <w:lang w:val="en-US"/>
              </w:rPr>
            </w:pPr>
            <w:r w:rsidRPr="00CE0624">
              <w:rPr>
                <w:rFonts w:ascii="Times New Roman" w:hAnsi="Times New Roman"/>
                <w:i/>
                <w:noProof/>
                <w:szCs w:val="20"/>
                <w:lang w:val="en-US"/>
              </w:rPr>
              <w:drawing>
                <wp:inline distT="0" distB="0" distL="0" distR="0">
                  <wp:extent cx="3987800" cy="2273300"/>
                  <wp:effectExtent l="25400" t="0" r="0" b="0"/>
                  <wp:docPr id="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r>
      <w:tr w:rsidR="008F2D0D">
        <w:tc>
          <w:tcPr>
            <w:tcW w:w="8516" w:type="dxa"/>
          </w:tcPr>
          <w:p w:rsidR="008F2D0D" w:rsidRPr="00CE0624" w:rsidRDefault="008F2D0D" w:rsidP="002B63CE">
            <w:pPr>
              <w:jc w:val="center"/>
              <w:rPr>
                <w:rFonts w:ascii="Times New Roman" w:hAnsi="Times New Roman"/>
                <w:noProof/>
                <w:szCs w:val="20"/>
                <w:lang w:val="en-US"/>
              </w:rPr>
            </w:pPr>
            <w:r w:rsidRPr="00CE0624">
              <w:rPr>
                <w:rFonts w:ascii="Times New Roman" w:hAnsi="Times New Roman"/>
                <w:b/>
                <w:noProof/>
                <w:szCs w:val="20"/>
                <w:lang w:val="en-US"/>
              </w:rPr>
              <w:t>Figure S.1</w:t>
            </w:r>
            <w:r w:rsidRPr="00CE0624">
              <w:rPr>
                <w:rFonts w:ascii="Times New Roman" w:hAnsi="Times New Roman"/>
                <w:noProof/>
                <w:szCs w:val="20"/>
                <w:lang w:val="en-US"/>
              </w:rPr>
              <w:t>: Lower limb muscle volume against height for the CP group (circle, dashed line, R</w:t>
            </w:r>
            <w:r w:rsidRPr="00CE0624">
              <w:rPr>
                <w:rFonts w:ascii="Times New Roman" w:hAnsi="Times New Roman"/>
                <w:noProof/>
                <w:szCs w:val="20"/>
                <w:vertAlign w:val="superscript"/>
                <w:lang w:val="en-US"/>
              </w:rPr>
              <w:t>2</w:t>
            </w:r>
            <w:r w:rsidRPr="00CE0624">
              <w:rPr>
                <w:rFonts w:ascii="Times New Roman" w:hAnsi="Times New Roman"/>
                <w:noProof/>
                <w:szCs w:val="20"/>
                <w:lang w:val="en-US"/>
              </w:rPr>
              <w:t>=0.70, muscle volume = 4313*height - 4966) and TD group (square, sold line R</w:t>
            </w:r>
            <w:r w:rsidRPr="00CE0624">
              <w:rPr>
                <w:rFonts w:ascii="Times New Roman" w:hAnsi="Times New Roman"/>
                <w:noProof/>
                <w:szCs w:val="20"/>
                <w:vertAlign w:val="superscript"/>
                <w:lang w:val="en-US"/>
              </w:rPr>
              <w:t>2</w:t>
            </w:r>
            <w:r w:rsidRPr="00CE0624">
              <w:rPr>
                <w:rFonts w:ascii="Times New Roman" w:hAnsi="Times New Roman"/>
                <w:noProof/>
                <w:szCs w:val="20"/>
                <w:lang w:val="en-US"/>
              </w:rPr>
              <w:t>=0.70, muscle volume = 5721*height -6568).</w:t>
            </w:r>
          </w:p>
        </w:tc>
      </w:tr>
      <w:tr w:rsidR="008F2D0D">
        <w:tc>
          <w:tcPr>
            <w:tcW w:w="8516" w:type="dxa"/>
          </w:tcPr>
          <w:p w:rsidR="008F2D0D" w:rsidRPr="00CE0624" w:rsidRDefault="008F2D0D" w:rsidP="00A464AB">
            <w:pPr>
              <w:jc w:val="center"/>
              <w:rPr>
                <w:rFonts w:ascii="Times New Roman" w:hAnsi="Times New Roman"/>
                <w:i/>
                <w:noProof/>
                <w:szCs w:val="20"/>
                <w:lang w:val="en-US"/>
              </w:rPr>
            </w:pPr>
            <w:r w:rsidRPr="00CE0624">
              <w:rPr>
                <w:rFonts w:ascii="Times New Roman" w:hAnsi="Times New Roman"/>
                <w:i/>
                <w:noProof/>
                <w:szCs w:val="20"/>
                <w:lang w:val="en-US"/>
              </w:rPr>
              <w:drawing>
                <wp:inline distT="0" distB="0" distL="0" distR="0">
                  <wp:extent cx="4152900" cy="2286000"/>
                  <wp:effectExtent l="25400" t="0" r="0" b="0"/>
                  <wp:docPr id="2"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r>
      <w:tr w:rsidR="008F2D0D">
        <w:tc>
          <w:tcPr>
            <w:tcW w:w="8516" w:type="dxa"/>
          </w:tcPr>
          <w:p w:rsidR="008F2D0D" w:rsidRPr="00CE0624" w:rsidRDefault="008F2D0D" w:rsidP="002B63CE">
            <w:pPr>
              <w:jc w:val="center"/>
              <w:rPr>
                <w:rFonts w:ascii="Times New Roman" w:hAnsi="Times New Roman"/>
                <w:noProof/>
                <w:szCs w:val="20"/>
                <w:lang w:val="en-US"/>
              </w:rPr>
            </w:pPr>
            <w:r w:rsidRPr="00CE0624">
              <w:rPr>
                <w:rFonts w:ascii="Times New Roman" w:hAnsi="Times New Roman"/>
                <w:b/>
                <w:noProof/>
                <w:szCs w:val="20"/>
                <w:lang w:val="en-US"/>
              </w:rPr>
              <w:t>Figure S.2</w:t>
            </w:r>
            <w:r w:rsidRPr="00CE0624">
              <w:rPr>
                <w:rFonts w:ascii="Times New Roman" w:hAnsi="Times New Roman"/>
                <w:noProof/>
                <w:szCs w:val="20"/>
                <w:lang w:val="en-US"/>
              </w:rPr>
              <w:t>: Lower limb muscle volume against body mass for the CP group (circle, dashed line, R</w:t>
            </w:r>
            <w:r w:rsidRPr="00CE0624">
              <w:rPr>
                <w:rFonts w:ascii="Times New Roman" w:hAnsi="Times New Roman"/>
                <w:noProof/>
                <w:szCs w:val="20"/>
                <w:vertAlign w:val="superscript"/>
                <w:lang w:val="en-US"/>
              </w:rPr>
              <w:t>2</w:t>
            </w:r>
            <w:r w:rsidRPr="00CE0624">
              <w:rPr>
                <w:rFonts w:ascii="Times New Roman" w:hAnsi="Times New Roman"/>
                <w:noProof/>
                <w:szCs w:val="20"/>
                <w:lang w:val="en-US"/>
              </w:rPr>
              <w:t>=0.75, muscle volume = 37.2*body mass - 26.9) and TD group (square, sold line R</w:t>
            </w:r>
            <w:r w:rsidRPr="00CE0624">
              <w:rPr>
                <w:rFonts w:ascii="Times New Roman" w:hAnsi="Times New Roman"/>
                <w:noProof/>
                <w:szCs w:val="20"/>
                <w:vertAlign w:val="superscript"/>
                <w:lang w:val="en-US"/>
              </w:rPr>
              <w:t>2</w:t>
            </w:r>
            <w:r w:rsidRPr="00CE0624">
              <w:rPr>
                <w:rFonts w:ascii="Times New Roman" w:hAnsi="Times New Roman"/>
                <w:noProof/>
                <w:szCs w:val="20"/>
                <w:lang w:val="en-US"/>
              </w:rPr>
              <w:t>=0.77, muscle volume = 62.57*body mass - 786.6).</w:t>
            </w:r>
          </w:p>
        </w:tc>
      </w:tr>
      <w:tr w:rsidR="008F2D0D">
        <w:tc>
          <w:tcPr>
            <w:tcW w:w="8516" w:type="dxa"/>
          </w:tcPr>
          <w:p w:rsidR="008F2D0D" w:rsidRPr="00CE0624" w:rsidRDefault="008F2D0D" w:rsidP="00A464AB">
            <w:pPr>
              <w:jc w:val="center"/>
              <w:rPr>
                <w:rFonts w:ascii="Times New Roman" w:hAnsi="Times New Roman"/>
                <w:i/>
                <w:noProof/>
                <w:szCs w:val="20"/>
                <w:lang w:val="en-US"/>
              </w:rPr>
            </w:pPr>
            <w:r w:rsidRPr="00CE0624">
              <w:rPr>
                <w:rFonts w:ascii="Times New Roman" w:hAnsi="Times New Roman"/>
                <w:i/>
                <w:noProof/>
                <w:szCs w:val="20"/>
                <w:lang w:val="en-US"/>
              </w:rPr>
              <w:lastRenderedPageBreak/>
              <w:drawing>
                <wp:inline distT="0" distB="0" distL="0" distR="0">
                  <wp:extent cx="4381500" cy="2311400"/>
                  <wp:effectExtent l="25400" t="0" r="0" b="0"/>
                  <wp:docPr id="3"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r w:rsidR="008F2D0D">
        <w:tc>
          <w:tcPr>
            <w:tcW w:w="8516" w:type="dxa"/>
          </w:tcPr>
          <w:p w:rsidR="008F2D0D" w:rsidRPr="00CE0624" w:rsidRDefault="008F2D0D" w:rsidP="002B63CE">
            <w:pPr>
              <w:jc w:val="center"/>
              <w:rPr>
                <w:rFonts w:ascii="Times New Roman" w:hAnsi="Times New Roman"/>
                <w:noProof/>
                <w:szCs w:val="20"/>
                <w:lang w:val="en-US"/>
              </w:rPr>
            </w:pPr>
            <w:r w:rsidRPr="00CE0624">
              <w:rPr>
                <w:rFonts w:ascii="Times New Roman" w:hAnsi="Times New Roman"/>
                <w:b/>
                <w:noProof/>
                <w:szCs w:val="20"/>
                <w:lang w:val="en-US"/>
              </w:rPr>
              <w:t>Figure S.3</w:t>
            </w:r>
            <w:r w:rsidRPr="00CE0624">
              <w:rPr>
                <w:rFonts w:ascii="Times New Roman" w:hAnsi="Times New Roman"/>
                <w:noProof/>
                <w:szCs w:val="20"/>
                <w:lang w:val="en-US"/>
              </w:rPr>
              <w:t xml:space="preserve">: Lower limb muscle volume against </w:t>
            </w:r>
            <w:r>
              <w:rPr>
                <w:rFonts w:ascii="Times New Roman" w:hAnsi="Times New Roman"/>
                <w:noProof/>
                <w:szCs w:val="20"/>
                <w:lang w:val="en-US"/>
              </w:rPr>
              <w:t>height-</w:t>
            </w:r>
            <w:r w:rsidRPr="00CE0624">
              <w:rPr>
                <w:rFonts w:ascii="Times New Roman" w:hAnsi="Times New Roman"/>
                <w:noProof/>
                <w:szCs w:val="20"/>
                <w:lang w:val="en-US"/>
              </w:rPr>
              <w:t xml:space="preserve">mass </w:t>
            </w:r>
            <w:r>
              <w:rPr>
                <w:rFonts w:ascii="Times New Roman" w:hAnsi="Times New Roman"/>
                <w:noProof/>
                <w:szCs w:val="20"/>
                <w:lang w:val="en-US"/>
              </w:rPr>
              <w:t xml:space="preserve">product </w:t>
            </w:r>
            <w:r w:rsidRPr="00CE0624">
              <w:rPr>
                <w:rFonts w:ascii="Times New Roman" w:hAnsi="Times New Roman"/>
                <w:noProof/>
                <w:szCs w:val="20"/>
                <w:lang w:val="en-US"/>
              </w:rPr>
              <w:t xml:space="preserve">for the CP group (circle, dashed line, </w:t>
            </w:r>
            <w:r w:rsidRPr="00F35CB8">
              <w:rPr>
                <w:rFonts w:ascii="Times New Roman" w:hAnsi="Times New Roman"/>
                <w:noProof/>
                <w:szCs w:val="20"/>
                <w:lang w:val="en-US"/>
              </w:rPr>
              <w:t>R</w:t>
            </w:r>
            <w:r w:rsidRPr="00CE0624">
              <w:rPr>
                <w:rFonts w:ascii="Times New Roman" w:hAnsi="Times New Roman"/>
                <w:noProof/>
                <w:szCs w:val="20"/>
                <w:vertAlign w:val="superscript"/>
                <w:lang w:val="en-US"/>
              </w:rPr>
              <w:t>2</w:t>
            </w:r>
            <w:r w:rsidRPr="00CE0624">
              <w:rPr>
                <w:rFonts w:ascii="Times New Roman" w:hAnsi="Times New Roman"/>
                <w:noProof/>
                <w:szCs w:val="20"/>
                <w:lang w:val="en-US"/>
              </w:rPr>
              <w:t>=0.79, muscle volume = 19.4*height-mass product + 265.9) and TD group (square, sold line R</w:t>
            </w:r>
            <w:r w:rsidRPr="00CE0624">
              <w:rPr>
                <w:rFonts w:ascii="Times New Roman" w:hAnsi="Times New Roman"/>
                <w:noProof/>
                <w:szCs w:val="20"/>
                <w:vertAlign w:val="superscript"/>
                <w:lang w:val="en-US"/>
              </w:rPr>
              <w:t>2</w:t>
            </w:r>
            <w:r w:rsidRPr="00CE0624">
              <w:rPr>
                <w:rFonts w:ascii="Times New Roman" w:hAnsi="Times New Roman"/>
                <w:noProof/>
                <w:szCs w:val="20"/>
                <w:lang w:val="en-US"/>
              </w:rPr>
              <w:t>=0.80, muscle volume = 28.2* height-mass product + 88.0).</w:t>
            </w:r>
          </w:p>
        </w:tc>
      </w:tr>
    </w:tbl>
    <w:p w:rsidR="008F2D0D" w:rsidRDefault="008F2D0D" w:rsidP="008F2D0D">
      <w:pPr>
        <w:rPr>
          <w:b/>
          <w:u w:val="single"/>
        </w:rPr>
      </w:pPr>
    </w:p>
    <w:p w:rsidR="00C60CFE" w:rsidRPr="0034547F" w:rsidRDefault="00C60CFE" w:rsidP="0034547F">
      <w:pPr>
        <w:jc w:val="center"/>
        <w:rPr>
          <w:b/>
          <w:u w:val="single"/>
        </w:rPr>
      </w:pPr>
    </w:p>
    <w:p w:rsidR="00C60CFE" w:rsidRPr="009468C1" w:rsidRDefault="00AB098A" w:rsidP="002B63CE">
      <w:pPr>
        <w:spacing w:after="120"/>
        <w:rPr>
          <w:b/>
          <w:u w:val="single"/>
        </w:rPr>
      </w:pPr>
      <w:r>
        <w:rPr>
          <w:b/>
          <w:u w:val="single"/>
        </w:rPr>
        <w:t>2. The relationship between muscle volume and h</w:t>
      </w:r>
      <w:r w:rsidR="00C60CFE" w:rsidRPr="009468C1">
        <w:rPr>
          <w:b/>
          <w:u w:val="single"/>
        </w:rPr>
        <w:t xml:space="preserve">eight-mass product </w:t>
      </w:r>
    </w:p>
    <w:p w:rsidR="00A86C8B" w:rsidRDefault="00A86C8B" w:rsidP="00A86C8B">
      <w:pPr>
        <w:jc w:val="both"/>
        <w:rPr>
          <w:rFonts w:ascii="Times New Roman" w:hAnsi="Times New Roman"/>
        </w:rPr>
      </w:pPr>
      <w:r>
        <w:rPr>
          <w:rFonts w:ascii="Times New Roman" w:hAnsi="Times New Roman"/>
        </w:rPr>
        <w:t>As noted above, in the literature a case has been made that the product of height and body mass may be a more powerful explanatory variable of lower limb muscle volume than body mass alone. Below we repeat the</w:t>
      </w:r>
      <w:r w:rsidR="00F35CB8">
        <w:rPr>
          <w:rFonts w:ascii="Times New Roman" w:hAnsi="Times New Roman"/>
        </w:rPr>
        <w:t xml:space="preserve"> analysis of covariance (</w:t>
      </w:r>
      <w:r>
        <w:rPr>
          <w:rFonts w:ascii="Times New Roman" w:hAnsi="Times New Roman"/>
        </w:rPr>
        <w:t>ANCOVA</w:t>
      </w:r>
      <w:r w:rsidR="00F35CB8">
        <w:rPr>
          <w:rFonts w:ascii="Times New Roman" w:hAnsi="Times New Roman"/>
        </w:rPr>
        <w:t>)</w:t>
      </w:r>
      <w:r>
        <w:rPr>
          <w:rFonts w:ascii="Times New Roman" w:hAnsi="Times New Roman"/>
        </w:rPr>
        <w:t xml:space="preserve"> analysis of muscle volume using </w:t>
      </w:r>
      <w:r w:rsidR="008F2D0D">
        <w:rPr>
          <w:rFonts w:ascii="Times New Roman" w:hAnsi="Times New Roman"/>
        </w:rPr>
        <w:t xml:space="preserve">height-mass </w:t>
      </w:r>
      <w:r>
        <w:rPr>
          <w:rFonts w:ascii="Times New Roman" w:hAnsi="Times New Roman"/>
        </w:rPr>
        <w:t>product instead of body mass a covariate.</w:t>
      </w:r>
    </w:p>
    <w:p w:rsidR="00A86C8B" w:rsidRDefault="00A86C8B" w:rsidP="00872371">
      <w:pPr>
        <w:jc w:val="both"/>
      </w:pPr>
    </w:p>
    <w:p w:rsidR="002B63CE" w:rsidRPr="002B63CE" w:rsidRDefault="00C60CFE" w:rsidP="009D7A8A">
      <w:pPr>
        <w:jc w:val="both"/>
        <w:rPr>
          <w:rFonts w:ascii="Times New Roman" w:hAnsi="Times New Roman"/>
        </w:rPr>
      </w:pPr>
      <w:r>
        <w:rPr>
          <w:rFonts w:ascii="Times New Roman" w:hAnsi="Times New Roman"/>
        </w:rPr>
        <w:t>Figure S.3 shows lower limb muscle volume against height-mass product for the CP and TD groups. The slope of the linear regression equation for the CP group was 31.2% smaller compared to the TD group (see table S.1). Performing an ANCOVA found that lower</w:t>
      </w:r>
      <w:r w:rsidRPr="00184CFE">
        <w:rPr>
          <w:rFonts w:ascii="Times New Roman" w:hAnsi="Times New Roman"/>
        </w:rPr>
        <w:t xml:space="preserve"> limb muscle volume </w:t>
      </w:r>
      <w:r>
        <w:rPr>
          <w:rFonts w:ascii="Times New Roman" w:hAnsi="Times New Roman"/>
        </w:rPr>
        <w:t>i</w:t>
      </w:r>
      <w:r w:rsidRPr="00184CFE">
        <w:rPr>
          <w:rFonts w:ascii="Times New Roman" w:hAnsi="Times New Roman"/>
        </w:rPr>
        <w:t xml:space="preserve">s significantly related to </w:t>
      </w:r>
      <w:r>
        <w:rPr>
          <w:rFonts w:ascii="Times New Roman" w:hAnsi="Times New Roman"/>
        </w:rPr>
        <w:t>body mass</w:t>
      </w:r>
      <w:r w:rsidRPr="00184CFE">
        <w:rPr>
          <w:rFonts w:ascii="Times New Roman" w:hAnsi="Times New Roman"/>
        </w:rPr>
        <w:t xml:space="preserve"> (p&lt;0.001)</w:t>
      </w:r>
      <w:r>
        <w:rPr>
          <w:rFonts w:ascii="Times New Roman" w:hAnsi="Times New Roman"/>
        </w:rPr>
        <w:t xml:space="preserve"> and that there is a significantly difference between the slopes of the linear relationships of the two subject groups (</w:t>
      </w:r>
      <w:r w:rsidRPr="00CE0624">
        <w:rPr>
          <w:rFonts w:ascii="Times New Roman" w:hAnsi="Times New Roman"/>
          <w:i/>
        </w:rPr>
        <w:t>p</w:t>
      </w:r>
      <w:r>
        <w:rPr>
          <w:rFonts w:ascii="Times New Roman" w:hAnsi="Times New Roman"/>
        </w:rPr>
        <w:t>=</w:t>
      </w:r>
      <w:r w:rsidRPr="00184CFE">
        <w:rPr>
          <w:rFonts w:ascii="Times New Roman" w:hAnsi="Times New Roman"/>
        </w:rPr>
        <w:t>0.0</w:t>
      </w:r>
      <w:r>
        <w:rPr>
          <w:rFonts w:ascii="Times New Roman" w:hAnsi="Times New Roman"/>
        </w:rPr>
        <w:t>07), with subject group (</w:t>
      </w:r>
      <w:r w:rsidRPr="00CE0624">
        <w:rPr>
          <w:rFonts w:ascii="Times New Roman" w:hAnsi="Times New Roman"/>
          <w:i/>
        </w:rPr>
        <w:t>p</w:t>
      </w:r>
      <w:r>
        <w:rPr>
          <w:rFonts w:ascii="Times New Roman" w:hAnsi="Times New Roman"/>
        </w:rPr>
        <w:t>=0.238), sex (</w:t>
      </w:r>
      <w:r w:rsidRPr="00CE0624">
        <w:rPr>
          <w:rFonts w:ascii="Times New Roman" w:hAnsi="Times New Roman"/>
          <w:i/>
        </w:rPr>
        <w:t>p</w:t>
      </w:r>
      <w:r>
        <w:rPr>
          <w:rFonts w:ascii="Times New Roman" w:hAnsi="Times New Roman"/>
        </w:rPr>
        <w:t>=0.108), and age (</w:t>
      </w:r>
      <w:r w:rsidRPr="00CE0624">
        <w:rPr>
          <w:rFonts w:ascii="Times New Roman" w:hAnsi="Times New Roman"/>
          <w:i/>
        </w:rPr>
        <w:t>p</w:t>
      </w:r>
      <w:r>
        <w:rPr>
          <w:rFonts w:ascii="Times New Roman" w:hAnsi="Times New Roman"/>
        </w:rPr>
        <w:t>=0.406) found to not be significant factors of lower limb muscle volume</w:t>
      </w:r>
      <w:r w:rsidR="00AB7227">
        <w:rPr>
          <w:rFonts w:ascii="Times New Roman" w:hAnsi="Times New Roman"/>
        </w:rPr>
        <w:t>.</w:t>
      </w:r>
    </w:p>
    <w:p w:rsidR="00AB7227" w:rsidRDefault="00AB7227" w:rsidP="009D7A8A">
      <w:pPr>
        <w:jc w:val="both"/>
        <w:rPr>
          <w:b/>
          <w:u w:val="single"/>
        </w:rPr>
      </w:pPr>
    </w:p>
    <w:p w:rsidR="00C60CFE" w:rsidRDefault="00AB098A" w:rsidP="009D7A8A">
      <w:pPr>
        <w:jc w:val="both"/>
        <w:rPr>
          <w:rFonts w:ascii="Times New Roman" w:hAnsi="Times New Roman"/>
          <w:color w:val="FF0000"/>
        </w:rPr>
      </w:pPr>
      <w:r>
        <w:rPr>
          <w:b/>
          <w:u w:val="single"/>
        </w:rPr>
        <w:t xml:space="preserve">3. </w:t>
      </w:r>
      <w:r w:rsidR="00C53BCC">
        <w:rPr>
          <w:b/>
          <w:u w:val="single"/>
        </w:rPr>
        <w:t>The relationship between m</w:t>
      </w:r>
      <w:r w:rsidR="00C60CFE">
        <w:rPr>
          <w:b/>
          <w:u w:val="single"/>
        </w:rPr>
        <w:t xml:space="preserve">uscle volume </w:t>
      </w:r>
      <w:r w:rsidR="00C53BCC">
        <w:rPr>
          <w:b/>
          <w:u w:val="single"/>
        </w:rPr>
        <w:t xml:space="preserve">and </w:t>
      </w:r>
      <w:r w:rsidR="00C60CFE">
        <w:rPr>
          <w:b/>
          <w:u w:val="single"/>
        </w:rPr>
        <w:t xml:space="preserve">body mass for </w:t>
      </w:r>
      <w:r w:rsidR="00C53BCC">
        <w:rPr>
          <w:b/>
          <w:u w:val="single"/>
        </w:rPr>
        <w:t xml:space="preserve">participants </w:t>
      </w:r>
      <w:r w:rsidR="00C60CFE">
        <w:rPr>
          <w:b/>
          <w:u w:val="single"/>
        </w:rPr>
        <w:t>under 17 years</w:t>
      </w:r>
      <w:r w:rsidR="00C53BCC">
        <w:rPr>
          <w:b/>
          <w:u w:val="single"/>
        </w:rPr>
        <w:t xml:space="preserve"> of age</w:t>
      </w:r>
    </w:p>
    <w:p w:rsidR="00A86C8B" w:rsidRDefault="00A86C8B" w:rsidP="009D7A8A">
      <w:pPr>
        <w:jc w:val="both"/>
        <w:rPr>
          <w:rFonts w:ascii="Times New Roman" w:hAnsi="Times New Roman"/>
          <w:color w:val="FF0000"/>
        </w:rPr>
      </w:pPr>
    </w:p>
    <w:p w:rsidR="00A86C8B" w:rsidRDefault="00A86C8B" w:rsidP="00A86C8B">
      <w:pPr>
        <w:jc w:val="both"/>
        <w:rPr>
          <w:rFonts w:ascii="Times New Roman" w:hAnsi="Times New Roman"/>
        </w:rPr>
      </w:pPr>
      <w:r w:rsidRPr="002B63CE">
        <w:rPr>
          <w:rFonts w:ascii="Times New Roman" w:hAnsi="Times New Roman"/>
        </w:rPr>
        <w:t>As participants in this study were aged between 10 and 23 years, it is possible that puberty and maturation may have influenced the results. Although age was observed to not be a significant independent explanatory</w:t>
      </w:r>
      <w:r>
        <w:rPr>
          <w:rFonts w:ascii="Times New Roman" w:hAnsi="Times New Roman"/>
        </w:rPr>
        <w:t xml:space="preserve"> </w:t>
      </w:r>
      <w:r w:rsidRPr="00350985">
        <w:rPr>
          <w:rFonts w:ascii="Times New Roman" w:hAnsi="Times New Roman"/>
        </w:rPr>
        <w:t>factor of muscle volume</w:t>
      </w:r>
      <w:r>
        <w:rPr>
          <w:rFonts w:ascii="Times New Roman" w:hAnsi="Times New Roman"/>
        </w:rPr>
        <w:t xml:space="preserve">, we repeated the analysis </w:t>
      </w:r>
      <w:r>
        <w:rPr>
          <w:rFonts w:ascii="Times New Roman" w:hAnsi="Times New Roman"/>
          <w:bCs/>
        </w:rPr>
        <w:t xml:space="preserve">in a subset of the participants who were under 17 years of age, </w:t>
      </w:r>
      <w:r w:rsidR="00AB7227">
        <w:rPr>
          <w:rFonts w:ascii="Times New Roman" w:hAnsi="Times New Roman"/>
          <w:bCs/>
        </w:rPr>
        <w:t>who had</w:t>
      </w:r>
      <w:r>
        <w:rPr>
          <w:rFonts w:ascii="Times New Roman" w:hAnsi="Times New Roman"/>
          <w:bCs/>
        </w:rPr>
        <w:t xml:space="preserve"> therefore not reached skeletal maturity.</w:t>
      </w:r>
      <w:r w:rsidRPr="00350985">
        <w:rPr>
          <w:rFonts w:ascii="Times New Roman" w:hAnsi="Times New Roman"/>
        </w:rPr>
        <w:t xml:space="preserve"> </w:t>
      </w:r>
    </w:p>
    <w:p w:rsidR="00A86C8B" w:rsidRPr="00350985" w:rsidRDefault="00A86C8B" w:rsidP="00A86C8B">
      <w:pPr>
        <w:jc w:val="both"/>
        <w:rPr>
          <w:rFonts w:ascii="Times New Roman" w:hAnsi="Times New Roman"/>
        </w:rPr>
      </w:pPr>
    </w:p>
    <w:p w:rsidR="006A1FC1" w:rsidRDefault="00F35CB8" w:rsidP="009D7A8A">
      <w:pPr>
        <w:jc w:val="both"/>
        <w:rPr>
          <w:rFonts w:ascii="Times New Roman" w:hAnsi="Times New Roman"/>
          <w:bCs/>
        </w:rPr>
      </w:pPr>
      <w:r>
        <w:rPr>
          <w:rFonts w:ascii="Times New Roman" w:hAnsi="Times New Roman"/>
          <w:bCs/>
        </w:rPr>
        <w:t>Pearson’s correlations were utilised to test for linearity between body mass and muscle vo</w:t>
      </w:r>
      <w:r w:rsidR="006A1FC1">
        <w:rPr>
          <w:rFonts w:ascii="Times New Roman" w:hAnsi="Times New Roman"/>
          <w:bCs/>
        </w:rPr>
        <w:t>l</w:t>
      </w:r>
      <w:r>
        <w:rPr>
          <w:rFonts w:ascii="Times New Roman" w:hAnsi="Times New Roman"/>
          <w:bCs/>
        </w:rPr>
        <w:t xml:space="preserve">umes and </w:t>
      </w:r>
      <w:r w:rsidR="00C60CFE">
        <w:rPr>
          <w:rFonts w:ascii="Times New Roman" w:hAnsi="Times New Roman"/>
          <w:bCs/>
        </w:rPr>
        <w:t>Analysis of co-variance (ANCOVA</w:t>
      </w:r>
      <w:r w:rsidR="00C60CFE" w:rsidRPr="00CB5905">
        <w:rPr>
          <w:rFonts w:ascii="Times New Roman" w:hAnsi="Times New Roman"/>
          <w:bCs/>
        </w:rPr>
        <w:t>) was employed to investigate whether</w:t>
      </w:r>
      <w:r w:rsidR="00C60CFE">
        <w:rPr>
          <w:rFonts w:ascii="Times New Roman" w:hAnsi="Times New Roman"/>
          <w:bCs/>
        </w:rPr>
        <w:t xml:space="preserve"> lower limb muscle volume was significantly related to subject group, age, or body mass in a subset of the participants</w:t>
      </w:r>
      <w:r w:rsidR="00A86C8B">
        <w:rPr>
          <w:rFonts w:ascii="Times New Roman" w:hAnsi="Times New Roman"/>
          <w:bCs/>
        </w:rPr>
        <w:t xml:space="preserve"> who were under 17 years of age</w:t>
      </w:r>
      <w:r w:rsidR="00C60CFE">
        <w:rPr>
          <w:rFonts w:ascii="Times New Roman" w:hAnsi="Times New Roman"/>
          <w:bCs/>
        </w:rPr>
        <w:t>. The ANCOVA had subject group and sex as fixed factors and age and body mass as covariates with the model including the interaction between subject group and body mass to test whether</w:t>
      </w:r>
      <w:r w:rsidR="00C60CFE" w:rsidRPr="00CB5905">
        <w:rPr>
          <w:rFonts w:ascii="Times New Roman" w:hAnsi="Times New Roman"/>
          <w:bCs/>
        </w:rPr>
        <w:t xml:space="preserve"> </w:t>
      </w:r>
      <w:r w:rsidR="00C60CFE" w:rsidRPr="00CB5905">
        <w:rPr>
          <w:rFonts w:ascii="Times New Roman" w:hAnsi="Times New Roman"/>
          <w:bCs/>
        </w:rPr>
        <w:lastRenderedPageBreak/>
        <w:t xml:space="preserve">there was a significant difference </w:t>
      </w:r>
      <w:r w:rsidR="00C60CFE">
        <w:rPr>
          <w:rFonts w:ascii="Times New Roman" w:hAnsi="Times New Roman"/>
          <w:bCs/>
        </w:rPr>
        <w:t>in the slopes of the relationship of lower limb muscle volume to body mass between the groups.</w:t>
      </w:r>
    </w:p>
    <w:p w:rsidR="006A1FC1" w:rsidRDefault="00C60CFE" w:rsidP="009D7A8A">
      <w:pPr>
        <w:jc w:val="both"/>
        <w:rPr>
          <w:rFonts w:ascii="Times New Roman" w:hAnsi="Times New Roman"/>
          <w:bCs/>
        </w:rPr>
      </w:pPr>
      <w:r>
        <w:rPr>
          <w:rFonts w:ascii="Times New Roman" w:hAnsi="Times New Roman"/>
          <w:bCs/>
        </w:rPr>
        <w:t xml:space="preserve"> </w:t>
      </w:r>
      <w:r w:rsidR="006A1FC1">
        <w:rPr>
          <w:rFonts w:ascii="Times New Roman" w:hAnsi="Times New Roman"/>
          <w:bCs/>
        </w:rPr>
        <w:t xml:space="preserve"> </w:t>
      </w:r>
    </w:p>
    <w:p w:rsidR="006A1FC1" w:rsidRPr="002B63CE" w:rsidRDefault="006A1FC1" w:rsidP="006A1FC1">
      <w:pPr>
        <w:jc w:val="both"/>
        <w:rPr>
          <w:rFonts w:ascii="Times New Roman" w:hAnsi="Times New Roman"/>
        </w:rPr>
      </w:pPr>
      <w:r>
        <w:rPr>
          <w:rFonts w:ascii="Times New Roman" w:hAnsi="Times New Roman"/>
        </w:rPr>
        <w:t xml:space="preserve">Figure S.4 shows lower limb muscle volume against body mass for the CP and TD groups under 17 years of age. Muscle volume and body mass were linearly related in the TD </w:t>
      </w:r>
      <w:r w:rsidRPr="00286D97">
        <w:rPr>
          <w:rFonts w:ascii="Times New Roman" w:hAnsi="Times New Roman"/>
        </w:rPr>
        <w:t>group (</w:t>
      </w:r>
      <w:r w:rsidRPr="00286D97">
        <w:rPr>
          <w:rFonts w:ascii="Times New Roman" w:hAnsi="Times New Roman"/>
          <w:szCs w:val="20"/>
          <w:lang w:eastAsia="en-GB"/>
        </w:rPr>
        <w:t>R</w:t>
      </w:r>
      <w:r w:rsidRPr="00286D97">
        <w:rPr>
          <w:rFonts w:ascii="Times New Roman" w:hAnsi="Times New Roman"/>
          <w:szCs w:val="20"/>
          <w:vertAlign w:val="superscript"/>
          <w:lang w:eastAsia="en-GB"/>
        </w:rPr>
        <w:t>2</w:t>
      </w:r>
      <w:r w:rsidRPr="00286D97">
        <w:rPr>
          <w:rFonts w:ascii="Times New Roman" w:hAnsi="Times New Roman"/>
          <w:szCs w:val="20"/>
          <w:lang w:eastAsia="en-GB"/>
        </w:rPr>
        <w:t>=0.86</w:t>
      </w:r>
      <w:r w:rsidR="006059E9" w:rsidRPr="00286D97">
        <w:rPr>
          <w:rFonts w:ascii="Times New Roman" w:hAnsi="Times New Roman"/>
          <w:szCs w:val="20"/>
          <w:lang w:eastAsia="en-GB"/>
        </w:rPr>
        <w:t>, p&lt;0.001)</w:t>
      </w:r>
      <w:r w:rsidRPr="00286D97">
        <w:rPr>
          <w:rFonts w:ascii="Times New Roman" w:hAnsi="Times New Roman"/>
          <w:szCs w:val="20"/>
          <w:lang w:eastAsia="en-GB"/>
        </w:rPr>
        <w:t xml:space="preserve"> and in the CP group (R</w:t>
      </w:r>
      <w:r w:rsidRPr="00286D97">
        <w:rPr>
          <w:rFonts w:ascii="Times New Roman" w:hAnsi="Times New Roman"/>
          <w:szCs w:val="20"/>
          <w:vertAlign w:val="superscript"/>
          <w:lang w:eastAsia="en-GB"/>
        </w:rPr>
        <w:t>2</w:t>
      </w:r>
      <w:r w:rsidRPr="00286D97">
        <w:rPr>
          <w:rFonts w:ascii="Times New Roman" w:hAnsi="Times New Roman"/>
          <w:szCs w:val="20"/>
          <w:lang w:eastAsia="en-GB"/>
        </w:rPr>
        <w:t>=0.64</w:t>
      </w:r>
      <w:r w:rsidR="006059E9" w:rsidRPr="00286D97">
        <w:rPr>
          <w:rFonts w:ascii="Times New Roman" w:hAnsi="Times New Roman"/>
          <w:szCs w:val="20"/>
          <w:lang w:eastAsia="en-GB"/>
        </w:rPr>
        <w:t>, p&lt;0.001)</w:t>
      </w:r>
      <w:r w:rsidRPr="00286D97">
        <w:rPr>
          <w:rFonts w:ascii="Times New Roman" w:hAnsi="Times New Roman"/>
          <w:szCs w:val="20"/>
          <w:lang w:eastAsia="en-GB"/>
        </w:rPr>
        <w:t xml:space="preserve">. </w:t>
      </w:r>
      <w:r w:rsidRPr="00286D97">
        <w:rPr>
          <w:rFonts w:ascii="Times New Roman" w:hAnsi="Times New Roman"/>
        </w:rPr>
        <w:t>Performing an ANCOVA found that lower limb muscle volume is significantly related to body mass (p&lt;0.001) and that there is a significantly difference between the slopes of the linear relationships of the two subject groups (</w:t>
      </w:r>
      <w:r w:rsidRPr="00286D97">
        <w:rPr>
          <w:rFonts w:ascii="Times New Roman" w:hAnsi="Times New Roman"/>
          <w:i/>
        </w:rPr>
        <w:t>p</w:t>
      </w:r>
      <w:r w:rsidRPr="00286D97">
        <w:rPr>
          <w:rFonts w:ascii="Times New Roman" w:hAnsi="Times New Roman"/>
        </w:rPr>
        <w:t>=0.00</w:t>
      </w:r>
      <w:r w:rsidR="00286D97" w:rsidRPr="00286D97">
        <w:rPr>
          <w:rFonts w:ascii="Times New Roman" w:hAnsi="Times New Roman"/>
        </w:rPr>
        <w:t>9</w:t>
      </w:r>
      <w:r w:rsidRPr="00286D97">
        <w:rPr>
          <w:rFonts w:ascii="Times New Roman" w:hAnsi="Times New Roman"/>
        </w:rPr>
        <w:t>), with subject group (</w:t>
      </w:r>
      <w:r w:rsidRPr="00286D97">
        <w:rPr>
          <w:rFonts w:ascii="Times New Roman" w:hAnsi="Times New Roman"/>
          <w:i/>
        </w:rPr>
        <w:t>p</w:t>
      </w:r>
      <w:r w:rsidRPr="00286D97">
        <w:rPr>
          <w:rFonts w:ascii="Times New Roman" w:hAnsi="Times New Roman"/>
        </w:rPr>
        <w:t>=0.</w:t>
      </w:r>
      <w:r w:rsidR="00286D97" w:rsidRPr="00286D97">
        <w:rPr>
          <w:rFonts w:ascii="Times New Roman" w:hAnsi="Times New Roman"/>
        </w:rPr>
        <w:t>198</w:t>
      </w:r>
      <w:r w:rsidRPr="00286D97">
        <w:rPr>
          <w:rFonts w:ascii="Times New Roman" w:hAnsi="Times New Roman"/>
        </w:rPr>
        <w:t>), sex (</w:t>
      </w:r>
      <w:r w:rsidRPr="00286D97">
        <w:rPr>
          <w:rFonts w:ascii="Times New Roman" w:hAnsi="Times New Roman"/>
          <w:i/>
        </w:rPr>
        <w:t>p</w:t>
      </w:r>
      <w:r w:rsidRPr="00286D97">
        <w:rPr>
          <w:rFonts w:ascii="Times New Roman" w:hAnsi="Times New Roman"/>
        </w:rPr>
        <w:t>=0.</w:t>
      </w:r>
      <w:r w:rsidR="00286D97" w:rsidRPr="00286D97">
        <w:rPr>
          <w:rFonts w:ascii="Times New Roman" w:hAnsi="Times New Roman"/>
        </w:rPr>
        <w:t>513</w:t>
      </w:r>
      <w:r w:rsidRPr="00286D97">
        <w:rPr>
          <w:rFonts w:ascii="Times New Roman" w:hAnsi="Times New Roman"/>
        </w:rPr>
        <w:t>), and age (</w:t>
      </w:r>
      <w:r w:rsidRPr="00286D97">
        <w:rPr>
          <w:rFonts w:ascii="Times New Roman" w:hAnsi="Times New Roman"/>
          <w:i/>
        </w:rPr>
        <w:t>p</w:t>
      </w:r>
      <w:r w:rsidRPr="00286D97">
        <w:rPr>
          <w:rFonts w:ascii="Times New Roman" w:hAnsi="Times New Roman"/>
        </w:rPr>
        <w:t>=0.</w:t>
      </w:r>
      <w:r w:rsidR="00286D97" w:rsidRPr="00286D97">
        <w:rPr>
          <w:rFonts w:ascii="Times New Roman" w:hAnsi="Times New Roman"/>
        </w:rPr>
        <w:t>098</w:t>
      </w:r>
      <w:r w:rsidRPr="00286D97">
        <w:rPr>
          <w:rFonts w:ascii="Times New Roman" w:hAnsi="Times New Roman"/>
        </w:rPr>
        <w:t>) found to not be significant factors of lower limb muscle volume.</w:t>
      </w:r>
    </w:p>
    <w:p w:rsidR="00C60CFE" w:rsidRDefault="00C60CFE" w:rsidP="009D7A8A">
      <w:pPr>
        <w:jc w:val="both"/>
        <w:rPr>
          <w:rFonts w:ascii="Times New Roman" w:hAnsi="Times New Roman"/>
        </w:rPr>
      </w:pPr>
    </w:p>
    <w:p w:rsidR="00C60CFE" w:rsidRDefault="00C60CFE" w:rsidP="002E16F3">
      <w:pPr>
        <w:jc w:val="both"/>
        <w:rPr>
          <w:b/>
          <w:u w:val="single"/>
        </w:rPr>
      </w:pPr>
    </w:p>
    <w:tbl>
      <w:tblPr>
        <w:tblW w:w="0" w:type="auto"/>
        <w:tblLook w:val="00A0" w:firstRow="1" w:lastRow="0" w:firstColumn="1" w:lastColumn="0" w:noHBand="0" w:noVBand="0"/>
      </w:tblPr>
      <w:tblGrid>
        <w:gridCol w:w="8300"/>
      </w:tblGrid>
      <w:tr w:rsidR="00C60CFE">
        <w:tc>
          <w:tcPr>
            <w:tcW w:w="8516" w:type="dxa"/>
          </w:tcPr>
          <w:p w:rsidR="00C60CFE" w:rsidRPr="00A464AB" w:rsidRDefault="00080168" w:rsidP="00A464AB">
            <w:pPr>
              <w:jc w:val="center"/>
              <w:rPr>
                <w:rFonts w:ascii="Times New Roman" w:hAnsi="Times New Roman"/>
                <w:i/>
                <w:sz w:val="20"/>
                <w:szCs w:val="20"/>
                <w:lang w:eastAsia="en-GB"/>
              </w:rPr>
            </w:pPr>
            <w:r>
              <w:rPr>
                <w:rFonts w:ascii="Times New Roman" w:hAnsi="Times New Roman"/>
                <w:noProof/>
                <w:sz w:val="20"/>
                <w:szCs w:val="20"/>
                <w:lang w:val="en-US"/>
              </w:rPr>
              <w:drawing>
                <wp:inline distT="0" distB="0" distL="0" distR="0">
                  <wp:extent cx="4216400" cy="2514600"/>
                  <wp:effectExtent l="25400" t="0" r="0" b="0"/>
                  <wp:docPr id="4" name="C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rsidR="00C60CFE">
        <w:tc>
          <w:tcPr>
            <w:tcW w:w="8516" w:type="dxa"/>
          </w:tcPr>
          <w:p w:rsidR="00C60CFE" w:rsidRPr="00CE0624" w:rsidRDefault="00C60CFE" w:rsidP="00A464AB">
            <w:pPr>
              <w:jc w:val="center"/>
              <w:rPr>
                <w:rFonts w:ascii="Times New Roman" w:hAnsi="Times New Roman"/>
                <w:i/>
                <w:szCs w:val="20"/>
                <w:lang w:eastAsia="en-GB"/>
              </w:rPr>
            </w:pPr>
            <w:r w:rsidRPr="00CE0624">
              <w:rPr>
                <w:rFonts w:ascii="Times New Roman" w:hAnsi="Times New Roman"/>
                <w:b/>
                <w:szCs w:val="20"/>
                <w:lang w:eastAsia="en-GB"/>
              </w:rPr>
              <w:t>Figure S.4:</w:t>
            </w:r>
            <w:r w:rsidRPr="00CE0624">
              <w:rPr>
                <w:rFonts w:ascii="Times New Roman" w:hAnsi="Times New Roman"/>
                <w:szCs w:val="20"/>
                <w:lang w:eastAsia="en-GB"/>
              </w:rPr>
              <w:t xml:space="preserve"> Lower limb muscle volume against body mass for a subset of subjects aged </w:t>
            </w:r>
            <w:r w:rsidR="00CE0624" w:rsidRPr="00CE0624">
              <w:rPr>
                <w:rFonts w:ascii="Times New Roman" w:hAnsi="Times New Roman"/>
                <w:szCs w:val="20"/>
                <w:lang w:eastAsia="en-GB"/>
              </w:rPr>
              <w:t>less than</w:t>
            </w:r>
            <w:r w:rsidRPr="00CE0624">
              <w:rPr>
                <w:rFonts w:ascii="Times New Roman" w:hAnsi="Times New Roman"/>
                <w:szCs w:val="20"/>
                <w:lang w:eastAsia="en-GB"/>
              </w:rPr>
              <w:t xml:space="preserve"> 17 years in the CP group (circle, dashed line, R</w:t>
            </w:r>
            <w:r w:rsidRPr="00CE0624">
              <w:rPr>
                <w:rFonts w:ascii="Times New Roman" w:hAnsi="Times New Roman"/>
                <w:szCs w:val="20"/>
                <w:vertAlign w:val="superscript"/>
                <w:lang w:eastAsia="en-GB"/>
              </w:rPr>
              <w:t>2</w:t>
            </w:r>
            <w:r w:rsidRPr="00CE0624">
              <w:rPr>
                <w:rFonts w:ascii="Times New Roman" w:hAnsi="Times New Roman"/>
                <w:szCs w:val="20"/>
                <w:lang w:eastAsia="en-GB"/>
              </w:rPr>
              <w:t>=0.64, muscle volume = 34.4*body-mass + 92.46) and TD group (square, sold line R</w:t>
            </w:r>
            <w:r w:rsidRPr="00CE0624">
              <w:rPr>
                <w:rFonts w:ascii="Times New Roman" w:hAnsi="Times New Roman"/>
                <w:szCs w:val="20"/>
                <w:vertAlign w:val="superscript"/>
                <w:lang w:eastAsia="en-GB"/>
              </w:rPr>
              <w:t>2</w:t>
            </w:r>
            <w:r w:rsidRPr="00CE0624">
              <w:rPr>
                <w:rFonts w:ascii="Times New Roman" w:hAnsi="Times New Roman"/>
                <w:szCs w:val="20"/>
                <w:lang w:eastAsia="en-GB"/>
              </w:rPr>
              <w:t>=0.86, muscle volume = 70.4* body-mass - 1137.1).</w:t>
            </w:r>
          </w:p>
        </w:tc>
      </w:tr>
    </w:tbl>
    <w:p w:rsidR="00C60CFE" w:rsidRDefault="00C60CFE" w:rsidP="002E16F3">
      <w:pPr>
        <w:jc w:val="both"/>
        <w:rPr>
          <w:b/>
          <w:u w:val="single"/>
        </w:rPr>
      </w:pPr>
    </w:p>
    <w:p w:rsidR="00C60CFE" w:rsidRDefault="00C60CFE" w:rsidP="002E16F3">
      <w:pPr>
        <w:jc w:val="both"/>
        <w:rPr>
          <w:b/>
          <w:u w:val="single"/>
        </w:rPr>
      </w:pPr>
    </w:p>
    <w:p w:rsidR="00C60CFE" w:rsidRDefault="00AB098A" w:rsidP="002E16F3">
      <w:pPr>
        <w:jc w:val="both"/>
        <w:rPr>
          <w:b/>
          <w:u w:val="single"/>
        </w:rPr>
      </w:pPr>
      <w:r>
        <w:rPr>
          <w:b/>
          <w:u w:val="single"/>
        </w:rPr>
        <w:t xml:space="preserve">4. </w:t>
      </w:r>
      <w:r w:rsidR="00C53BCC">
        <w:rPr>
          <w:b/>
          <w:u w:val="single"/>
        </w:rPr>
        <w:t>The relationship of m</w:t>
      </w:r>
      <w:r w:rsidR="00C60CFE">
        <w:rPr>
          <w:b/>
          <w:u w:val="single"/>
        </w:rPr>
        <w:t>uscle volume to body mass stratified by GMFCS level</w:t>
      </w:r>
    </w:p>
    <w:p w:rsidR="00C60CFE" w:rsidRDefault="00C60CFE" w:rsidP="002E16F3">
      <w:pPr>
        <w:jc w:val="both"/>
        <w:rPr>
          <w:b/>
          <w:u w:val="single"/>
        </w:rPr>
      </w:pPr>
    </w:p>
    <w:p w:rsidR="00C60CFE" w:rsidRDefault="00C60CFE" w:rsidP="002E16F3">
      <w:pPr>
        <w:jc w:val="both"/>
        <w:rPr>
          <w:rFonts w:ascii="Times New Roman" w:hAnsi="Times New Roman"/>
        </w:rPr>
      </w:pPr>
      <w:r>
        <w:rPr>
          <w:rFonts w:ascii="Times New Roman" w:hAnsi="Times New Roman"/>
        </w:rPr>
        <w:t xml:space="preserve">To investigate whether the deficit in muscle volume with increasing body mass in CP may also be dependent on GMFCS level, linear regression and ANOVA were repeated for the CP group stratified by GMFCS level. The CP group were a convenience sample of individuals attending clinics at our university hospital, which resulted in an unequal number of participants at each GMFCS level, with six individuals who are GMFCS level I, fourteen GMFCS level II, and five GMFCS level </w:t>
      </w:r>
      <w:r w:rsidR="004C56DD">
        <w:rPr>
          <w:rFonts w:ascii="Times New Roman" w:hAnsi="Times New Roman"/>
        </w:rPr>
        <w:t>III</w:t>
      </w:r>
      <w:r>
        <w:rPr>
          <w:rFonts w:ascii="Times New Roman" w:hAnsi="Times New Roman"/>
        </w:rPr>
        <w:t xml:space="preserve">. </w:t>
      </w:r>
      <w:r w:rsidR="00AF7F05">
        <w:rPr>
          <w:rFonts w:ascii="Times New Roman" w:hAnsi="Times New Roman"/>
        </w:rPr>
        <w:t>S</w:t>
      </w:r>
      <w:r>
        <w:rPr>
          <w:rFonts w:ascii="Times New Roman" w:hAnsi="Times New Roman"/>
        </w:rPr>
        <w:t>ignificant linear relationships were observed for the GMFCS I</w:t>
      </w:r>
      <w:r w:rsidR="004C56DD">
        <w:rPr>
          <w:rFonts w:ascii="Times New Roman" w:hAnsi="Times New Roman"/>
        </w:rPr>
        <w:t xml:space="preserve"> </w:t>
      </w:r>
      <w:r>
        <w:rPr>
          <w:rFonts w:ascii="Times New Roman" w:hAnsi="Times New Roman"/>
        </w:rPr>
        <w:t>(R</w:t>
      </w:r>
      <w:r>
        <w:rPr>
          <w:rFonts w:ascii="Times New Roman" w:hAnsi="Times New Roman"/>
          <w:vertAlign w:val="superscript"/>
        </w:rPr>
        <w:t>2</w:t>
      </w:r>
      <w:r>
        <w:rPr>
          <w:rFonts w:ascii="Times New Roman" w:hAnsi="Times New Roman"/>
        </w:rPr>
        <w:t xml:space="preserve">=0.81, </w:t>
      </w:r>
      <w:r w:rsidR="004F32FD" w:rsidRPr="004F32FD">
        <w:rPr>
          <w:rFonts w:ascii="Times New Roman" w:hAnsi="Times New Roman"/>
          <w:i/>
        </w:rPr>
        <w:t>p</w:t>
      </w:r>
      <w:r>
        <w:rPr>
          <w:rFonts w:ascii="Times New Roman" w:hAnsi="Times New Roman"/>
        </w:rPr>
        <w:t>&lt;0.015)</w:t>
      </w:r>
      <w:r w:rsidR="004C56DD">
        <w:rPr>
          <w:rFonts w:ascii="Times New Roman" w:hAnsi="Times New Roman"/>
        </w:rPr>
        <w:t xml:space="preserve"> and</w:t>
      </w:r>
      <w:r w:rsidR="000E43E6">
        <w:rPr>
          <w:rFonts w:ascii="Times New Roman" w:hAnsi="Times New Roman"/>
        </w:rPr>
        <w:t xml:space="preserve"> </w:t>
      </w:r>
      <w:r>
        <w:rPr>
          <w:rFonts w:ascii="Times New Roman" w:hAnsi="Times New Roman"/>
        </w:rPr>
        <w:t>II (R</w:t>
      </w:r>
      <w:r>
        <w:rPr>
          <w:rFonts w:ascii="Times New Roman" w:hAnsi="Times New Roman"/>
          <w:vertAlign w:val="superscript"/>
        </w:rPr>
        <w:t>2</w:t>
      </w:r>
      <w:r>
        <w:rPr>
          <w:rFonts w:ascii="Times New Roman" w:hAnsi="Times New Roman"/>
        </w:rPr>
        <w:t>=0.86, P&lt;0.001) (Figure S.5). Linear regression was not performed for the GMFCS III group as 4 out of the 5 subjects at GMFCS III were clustered together</w:t>
      </w:r>
      <w:r w:rsidR="00F427E1">
        <w:rPr>
          <w:rFonts w:ascii="Times New Roman" w:hAnsi="Times New Roman"/>
        </w:rPr>
        <w:t>, as can be seen in Figure S.5</w:t>
      </w:r>
      <w:r>
        <w:rPr>
          <w:rFonts w:ascii="Times New Roman" w:hAnsi="Times New Roman"/>
        </w:rPr>
        <w:t>.  The slopes of the slope of the linear regression model were 5.4% and 46.9% smaller than the gradient of the TD group for the GMFCS I and II subgroups respectively. Performing an ANOVA found that the difference in the between the slopes of the GMFCS I subgroup was not significantly different from the TD group (</w:t>
      </w:r>
      <w:r w:rsidRPr="004F32FD">
        <w:rPr>
          <w:rFonts w:ascii="Times New Roman" w:hAnsi="Times New Roman"/>
          <w:i/>
        </w:rPr>
        <w:t>p</w:t>
      </w:r>
      <w:r>
        <w:rPr>
          <w:rFonts w:ascii="Times New Roman" w:hAnsi="Times New Roman"/>
        </w:rPr>
        <w:t>=0.902) but there was a significant difference between the GMFCS I and II (</w:t>
      </w:r>
      <w:r w:rsidRPr="004F32FD">
        <w:rPr>
          <w:rFonts w:ascii="Times New Roman" w:hAnsi="Times New Roman"/>
          <w:i/>
        </w:rPr>
        <w:t>p</w:t>
      </w:r>
      <w:r>
        <w:rPr>
          <w:rFonts w:ascii="Times New Roman" w:hAnsi="Times New Roman"/>
        </w:rPr>
        <w:t>=0.044) and between the GMFCS II and TD groups (</w:t>
      </w:r>
      <w:r w:rsidRPr="004F32FD">
        <w:rPr>
          <w:rFonts w:ascii="Times New Roman" w:hAnsi="Times New Roman"/>
          <w:i/>
        </w:rPr>
        <w:t>p</w:t>
      </w:r>
      <w:r>
        <w:rPr>
          <w:rFonts w:ascii="Times New Roman" w:hAnsi="Times New Roman"/>
        </w:rPr>
        <w:t xml:space="preserve">=0.002). </w:t>
      </w:r>
    </w:p>
    <w:p w:rsidR="00C60CFE" w:rsidRDefault="00C60CFE" w:rsidP="002E16F3">
      <w:pPr>
        <w:jc w:val="both"/>
        <w:rPr>
          <w:b/>
          <w:u w:val="single"/>
        </w:rPr>
      </w:pPr>
    </w:p>
    <w:p w:rsidR="00C60CFE" w:rsidRDefault="00C60CFE" w:rsidP="002E16F3">
      <w:pPr>
        <w:jc w:val="both"/>
        <w:rPr>
          <w:b/>
          <w:u w:val="single"/>
        </w:rPr>
      </w:pPr>
    </w:p>
    <w:tbl>
      <w:tblPr>
        <w:tblW w:w="0" w:type="auto"/>
        <w:tblLook w:val="00A0" w:firstRow="1" w:lastRow="0" w:firstColumn="1" w:lastColumn="0" w:noHBand="0" w:noVBand="0"/>
      </w:tblPr>
      <w:tblGrid>
        <w:gridCol w:w="8300"/>
      </w:tblGrid>
      <w:tr w:rsidR="00C60CFE" w:rsidRPr="006E4093">
        <w:tc>
          <w:tcPr>
            <w:tcW w:w="8516" w:type="dxa"/>
          </w:tcPr>
          <w:p w:rsidR="00C60CFE" w:rsidRPr="006E4093" w:rsidRDefault="00080168" w:rsidP="009D7A8A">
            <w:pPr>
              <w:jc w:val="center"/>
              <w:rPr>
                <w:rFonts w:ascii="Times New Roman" w:hAnsi="Times New Roman"/>
                <w:noProof/>
                <w:lang w:val="en-US"/>
              </w:rPr>
            </w:pPr>
            <w:r>
              <w:rPr>
                <w:rFonts w:ascii="Times New Roman" w:hAnsi="Times New Roman"/>
                <w:noProof/>
                <w:lang w:val="en-US"/>
              </w:rPr>
              <w:drawing>
                <wp:inline distT="0" distB="0" distL="0" distR="0">
                  <wp:extent cx="4902200" cy="2946400"/>
                  <wp:effectExtent l="25400" t="0" r="0" b="0"/>
                  <wp:docPr id="5"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C60CFE" w:rsidRPr="00184CFE">
        <w:tc>
          <w:tcPr>
            <w:tcW w:w="8516" w:type="dxa"/>
          </w:tcPr>
          <w:p w:rsidR="00C60CFE" w:rsidRPr="00184CFE" w:rsidRDefault="00C60CFE" w:rsidP="00682773">
            <w:pPr>
              <w:jc w:val="center"/>
              <w:rPr>
                <w:rFonts w:ascii="Times New Roman" w:hAnsi="Times New Roman"/>
              </w:rPr>
            </w:pPr>
            <w:r w:rsidRPr="00184CFE">
              <w:rPr>
                <w:rFonts w:ascii="Times New Roman" w:hAnsi="Times New Roman"/>
                <w:b/>
              </w:rPr>
              <w:t xml:space="preserve">Figure </w:t>
            </w:r>
            <w:r>
              <w:rPr>
                <w:rFonts w:ascii="Times New Roman" w:hAnsi="Times New Roman"/>
                <w:b/>
              </w:rPr>
              <w:t>S.5</w:t>
            </w:r>
            <w:r w:rsidRPr="00184CFE">
              <w:rPr>
                <w:rFonts w:ascii="Times New Roman" w:hAnsi="Times New Roman"/>
                <w:b/>
              </w:rPr>
              <w:t>:</w:t>
            </w:r>
            <w:r w:rsidRPr="00184CFE">
              <w:rPr>
                <w:rFonts w:ascii="Times New Roman" w:hAnsi="Times New Roman"/>
              </w:rPr>
              <w:t xml:space="preserve"> </w:t>
            </w:r>
            <w:r>
              <w:rPr>
                <w:rFonts w:ascii="Times New Roman" w:hAnsi="Times New Roman"/>
              </w:rPr>
              <w:t>L</w:t>
            </w:r>
            <w:r w:rsidRPr="00184CFE">
              <w:rPr>
                <w:rFonts w:ascii="Times New Roman" w:hAnsi="Times New Roman"/>
              </w:rPr>
              <w:t xml:space="preserve">ower limb muscle volume against </w:t>
            </w:r>
            <w:r>
              <w:rPr>
                <w:rFonts w:ascii="Times New Roman" w:hAnsi="Times New Roman"/>
              </w:rPr>
              <w:t xml:space="preserve">body mass </w:t>
            </w:r>
            <w:r w:rsidRPr="00184CFE">
              <w:rPr>
                <w:rFonts w:ascii="Times New Roman" w:hAnsi="Times New Roman"/>
              </w:rPr>
              <w:t xml:space="preserve">for the </w:t>
            </w:r>
            <w:r>
              <w:rPr>
                <w:rFonts w:ascii="Times New Roman" w:hAnsi="Times New Roman"/>
              </w:rPr>
              <w:t>TD group (cross</w:t>
            </w:r>
            <w:r w:rsidRPr="00184CFE">
              <w:rPr>
                <w:rFonts w:ascii="Times New Roman" w:hAnsi="Times New Roman"/>
              </w:rPr>
              <w:t xml:space="preserve">, </w:t>
            </w:r>
            <w:r w:rsidR="00AF7F05">
              <w:rPr>
                <w:rFonts w:ascii="Times New Roman" w:hAnsi="Times New Roman"/>
              </w:rPr>
              <w:t xml:space="preserve">grey </w:t>
            </w:r>
            <w:r>
              <w:rPr>
                <w:rFonts w:ascii="Times New Roman" w:hAnsi="Times New Roman"/>
              </w:rPr>
              <w:t xml:space="preserve">starred line, </w:t>
            </w:r>
            <w:r w:rsidRPr="00184CFE">
              <w:rPr>
                <w:rFonts w:ascii="Times New Roman" w:hAnsi="Times New Roman"/>
              </w:rPr>
              <w:t>R</w:t>
            </w:r>
            <w:r w:rsidRPr="00184CFE">
              <w:rPr>
                <w:rFonts w:ascii="Times New Roman" w:hAnsi="Times New Roman"/>
                <w:vertAlign w:val="superscript"/>
              </w:rPr>
              <w:t>2</w:t>
            </w:r>
            <w:r w:rsidRPr="00184CFE">
              <w:rPr>
                <w:rFonts w:ascii="Times New Roman" w:hAnsi="Times New Roman"/>
              </w:rPr>
              <w:t>=0.</w:t>
            </w:r>
            <w:r>
              <w:rPr>
                <w:rFonts w:ascii="Times New Roman" w:hAnsi="Times New Roman"/>
              </w:rPr>
              <w:t xml:space="preserve">77, muscle volume = 62.57*body mass -786.6) and CP group stratified by GMFCS level: GMFCS level I </w:t>
            </w:r>
            <w:r w:rsidRPr="00184CFE">
              <w:rPr>
                <w:rFonts w:ascii="Times New Roman" w:hAnsi="Times New Roman"/>
              </w:rPr>
              <w:t>(</w:t>
            </w:r>
            <w:r>
              <w:rPr>
                <w:rFonts w:ascii="Times New Roman" w:hAnsi="Times New Roman"/>
              </w:rPr>
              <w:t>diamond</w:t>
            </w:r>
            <w:r w:rsidRPr="00184CFE">
              <w:rPr>
                <w:rFonts w:ascii="Times New Roman" w:hAnsi="Times New Roman"/>
              </w:rPr>
              <w:t xml:space="preserve">, </w:t>
            </w:r>
            <w:r>
              <w:rPr>
                <w:rFonts w:ascii="Times New Roman" w:hAnsi="Times New Roman"/>
              </w:rPr>
              <w:t xml:space="preserve">solid line, </w:t>
            </w:r>
            <w:r w:rsidRPr="00184CFE">
              <w:rPr>
                <w:rFonts w:ascii="Times New Roman" w:hAnsi="Times New Roman"/>
              </w:rPr>
              <w:t>R</w:t>
            </w:r>
            <w:r w:rsidRPr="00184CFE">
              <w:rPr>
                <w:rFonts w:ascii="Times New Roman" w:hAnsi="Times New Roman"/>
                <w:vertAlign w:val="superscript"/>
              </w:rPr>
              <w:t>2</w:t>
            </w:r>
            <w:r w:rsidRPr="00184CFE">
              <w:rPr>
                <w:rFonts w:ascii="Times New Roman" w:hAnsi="Times New Roman"/>
              </w:rPr>
              <w:t>=0.</w:t>
            </w:r>
            <w:r>
              <w:rPr>
                <w:rFonts w:ascii="Times New Roman" w:hAnsi="Times New Roman"/>
              </w:rPr>
              <w:t xml:space="preserve">81, muscle volume = 59.8*body mass - 904.5); GMFCS level II </w:t>
            </w:r>
            <w:r w:rsidRPr="00184CFE">
              <w:rPr>
                <w:rFonts w:ascii="Times New Roman" w:hAnsi="Times New Roman"/>
              </w:rPr>
              <w:t>(</w:t>
            </w:r>
            <w:r>
              <w:rPr>
                <w:rFonts w:ascii="Times New Roman" w:hAnsi="Times New Roman"/>
              </w:rPr>
              <w:t>square</w:t>
            </w:r>
            <w:r w:rsidRPr="00184CFE">
              <w:rPr>
                <w:rFonts w:ascii="Times New Roman" w:hAnsi="Times New Roman"/>
              </w:rPr>
              <w:t xml:space="preserve">, </w:t>
            </w:r>
            <w:r>
              <w:rPr>
                <w:rFonts w:ascii="Times New Roman" w:hAnsi="Times New Roman"/>
              </w:rPr>
              <w:t xml:space="preserve">dashed line, </w:t>
            </w:r>
            <w:r w:rsidRPr="00184CFE">
              <w:rPr>
                <w:rFonts w:ascii="Times New Roman" w:hAnsi="Times New Roman"/>
              </w:rPr>
              <w:t>R</w:t>
            </w:r>
            <w:r w:rsidRPr="00184CFE">
              <w:rPr>
                <w:rFonts w:ascii="Times New Roman" w:hAnsi="Times New Roman"/>
                <w:vertAlign w:val="superscript"/>
              </w:rPr>
              <w:t>2</w:t>
            </w:r>
            <w:r w:rsidRPr="00184CFE">
              <w:rPr>
                <w:rFonts w:ascii="Times New Roman" w:hAnsi="Times New Roman"/>
              </w:rPr>
              <w:t>=0.</w:t>
            </w:r>
            <w:r>
              <w:rPr>
                <w:rFonts w:ascii="Times New Roman" w:hAnsi="Times New Roman"/>
              </w:rPr>
              <w:t xml:space="preserve">86, muscle volume = 33.2*body mass + 176.6) </w:t>
            </w:r>
            <w:r w:rsidRPr="00184CFE">
              <w:rPr>
                <w:rFonts w:ascii="Times New Roman" w:hAnsi="Times New Roman"/>
              </w:rPr>
              <w:t xml:space="preserve">and </w:t>
            </w:r>
            <w:r>
              <w:rPr>
                <w:rFonts w:ascii="Times New Roman" w:hAnsi="Times New Roman"/>
              </w:rPr>
              <w:t xml:space="preserve">GMFCS level III </w:t>
            </w:r>
            <w:r w:rsidRPr="00184CFE">
              <w:rPr>
                <w:rFonts w:ascii="Times New Roman" w:hAnsi="Times New Roman"/>
              </w:rPr>
              <w:t xml:space="preserve"> (</w:t>
            </w:r>
            <w:r>
              <w:rPr>
                <w:rFonts w:ascii="Times New Roman" w:hAnsi="Times New Roman"/>
              </w:rPr>
              <w:t xml:space="preserve">triangle, </w:t>
            </w:r>
            <w:r w:rsidR="00F6383B">
              <w:rPr>
                <w:rFonts w:ascii="Times New Roman" w:hAnsi="Times New Roman"/>
              </w:rPr>
              <w:t xml:space="preserve">dotted line, </w:t>
            </w:r>
            <w:r w:rsidR="00F6383B" w:rsidRPr="00184CFE">
              <w:rPr>
                <w:rFonts w:ascii="Times New Roman" w:hAnsi="Times New Roman"/>
              </w:rPr>
              <w:t>R</w:t>
            </w:r>
            <w:r w:rsidR="00F6383B" w:rsidRPr="00184CFE">
              <w:rPr>
                <w:rFonts w:ascii="Times New Roman" w:hAnsi="Times New Roman"/>
                <w:vertAlign w:val="superscript"/>
              </w:rPr>
              <w:t>2</w:t>
            </w:r>
            <w:r w:rsidR="00F6383B" w:rsidRPr="00184CFE">
              <w:rPr>
                <w:rFonts w:ascii="Times New Roman" w:hAnsi="Times New Roman"/>
              </w:rPr>
              <w:t>=0.</w:t>
            </w:r>
            <w:r w:rsidR="00F6383B">
              <w:rPr>
                <w:rFonts w:ascii="Times New Roman" w:hAnsi="Times New Roman"/>
              </w:rPr>
              <w:t xml:space="preserve">86, muscle volume = </w:t>
            </w:r>
            <w:r w:rsidR="00682773">
              <w:rPr>
                <w:rFonts w:ascii="Times New Roman" w:hAnsi="Times New Roman"/>
              </w:rPr>
              <w:t>37.2</w:t>
            </w:r>
            <w:r w:rsidR="00F6383B">
              <w:rPr>
                <w:rFonts w:ascii="Times New Roman" w:hAnsi="Times New Roman"/>
              </w:rPr>
              <w:t>*body mass + 176.6</w:t>
            </w:r>
            <w:r>
              <w:rPr>
                <w:rFonts w:ascii="Times New Roman" w:hAnsi="Times New Roman"/>
              </w:rPr>
              <w:t>).</w:t>
            </w:r>
          </w:p>
        </w:tc>
      </w:tr>
    </w:tbl>
    <w:p w:rsidR="00C60CFE" w:rsidRDefault="00C60CFE" w:rsidP="002E16F3">
      <w:pPr>
        <w:jc w:val="both"/>
        <w:rPr>
          <w:b/>
          <w:u w:val="single"/>
        </w:rPr>
      </w:pPr>
    </w:p>
    <w:p w:rsidR="00817169" w:rsidRDefault="00817169"/>
    <w:p w:rsidR="00817169" w:rsidRDefault="00817169">
      <w:pPr>
        <w:rPr>
          <w:b/>
          <w:u w:val="single"/>
        </w:rPr>
      </w:pPr>
      <w:r>
        <w:rPr>
          <w:b/>
          <w:u w:val="single"/>
        </w:rPr>
        <w:br w:type="page"/>
      </w:r>
    </w:p>
    <w:p w:rsidR="00817169" w:rsidRDefault="00AB098A">
      <w:pPr>
        <w:rPr>
          <w:b/>
          <w:u w:val="single"/>
        </w:rPr>
      </w:pPr>
      <w:r>
        <w:rPr>
          <w:b/>
          <w:u w:val="single"/>
        </w:rPr>
        <w:lastRenderedPageBreak/>
        <w:t xml:space="preserve">5. </w:t>
      </w:r>
      <w:r w:rsidR="00817169" w:rsidRPr="00817169">
        <w:rPr>
          <w:b/>
          <w:u w:val="single"/>
        </w:rPr>
        <w:t>Participant intervention history</w:t>
      </w:r>
    </w:p>
    <w:p w:rsidR="00817169" w:rsidRDefault="00817169">
      <w:pPr>
        <w:rPr>
          <w:b/>
          <w:u w:val="single"/>
        </w:rPr>
      </w:pPr>
    </w:p>
    <w:tbl>
      <w:tblPr>
        <w:tblW w:w="9580" w:type="dxa"/>
        <w:tblInd w:w="88" w:type="dxa"/>
        <w:tblLook w:val="0000" w:firstRow="0" w:lastRow="0" w:firstColumn="0" w:lastColumn="0" w:noHBand="0" w:noVBand="0"/>
      </w:tblPr>
      <w:tblGrid>
        <w:gridCol w:w="1017"/>
        <w:gridCol w:w="5888"/>
        <w:gridCol w:w="2675"/>
      </w:tblGrid>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rPr>
            </w:pPr>
            <w:r w:rsidRPr="00B06314">
              <w:rPr>
                <w:rFonts w:ascii="Arial" w:hAnsi="Arial" w:cs="Arial"/>
              </w:rPr>
              <w:t>Subject</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Surgery</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rPr>
            </w:pPr>
            <w:r w:rsidRPr="00B06314">
              <w:rPr>
                <w:rFonts w:ascii="Arial" w:hAnsi="Arial" w:cs="Arial"/>
              </w:rPr>
              <w:t>Botulinum toxin injection</w:t>
            </w:r>
          </w:p>
        </w:tc>
      </w:tr>
      <w:tr w:rsidR="00817169" w:rsidRPr="00B06314">
        <w:trPr>
          <w:trHeight w:val="6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rPr>
            </w:pPr>
            <w:r w:rsidRPr="00B06314">
              <w:rPr>
                <w:rFonts w:ascii="Arial" w:hAnsi="Arial" w:cs="Arial"/>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B06314">
            <w:pPr>
              <w:rPr>
                <w:rFonts w:ascii="Arial" w:hAnsi="Arial" w:cs="Arial"/>
              </w:rPr>
            </w:pPr>
            <w:r w:rsidRPr="00B06314">
              <w:rPr>
                <w:rFonts w:ascii="Arial" w:hAnsi="Arial" w:cs="Arial"/>
              </w:rPr>
              <w:t xml:space="preserve">Bilateral </w:t>
            </w:r>
            <w:r w:rsidR="00B06314" w:rsidRPr="00B06314">
              <w:rPr>
                <w:rFonts w:ascii="Arial" w:hAnsi="Arial" w:cs="Arial"/>
              </w:rPr>
              <w:t>A</w:t>
            </w:r>
            <w:r w:rsidRPr="00B06314">
              <w:rPr>
                <w:rFonts w:ascii="Arial" w:hAnsi="Arial" w:cs="Arial"/>
              </w:rPr>
              <w:t xml:space="preserve">chilles tendon and hamstring lengthening. Repeat right hamstring </w:t>
            </w:r>
            <w:r w:rsidR="00B06314" w:rsidRPr="00B06314">
              <w:rPr>
                <w:rFonts w:ascii="Arial" w:hAnsi="Arial" w:cs="Arial"/>
              </w:rPr>
              <w:t xml:space="preserve"> </w:t>
            </w:r>
            <w:r w:rsidRPr="00B06314">
              <w:rPr>
                <w:rFonts w:ascii="Arial" w:hAnsi="Arial" w:cs="Arial"/>
              </w:rPr>
              <w:t>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rPr>
            </w:pPr>
            <w:r w:rsidRPr="00B06314">
              <w:rPr>
                <w:rFonts w:ascii="Arial" w:hAnsi="Arial" w:cs="Arial"/>
              </w:rPr>
              <w:t>None</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rPr>
            </w:pPr>
            <w:r w:rsidRPr="00B06314">
              <w:rPr>
                <w:rFonts w:ascii="Arial" w:hAnsi="Arial" w:cs="Arial"/>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None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rPr>
            </w:pPr>
            <w:r w:rsidRPr="00B06314">
              <w:rPr>
                <w:rFonts w:ascii="Arial" w:hAnsi="Arial" w:cs="Arial"/>
              </w:rPr>
              <w:t>None</w:t>
            </w:r>
          </w:p>
        </w:tc>
      </w:tr>
      <w:tr w:rsidR="00817169" w:rsidRPr="00B06314">
        <w:trPr>
          <w:trHeight w:val="9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rPr>
            </w:pPr>
            <w:r w:rsidRPr="00B06314">
              <w:rPr>
                <w:rFonts w:ascii="Arial" w:hAnsi="Arial" w:cs="Arial"/>
              </w:rPr>
              <w:t>3</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Bilateral psoas</w:t>
            </w:r>
            <w:r w:rsidR="00B06314" w:rsidRPr="00B06314">
              <w:rPr>
                <w:rFonts w:ascii="Arial" w:hAnsi="Arial" w:cs="Arial"/>
              </w:rPr>
              <w:t xml:space="preserve"> </w:t>
            </w:r>
            <w:r w:rsidRPr="00B06314">
              <w:rPr>
                <w:rFonts w:ascii="Arial" w:hAnsi="Arial" w:cs="Arial"/>
              </w:rPr>
              <w:t xml:space="preserve">and hamstring lengthening. Repeat Bilateral medial hamstring lengthening and bilateral rectus </w:t>
            </w:r>
            <w:proofErr w:type="spellStart"/>
            <w:r w:rsidRPr="00B06314">
              <w:rPr>
                <w:rFonts w:ascii="Arial" w:hAnsi="Arial" w:cs="Arial"/>
              </w:rPr>
              <w:t>femoris</w:t>
            </w:r>
            <w:proofErr w:type="spellEnd"/>
            <w:r w:rsidRPr="00B06314">
              <w:rPr>
                <w:rFonts w:ascii="Arial" w:hAnsi="Arial" w:cs="Arial"/>
              </w:rPr>
              <w:t xml:space="preserve"> transfer</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rPr>
            </w:pPr>
            <w:r w:rsidRPr="00B06314">
              <w:rPr>
                <w:rFonts w:ascii="Arial" w:hAnsi="Arial" w:cs="Arial"/>
              </w:rPr>
              <w:t xml:space="preserve">Bilateral gastrocnemius (x2). Bilateral  hamstrings </w:t>
            </w:r>
          </w:p>
        </w:tc>
      </w:tr>
      <w:tr w:rsidR="00817169" w:rsidRPr="00B06314">
        <w:trPr>
          <w:trHeight w:val="6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rPr>
            </w:pPr>
            <w:r w:rsidRPr="00B06314">
              <w:rPr>
                <w:rFonts w:ascii="Arial" w:hAnsi="Arial" w:cs="Arial"/>
              </w:rPr>
              <w:t>4</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 xml:space="preserve">Right femoral </w:t>
            </w:r>
            <w:proofErr w:type="spellStart"/>
            <w:r w:rsidRPr="00B06314">
              <w:rPr>
                <w:rFonts w:ascii="Arial" w:hAnsi="Arial" w:cs="Arial"/>
              </w:rPr>
              <w:t>derotation</w:t>
            </w:r>
            <w:proofErr w:type="spellEnd"/>
            <w:r w:rsidRPr="00B06314">
              <w:rPr>
                <w:rFonts w:ascii="Arial" w:hAnsi="Arial" w:cs="Arial"/>
              </w:rPr>
              <w:t xml:space="preserve"> osteotomy. Bilateral hamstring and calf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rPr>
            </w:pPr>
            <w:r w:rsidRPr="00B06314">
              <w:rPr>
                <w:rFonts w:ascii="Arial" w:hAnsi="Arial" w:cs="Arial"/>
              </w:rPr>
              <w:t>None</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5</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Left hamstring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Left gastrocnemius (x2)</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6</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None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7</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None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6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8</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 xml:space="preserve">Right </w:t>
            </w:r>
            <w:proofErr w:type="spellStart"/>
            <w:r w:rsidRPr="00B06314">
              <w:rPr>
                <w:rFonts w:ascii="Arial" w:hAnsi="Arial" w:cs="Arial"/>
              </w:rPr>
              <w:t>tibialis</w:t>
            </w:r>
            <w:proofErr w:type="spellEnd"/>
            <w:r w:rsidRPr="00B06314">
              <w:rPr>
                <w:rFonts w:ascii="Arial" w:hAnsi="Arial" w:cs="Arial"/>
              </w:rPr>
              <w:t xml:space="preserve"> posterior, </w:t>
            </w:r>
            <w:r w:rsidR="00B06314" w:rsidRPr="00B06314">
              <w:rPr>
                <w:rFonts w:ascii="Arial" w:hAnsi="Arial" w:cs="Arial"/>
              </w:rPr>
              <w:t>A</w:t>
            </w:r>
            <w:r w:rsidRPr="00B06314">
              <w:rPr>
                <w:rFonts w:ascii="Arial" w:hAnsi="Arial" w:cs="Arial"/>
              </w:rPr>
              <w:t>chilles tendon, FDL &amp; FHL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Right gastrocnemius</w:t>
            </w:r>
          </w:p>
        </w:tc>
      </w:tr>
      <w:tr w:rsidR="00817169" w:rsidRPr="00B06314">
        <w:trPr>
          <w:trHeight w:val="6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9</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 xml:space="preserve">Bilateral hamstring and </w:t>
            </w:r>
            <w:proofErr w:type="spellStart"/>
            <w:r w:rsidRPr="00B06314">
              <w:rPr>
                <w:rFonts w:ascii="Arial" w:hAnsi="Arial" w:cs="Arial"/>
              </w:rPr>
              <w:t>gracilis</w:t>
            </w:r>
            <w:proofErr w:type="spellEnd"/>
            <w:r w:rsidRPr="00B06314">
              <w:rPr>
                <w:rFonts w:ascii="Arial" w:hAnsi="Arial" w:cs="Arial"/>
              </w:rPr>
              <w:t xml:space="preserve"> lengthening. Right calf lengthening, </w:t>
            </w:r>
            <w:r w:rsidR="00B06314" w:rsidRPr="00B06314">
              <w:rPr>
                <w:rFonts w:ascii="Arial" w:hAnsi="Arial" w:cs="Arial"/>
              </w:rPr>
              <w:t>A</w:t>
            </w:r>
            <w:r w:rsidRPr="00B06314">
              <w:rPr>
                <w:rFonts w:ascii="Arial" w:hAnsi="Arial" w:cs="Arial"/>
              </w:rPr>
              <w:t>chilles tendon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 xml:space="preserve">Right gastrocnemius and hamstrings </w:t>
            </w:r>
          </w:p>
        </w:tc>
      </w:tr>
      <w:tr w:rsidR="00817169" w:rsidRPr="00B06314">
        <w:trPr>
          <w:trHeight w:val="6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10</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 xml:space="preserve">Bilateral </w:t>
            </w:r>
            <w:proofErr w:type="gramStart"/>
            <w:r w:rsidRPr="00B06314">
              <w:rPr>
                <w:rFonts w:ascii="Arial" w:hAnsi="Arial" w:cs="Arial"/>
              </w:rPr>
              <w:t>hamstring</w:t>
            </w:r>
            <w:r w:rsidR="00B06314" w:rsidRPr="00B06314">
              <w:rPr>
                <w:rFonts w:ascii="Arial" w:hAnsi="Arial" w:cs="Arial"/>
              </w:rPr>
              <w:t xml:space="preserve"> </w:t>
            </w:r>
            <w:r w:rsidRPr="00B06314">
              <w:rPr>
                <w:rFonts w:ascii="Arial" w:hAnsi="Arial" w:cs="Arial"/>
              </w:rPr>
              <w:t xml:space="preserve"> lengthening</w:t>
            </w:r>
            <w:proofErr w:type="gramEnd"/>
            <w:r w:rsidRPr="00B06314">
              <w:rPr>
                <w:rFonts w:ascii="Arial" w:hAnsi="Arial" w:cs="Arial"/>
              </w:rPr>
              <w:t>. Left ST tendon transfer to SM. Left BFLH and Achilles tendon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Bilateral gastrocnemius (x4)</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11</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Left</w:t>
            </w:r>
            <w:r w:rsidR="00B06314" w:rsidRPr="00B06314">
              <w:rPr>
                <w:rFonts w:ascii="Arial" w:hAnsi="Arial" w:cs="Arial"/>
              </w:rPr>
              <w:t xml:space="preserve"> </w:t>
            </w:r>
            <w:r w:rsidRPr="00B06314">
              <w:rPr>
                <w:rFonts w:ascii="Arial" w:hAnsi="Arial" w:cs="Arial"/>
              </w:rPr>
              <w:t xml:space="preserve">calf, </w:t>
            </w:r>
            <w:proofErr w:type="spellStart"/>
            <w:r w:rsidRPr="00B06314">
              <w:rPr>
                <w:rFonts w:ascii="Arial" w:hAnsi="Arial" w:cs="Arial"/>
              </w:rPr>
              <w:t>gracilis</w:t>
            </w:r>
            <w:proofErr w:type="spellEnd"/>
            <w:r w:rsidRPr="00B06314">
              <w:rPr>
                <w:rFonts w:ascii="Arial" w:hAnsi="Arial" w:cs="Arial"/>
              </w:rPr>
              <w:t>, and hamstring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6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12</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 xml:space="preserve">Right femoral </w:t>
            </w:r>
            <w:proofErr w:type="spellStart"/>
            <w:r w:rsidRPr="00B06314">
              <w:rPr>
                <w:rFonts w:ascii="Arial" w:hAnsi="Arial" w:cs="Arial"/>
              </w:rPr>
              <w:t>derotation</w:t>
            </w:r>
            <w:proofErr w:type="spellEnd"/>
            <w:r w:rsidRPr="00B06314">
              <w:rPr>
                <w:rFonts w:ascii="Arial" w:hAnsi="Arial" w:cs="Arial"/>
              </w:rPr>
              <w:t xml:space="preserve"> osteotomy and right calf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13</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None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300"/>
        </w:trPr>
        <w:tc>
          <w:tcPr>
            <w:tcW w:w="936"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jc w:val="center"/>
              <w:rPr>
                <w:rFonts w:ascii="Arial" w:hAnsi="Arial" w:cs="Arial"/>
                <w:color w:val="000000"/>
              </w:rPr>
            </w:pPr>
            <w:r w:rsidRPr="00B06314">
              <w:rPr>
                <w:rFonts w:ascii="Arial" w:hAnsi="Arial" w:cs="Arial"/>
                <w:color w:val="000000"/>
              </w:rPr>
              <w:t>14</w:t>
            </w:r>
          </w:p>
        </w:tc>
        <w:tc>
          <w:tcPr>
            <w:tcW w:w="5955" w:type="dxa"/>
            <w:tcBorders>
              <w:top w:val="single" w:sz="4" w:space="0" w:color="auto"/>
              <w:left w:val="single" w:sz="4" w:space="0" w:color="auto"/>
              <w:bottom w:val="single" w:sz="4" w:space="0" w:color="auto"/>
              <w:right w:val="single" w:sz="4" w:space="0" w:color="auto"/>
            </w:tcBorders>
            <w:shd w:val="clear" w:color="auto" w:fill="auto"/>
          </w:tcPr>
          <w:p w:rsidR="00817169" w:rsidRPr="00B06314" w:rsidRDefault="00817169" w:rsidP="00817169">
            <w:pPr>
              <w:rPr>
                <w:rFonts w:ascii="Arial" w:hAnsi="Arial" w:cs="Arial"/>
              </w:rPr>
            </w:pPr>
            <w:r w:rsidRPr="00B06314">
              <w:rPr>
                <w:rFonts w:ascii="Arial" w:hAnsi="Arial" w:cs="Arial"/>
              </w:rPr>
              <w:t>None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84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15</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lateral column lengthening and calf lengthening. Left hamstring lengthening. Bilateral Adductor release. Repeat bilateral hamstring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hip adductors</w:t>
            </w:r>
          </w:p>
        </w:tc>
      </w:tr>
      <w:tr w:rsidR="00817169" w:rsidRPr="00B06314">
        <w:trPr>
          <w:trHeight w:val="56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16</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hamstring and calf muscle lengthening and bilateral calcaneal osteotomy</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hip adductors</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17</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Right</w:t>
            </w:r>
            <w:r w:rsidR="00B06314">
              <w:rPr>
                <w:rFonts w:ascii="Arial" w:hAnsi="Arial" w:cs="Arial"/>
                <w:color w:val="000000"/>
              </w:rPr>
              <w:t xml:space="preserve"> </w:t>
            </w:r>
            <w:r w:rsidRPr="00B06314">
              <w:rPr>
                <w:rFonts w:ascii="Arial" w:hAnsi="Arial" w:cs="Arial"/>
                <w:color w:val="000000"/>
              </w:rPr>
              <w:t>calf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18</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hip adductor release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Hip adductors (x3)</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19</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hip adductor release</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20</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hamstring and calf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21</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calf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56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22</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lateral column lengthening and calf lengthening with left hamstring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56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23</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hamstring and calf muscle lengthening and bilateral calcaneal osteotomies</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24</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 xml:space="preserve">Right </w:t>
            </w:r>
            <w:proofErr w:type="spellStart"/>
            <w:r w:rsidRPr="00B06314">
              <w:rPr>
                <w:rFonts w:ascii="Arial" w:hAnsi="Arial" w:cs="Arial"/>
                <w:color w:val="000000"/>
              </w:rPr>
              <w:t>cavo</w:t>
            </w:r>
            <w:r w:rsidR="00B06314">
              <w:rPr>
                <w:rFonts w:ascii="Arial" w:hAnsi="Arial" w:cs="Arial"/>
                <w:color w:val="000000"/>
              </w:rPr>
              <w:t>-</w:t>
            </w:r>
            <w:r w:rsidRPr="00B06314">
              <w:rPr>
                <w:rFonts w:ascii="Arial" w:hAnsi="Arial" w:cs="Arial"/>
                <w:color w:val="000000"/>
              </w:rPr>
              <w:t>varus</w:t>
            </w:r>
            <w:proofErr w:type="spellEnd"/>
            <w:r w:rsidRPr="00B06314">
              <w:rPr>
                <w:rFonts w:ascii="Arial" w:hAnsi="Arial" w:cs="Arial"/>
                <w:color w:val="000000"/>
              </w:rPr>
              <w:t xml:space="preserve"> foot deformity correction</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280"/>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jc w:val="right"/>
              <w:rPr>
                <w:rFonts w:ascii="Arial" w:hAnsi="Arial" w:cs="Arial"/>
                <w:color w:val="000000"/>
              </w:rPr>
            </w:pPr>
            <w:r w:rsidRPr="00B06314">
              <w:rPr>
                <w:rFonts w:ascii="Arial" w:hAnsi="Arial" w:cs="Arial"/>
                <w:color w:val="000000"/>
              </w:rPr>
              <w:t>25</w:t>
            </w:r>
          </w:p>
        </w:tc>
        <w:tc>
          <w:tcPr>
            <w:tcW w:w="5955"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Bilateral hamstring and calf lengthening</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None</w:t>
            </w:r>
          </w:p>
        </w:tc>
      </w:tr>
      <w:tr w:rsidR="00817169" w:rsidRPr="00B06314">
        <w:trPr>
          <w:trHeight w:val="280"/>
        </w:trPr>
        <w:tc>
          <w:tcPr>
            <w:tcW w:w="958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817169" w:rsidRPr="00B06314" w:rsidRDefault="00817169" w:rsidP="00817169">
            <w:pPr>
              <w:rPr>
                <w:rFonts w:ascii="Arial" w:hAnsi="Arial" w:cs="Arial"/>
                <w:color w:val="000000"/>
              </w:rPr>
            </w:pPr>
            <w:r w:rsidRPr="00B06314">
              <w:rPr>
                <w:rFonts w:ascii="Arial" w:hAnsi="Arial" w:cs="Arial"/>
                <w:color w:val="000000"/>
              </w:rPr>
              <w:t>Table S.1: Intervention history for all partic</w:t>
            </w:r>
            <w:r w:rsidR="00B06314">
              <w:rPr>
                <w:rFonts w:ascii="Arial" w:hAnsi="Arial" w:cs="Arial"/>
                <w:color w:val="000000"/>
              </w:rPr>
              <w:t>i</w:t>
            </w:r>
            <w:r w:rsidRPr="00B06314">
              <w:rPr>
                <w:rFonts w:ascii="Arial" w:hAnsi="Arial" w:cs="Arial"/>
                <w:color w:val="000000"/>
              </w:rPr>
              <w:t>pants in the CP group. (</w:t>
            </w:r>
            <w:proofErr w:type="gramStart"/>
            <w:r w:rsidRPr="00B06314">
              <w:rPr>
                <w:rFonts w:ascii="Arial" w:hAnsi="Arial" w:cs="Arial"/>
                <w:color w:val="000000"/>
              </w:rPr>
              <w:t>x2</w:t>
            </w:r>
            <w:r w:rsidR="00B06314">
              <w:rPr>
                <w:rFonts w:ascii="Arial" w:hAnsi="Arial" w:cs="Arial"/>
                <w:color w:val="000000"/>
              </w:rPr>
              <w:t>,x3,x4</w:t>
            </w:r>
            <w:proofErr w:type="gramEnd"/>
            <w:r w:rsidRPr="00B06314">
              <w:rPr>
                <w:rFonts w:ascii="Arial" w:hAnsi="Arial" w:cs="Arial"/>
                <w:color w:val="000000"/>
              </w:rPr>
              <w:t xml:space="preserve">) denotes number of botulinum toxin injections. </w:t>
            </w:r>
          </w:p>
        </w:tc>
      </w:tr>
    </w:tbl>
    <w:p w:rsidR="00C60CFE" w:rsidRPr="00817169" w:rsidRDefault="00C60CFE" w:rsidP="00B06314">
      <w:pPr>
        <w:rPr>
          <w:b/>
          <w:u w:val="single"/>
        </w:rPr>
      </w:pPr>
    </w:p>
    <w:sectPr w:rsidR="00C60CFE" w:rsidRPr="00817169" w:rsidSect="000366F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ABE"/>
    <w:rsid w:val="00020A6B"/>
    <w:rsid w:val="000366F4"/>
    <w:rsid w:val="000424A6"/>
    <w:rsid w:val="00080168"/>
    <w:rsid w:val="000E43E6"/>
    <w:rsid w:val="000F4996"/>
    <w:rsid w:val="00184CFE"/>
    <w:rsid w:val="001A443B"/>
    <w:rsid w:val="001C7834"/>
    <w:rsid w:val="00200165"/>
    <w:rsid w:val="00227900"/>
    <w:rsid w:val="00286D97"/>
    <w:rsid w:val="002B63CE"/>
    <w:rsid w:val="002E16F3"/>
    <w:rsid w:val="00323417"/>
    <w:rsid w:val="0034547F"/>
    <w:rsid w:val="003F02C6"/>
    <w:rsid w:val="00440706"/>
    <w:rsid w:val="00491D08"/>
    <w:rsid w:val="004A1AAC"/>
    <w:rsid w:val="004A1DE3"/>
    <w:rsid w:val="004C56DD"/>
    <w:rsid w:val="004F32FD"/>
    <w:rsid w:val="005A1BEB"/>
    <w:rsid w:val="006059E9"/>
    <w:rsid w:val="00614B55"/>
    <w:rsid w:val="00636253"/>
    <w:rsid w:val="0067273B"/>
    <w:rsid w:val="00682773"/>
    <w:rsid w:val="006A1FC1"/>
    <w:rsid w:val="006E4093"/>
    <w:rsid w:val="007F4463"/>
    <w:rsid w:val="00810B44"/>
    <w:rsid w:val="00817169"/>
    <w:rsid w:val="00872371"/>
    <w:rsid w:val="008B499B"/>
    <w:rsid w:val="008C059E"/>
    <w:rsid w:val="008F2D0D"/>
    <w:rsid w:val="009468C1"/>
    <w:rsid w:val="009D7A8A"/>
    <w:rsid w:val="00A07966"/>
    <w:rsid w:val="00A464AB"/>
    <w:rsid w:val="00A7140E"/>
    <w:rsid w:val="00A86C8B"/>
    <w:rsid w:val="00AB098A"/>
    <w:rsid w:val="00AB7227"/>
    <w:rsid w:val="00AC6372"/>
    <w:rsid w:val="00AF7F05"/>
    <w:rsid w:val="00B03171"/>
    <w:rsid w:val="00B06314"/>
    <w:rsid w:val="00B11E0C"/>
    <w:rsid w:val="00BC007B"/>
    <w:rsid w:val="00C53BCC"/>
    <w:rsid w:val="00C60CFE"/>
    <w:rsid w:val="00C65386"/>
    <w:rsid w:val="00CA087F"/>
    <w:rsid w:val="00CB5905"/>
    <w:rsid w:val="00CC5ABE"/>
    <w:rsid w:val="00CD1E56"/>
    <w:rsid w:val="00CD2368"/>
    <w:rsid w:val="00CE0624"/>
    <w:rsid w:val="00CE1C5D"/>
    <w:rsid w:val="00D537F6"/>
    <w:rsid w:val="00DA1982"/>
    <w:rsid w:val="00DB2137"/>
    <w:rsid w:val="00E169E4"/>
    <w:rsid w:val="00EE7F31"/>
    <w:rsid w:val="00F35CB8"/>
    <w:rsid w:val="00F427E1"/>
    <w:rsid w:val="00F63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C5197-0261-42F6-8AC2-26197BED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2"/>
        <w:szCs w:val="22"/>
        <w:lang w:val="en-GB" w:eastAsia="en-GB"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6F4"/>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366F4"/>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4547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4547F"/>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5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3" Type="http://schemas.openxmlformats.org/officeDocument/2006/relationships/webSettings" Target="webSettings.xml"/><Relationship Id="rId7" Type="http://schemas.openxmlformats.org/officeDocument/2006/relationships/chart" Target="charts/chart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10" Type="http://schemas.openxmlformats.org/officeDocument/2006/relationships/theme" Target="theme/theme1.xml"/><Relationship Id="rId4" Type="http://schemas.openxmlformats.org/officeDocument/2006/relationships/chart" Target="charts/chart1.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Paper\Bodymass%20vs%20muscle%20volume%20v2.4.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aper\Bodymass%20vs%20muscle%20volume%20v2.4.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aper\Bodymass%20vs%20muscle%20volume%20v2.4.xlsb"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jonathannoble:Documents:PhD:My%20Papers:Muscle%20Volumes%20Vs%20Body%20Mass:Bodymass%20vs%20muscle%20volume%20v2.4.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Paper\Bodymass%20vs%20muscle%20volume%20v2.4.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53602733620599"/>
          <c:y val="6.2190812720848102E-2"/>
          <c:w val="0.764058238003268"/>
          <c:h val="0.74955538243232001"/>
        </c:manualLayout>
      </c:layout>
      <c:scatterChart>
        <c:scatterStyle val="lineMarker"/>
        <c:varyColors val="0"/>
        <c:ser>
          <c:idx val="0"/>
          <c:order val="0"/>
          <c:spPr>
            <a:ln w="28575">
              <a:noFill/>
            </a:ln>
          </c:spPr>
          <c:marker>
            <c:symbol val="circle"/>
            <c:size val="7"/>
            <c:spPr>
              <a:noFill/>
              <a:ln>
                <a:solidFill>
                  <a:schemeClr val="tx1"/>
                </a:solidFill>
              </a:ln>
            </c:spPr>
          </c:marker>
          <c:trendline>
            <c:spPr>
              <a:ln w="22225">
                <a:prstDash val="lgDash"/>
              </a:ln>
            </c:spPr>
            <c:trendlineType val="linear"/>
            <c:dispRSqr val="0"/>
            <c:dispEq val="0"/>
          </c:trendline>
          <c:xVal>
            <c:numRef>
              <c:f>'ALL DATA25 people'!$F$2:$F$26</c:f>
              <c:numCache>
                <c:formatCode>0.00</c:formatCode>
                <c:ptCount val="25"/>
                <c:pt idx="0">
                  <c:v>1.7150000000000001</c:v>
                </c:pt>
                <c:pt idx="1">
                  <c:v>1.655</c:v>
                </c:pt>
                <c:pt idx="2">
                  <c:v>1.5449999999999999</c:v>
                </c:pt>
                <c:pt idx="3">
                  <c:v>1.52</c:v>
                </c:pt>
                <c:pt idx="4">
                  <c:v>1.665</c:v>
                </c:pt>
                <c:pt idx="5">
                  <c:v>1.49</c:v>
                </c:pt>
                <c:pt idx="6">
                  <c:v>1.31</c:v>
                </c:pt>
                <c:pt idx="7">
                  <c:v>1.34</c:v>
                </c:pt>
                <c:pt idx="8">
                  <c:v>1.68</c:v>
                </c:pt>
                <c:pt idx="9">
                  <c:v>1.401999999999997</c:v>
                </c:pt>
                <c:pt idx="10">
                  <c:v>1.59</c:v>
                </c:pt>
                <c:pt idx="11">
                  <c:v>1.575</c:v>
                </c:pt>
                <c:pt idx="12">
                  <c:v>1.43</c:v>
                </c:pt>
                <c:pt idx="13">
                  <c:v>1.585</c:v>
                </c:pt>
                <c:pt idx="14">
                  <c:v>1.8</c:v>
                </c:pt>
                <c:pt idx="15">
                  <c:v>1.47</c:v>
                </c:pt>
                <c:pt idx="16">
                  <c:v>1.62</c:v>
                </c:pt>
                <c:pt idx="17">
                  <c:v>1.5149999999999999</c:v>
                </c:pt>
                <c:pt idx="18">
                  <c:v>1.74</c:v>
                </c:pt>
                <c:pt idx="19">
                  <c:v>1.56</c:v>
                </c:pt>
                <c:pt idx="20">
                  <c:v>1.66</c:v>
                </c:pt>
                <c:pt idx="21">
                  <c:v>1.5449999999999999</c:v>
                </c:pt>
                <c:pt idx="22">
                  <c:v>1.8</c:v>
                </c:pt>
                <c:pt idx="23">
                  <c:v>1.82</c:v>
                </c:pt>
                <c:pt idx="24">
                  <c:v>1.62</c:v>
                </c:pt>
              </c:numCache>
            </c:numRef>
          </c:xVal>
          <c:yVal>
            <c:numRef>
              <c:f>'ALL DATA25 people'!$AA$2:$AA$26</c:f>
              <c:numCache>
                <c:formatCode>General</c:formatCode>
                <c:ptCount val="25"/>
                <c:pt idx="0">
                  <c:v>1990.5252499999999</c:v>
                </c:pt>
                <c:pt idx="1">
                  <c:v>2120.7455</c:v>
                </c:pt>
                <c:pt idx="2">
                  <c:v>1224.9609</c:v>
                </c:pt>
                <c:pt idx="3">
                  <c:v>1569.3720499999999</c:v>
                </c:pt>
                <c:pt idx="4">
                  <c:v>2769.6485999999991</c:v>
                </c:pt>
                <c:pt idx="5">
                  <c:v>1786.2734</c:v>
                </c:pt>
                <c:pt idx="6">
                  <c:v>995.56249999999761</c:v>
                </c:pt>
                <c:pt idx="7">
                  <c:v>1075.97615</c:v>
                </c:pt>
                <c:pt idx="8">
                  <c:v>1727.4701</c:v>
                </c:pt>
                <c:pt idx="9">
                  <c:v>1091.43785</c:v>
                </c:pt>
                <c:pt idx="10">
                  <c:v>1910.3217500000001</c:v>
                </c:pt>
                <c:pt idx="11">
                  <c:v>2372.4584500000001</c:v>
                </c:pt>
                <c:pt idx="12">
                  <c:v>1053.145</c:v>
                </c:pt>
                <c:pt idx="13">
                  <c:v>2448.5944500000001</c:v>
                </c:pt>
                <c:pt idx="14">
                  <c:v>3137.1421</c:v>
                </c:pt>
                <c:pt idx="15">
                  <c:v>1296.21225</c:v>
                </c:pt>
                <c:pt idx="16">
                  <c:v>2423.1495500000001</c:v>
                </c:pt>
                <c:pt idx="17">
                  <c:v>1387.02485</c:v>
                </c:pt>
                <c:pt idx="18">
                  <c:v>2265.0365999999999</c:v>
                </c:pt>
                <c:pt idx="19">
                  <c:v>1034.6482000000001</c:v>
                </c:pt>
                <c:pt idx="20">
                  <c:v>2030.7026000000001</c:v>
                </c:pt>
                <c:pt idx="21">
                  <c:v>1234.0256999999999</c:v>
                </c:pt>
                <c:pt idx="22">
                  <c:v>3254.1713000000009</c:v>
                </c:pt>
                <c:pt idx="23">
                  <c:v>3049.9924500000002</c:v>
                </c:pt>
                <c:pt idx="24">
                  <c:v>1620.923</c:v>
                </c:pt>
              </c:numCache>
            </c:numRef>
          </c:yVal>
          <c:smooth val="0"/>
        </c:ser>
        <c:ser>
          <c:idx val="1"/>
          <c:order val="1"/>
          <c:spPr>
            <a:ln w="28575">
              <a:noFill/>
            </a:ln>
          </c:spPr>
          <c:marker>
            <c:spPr>
              <a:noFill/>
              <a:ln>
                <a:solidFill>
                  <a:schemeClr val="tx1"/>
                </a:solidFill>
              </a:ln>
            </c:spPr>
          </c:marker>
          <c:trendline>
            <c:spPr>
              <a:ln w="22225"/>
            </c:spPr>
            <c:trendlineType val="linear"/>
            <c:dispRSqr val="0"/>
            <c:dispEq val="0"/>
          </c:trendline>
          <c:xVal>
            <c:numRef>
              <c:f>'ALL DATA25 people'!$F$28:$F$52</c:f>
              <c:numCache>
                <c:formatCode>0.00</c:formatCode>
                <c:ptCount val="25"/>
                <c:pt idx="0">
                  <c:v>1.77</c:v>
                </c:pt>
                <c:pt idx="1">
                  <c:v>1.74</c:v>
                </c:pt>
                <c:pt idx="2">
                  <c:v>1.615</c:v>
                </c:pt>
                <c:pt idx="3">
                  <c:v>1.82</c:v>
                </c:pt>
                <c:pt idx="4">
                  <c:v>1.7450000000000001</c:v>
                </c:pt>
                <c:pt idx="5">
                  <c:v>1.7</c:v>
                </c:pt>
                <c:pt idx="6">
                  <c:v>1.57</c:v>
                </c:pt>
                <c:pt idx="7">
                  <c:v>1.37</c:v>
                </c:pt>
                <c:pt idx="8">
                  <c:v>1.7529999999999999</c:v>
                </c:pt>
                <c:pt idx="9">
                  <c:v>1.6375</c:v>
                </c:pt>
                <c:pt idx="10">
                  <c:v>1.64</c:v>
                </c:pt>
                <c:pt idx="11">
                  <c:v>1.82</c:v>
                </c:pt>
                <c:pt idx="12">
                  <c:v>1.675</c:v>
                </c:pt>
                <c:pt idx="13">
                  <c:v>1.7975000000000001</c:v>
                </c:pt>
                <c:pt idx="14">
                  <c:v>1.845</c:v>
                </c:pt>
                <c:pt idx="15">
                  <c:v>1.75</c:v>
                </c:pt>
                <c:pt idx="16">
                  <c:v>1.43</c:v>
                </c:pt>
                <c:pt idx="17">
                  <c:v>1.72</c:v>
                </c:pt>
                <c:pt idx="18">
                  <c:v>1.9</c:v>
                </c:pt>
                <c:pt idx="19">
                  <c:v>1.88</c:v>
                </c:pt>
                <c:pt idx="20">
                  <c:v>1.75</c:v>
                </c:pt>
                <c:pt idx="21">
                  <c:v>1.75</c:v>
                </c:pt>
                <c:pt idx="22">
                  <c:v>1.665</c:v>
                </c:pt>
                <c:pt idx="23">
                  <c:v>1.9</c:v>
                </c:pt>
                <c:pt idx="24">
                  <c:v>1.83</c:v>
                </c:pt>
              </c:numCache>
            </c:numRef>
          </c:xVal>
          <c:yVal>
            <c:numRef>
              <c:f>'ALL DATA25 people'!$AA$28:$AA$52</c:f>
              <c:numCache>
                <c:formatCode>General</c:formatCode>
                <c:ptCount val="25"/>
                <c:pt idx="0">
                  <c:v>3630.4522500000012</c:v>
                </c:pt>
                <c:pt idx="1">
                  <c:v>3689.9405999999999</c:v>
                </c:pt>
                <c:pt idx="2">
                  <c:v>2475.6717000000008</c:v>
                </c:pt>
                <c:pt idx="3">
                  <c:v>4898.4276</c:v>
                </c:pt>
                <c:pt idx="4">
                  <c:v>3289.0834</c:v>
                </c:pt>
                <c:pt idx="5">
                  <c:v>2374.3973500000011</c:v>
                </c:pt>
                <c:pt idx="6">
                  <c:v>2402.749049999999</c:v>
                </c:pt>
                <c:pt idx="7">
                  <c:v>1526.3051499999999</c:v>
                </c:pt>
                <c:pt idx="8">
                  <c:v>2617.4910000000009</c:v>
                </c:pt>
                <c:pt idx="9">
                  <c:v>2327.6075500000002</c:v>
                </c:pt>
                <c:pt idx="10">
                  <c:v>2999.1667999999991</c:v>
                </c:pt>
                <c:pt idx="11">
                  <c:v>3156.6810500000001</c:v>
                </c:pt>
                <c:pt idx="12">
                  <c:v>2628.0145500000008</c:v>
                </c:pt>
                <c:pt idx="13">
                  <c:v>4092.5446999999981</c:v>
                </c:pt>
                <c:pt idx="14">
                  <c:v>3936.282049999998</c:v>
                </c:pt>
                <c:pt idx="15">
                  <c:v>3431.9730000000009</c:v>
                </c:pt>
                <c:pt idx="16">
                  <c:v>1845.17615</c:v>
                </c:pt>
                <c:pt idx="17">
                  <c:v>4001.7726999999982</c:v>
                </c:pt>
                <c:pt idx="18">
                  <c:v>3827.3834500000012</c:v>
                </c:pt>
                <c:pt idx="19">
                  <c:v>4419.2033499999989</c:v>
                </c:pt>
                <c:pt idx="20">
                  <c:v>4202.8108500000008</c:v>
                </c:pt>
                <c:pt idx="21">
                  <c:v>3589.2987999999991</c:v>
                </c:pt>
                <c:pt idx="22">
                  <c:v>2586.9151500000021</c:v>
                </c:pt>
                <c:pt idx="23">
                  <c:v>4779.5012500000003</c:v>
                </c:pt>
                <c:pt idx="24">
                  <c:v>3489.42265</c:v>
                </c:pt>
              </c:numCache>
            </c:numRef>
          </c:yVal>
          <c:smooth val="0"/>
        </c:ser>
        <c:dLbls>
          <c:showLegendKey val="0"/>
          <c:showVal val="0"/>
          <c:showCatName val="0"/>
          <c:showSerName val="0"/>
          <c:showPercent val="0"/>
          <c:showBubbleSize val="0"/>
        </c:dLbls>
        <c:axId val="141748200"/>
        <c:axId val="141753704"/>
      </c:scatterChart>
      <c:valAx>
        <c:axId val="141748200"/>
        <c:scaling>
          <c:orientation val="minMax"/>
          <c:min val="1"/>
        </c:scaling>
        <c:delete val="0"/>
        <c:axPos val="b"/>
        <c:title>
          <c:tx>
            <c:rich>
              <a:bodyPr/>
              <a:lstStyle/>
              <a:p>
                <a:pPr>
                  <a:defRPr lang="en-US"/>
                </a:pPr>
                <a:r>
                  <a:rPr lang="en-US"/>
                  <a:t>Height (m)</a:t>
                </a:r>
              </a:p>
            </c:rich>
          </c:tx>
          <c:layout/>
          <c:overlay val="0"/>
        </c:title>
        <c:numFmt formatCode="0.00" sourceLinked="1"/>
        <c:majorTickMark val="out"/>
        <c:minorTickMark val="none"/>
        <c:tickLblPos val="nextTo"/>
        <c:spPr>
          <a:ln>
            <a:solidFill>
              <a:schemeClr val="tx1"/>
            </a:solidFill>
          </a:ln>
        </c:spPr>
        <c:txPr>
          <a:bodyPr/>
          <a:lstStyle/>
          <a:p>
            <a:pPr>
              <a:defRPr lang="en-US"/>
            </a:pPr>
            <a:endParaRPr lang="en-US"/>
          </a:p>
        </c:txPr>
        <c:crossAx val="141753704"/>
        <c:crosses val="autoZero"/>
        <c:crossBetween val="midCat"/>
      </c:valAx>
      <c:valAx>
        <c:axId val="141753704"/>
        <c:scaling>
          <c:orientation val="minMax"/>
        </c:scaling>
        <c:delete val="0"/>
        <c:axPos val="l"/>
        <c:title>
          <c:tx>
            <c:rich>
              <a:bodyPr/>
              <a:lstStyle/>
              <a:p>
                <a:pPr>
                  <a:defRPr lang="en-US"/>
                </a:pPr>
                <a:r>
                  <a:rPr lang="en-US"/>
                  <a:t>Muscle volume (ml)</a:t>
                </a:r>
              </a:p>
            </c:rich>
          </c:tx>
          <c:layout/>
          <c:overlay val="0"/>
        </c:title>
        <c:numFmt formatCode="General" sourceLinked="1"/>
        <c:majorTickMark val="out"/>
        <c:minorTickMark val="none"/>
        <c:tickLblPos val="nextTo"/>
        <c:spPr>
          <a:ln>
            <a:solidFill>
              <a:schemeClr val="tx1"/>
            </a:solidFill>
          </a:ln>
        </c:spPr>
        <c:txPr>
          <a:bodyPr/>
          <a:lstStyle/>
          <a:p>
            <a:pPr>
              <a:defRPr lang="en-US"/>
            </a:pPr>
            <a:endParaRPr lang="en-US"/>
          </a:p>
        </c:txPr>
        <c:crossAx val="141748200"/>
        <c:crosses val="autoZero"/>
        <c:crossBetween val="midCat"/>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53602733620599"/>
          <c:y val="6.2190812720848102E-2"/>
          <c:w val="0.764058238003268"/>
          <c:h val="0.74955538243232001"/>
        </c:manualLayout>
      </c:layout>
      <c:scatterChart>
        <c:scatterStyle val="lineMarker"/>
        <c:varyColors val="0"/>
        <c:ser>
          <c:idx val="0"/>
          <c:order val="0"/>
          <c:spPr>
            <a:ln w="28575">
              <a:noFill/>
            </a:ln>
          </c:spPr>
          <c:marker>
            <c:symbol val="circle"/>
            <c:size val="7"/>
            <c:spPr>
              <a:noFill/>
              <a:ln>
                <a:solidFill>
                  <a:schemeClr val="tx1"/>
                </a:solidFill>
              </a:ln>
            </c:spPr>
          </c:marker>
          <c:trendline>
            <c:spPr>
              <a:ln w="22225">
                <a:prstDash val="lgDash"/>
              </a:ln>
            </c:spPr>
            <c:trendlineType val="linear"/>
            <c:dispRSqr val="0"/>
            <c:dispEq val="0"/>
          </c:trendline>
          <c:xVal>
            <c:numRef>
              <c:f>'ALL DATA25 people'!$N$2:$N$26</c:f>
              <c:numCache>
                <c:formatCode>General</c:formatCode>
                <c:ptCount val="25"/>
                <c:pt idx="0" formatCode="0.0">
                  <c:v>60.8</c:v>
                </c:pt>
                <c:pt idx="1">
                  <c:v>60.4</c:v>
                </c:pt>
                <c:pt idx="2">
                  <c:v>34.299999999999997</c:v>
                </c:pt>
                <c:pt idx="3">
                  <c:v>50.1</c:v>
                </c:pt>
                <c:pt idx="4" formatCode="0.0">
                  <c:v>58.5</c:v>
                </c:pt>
                <c:pt idx="5" formatCode="0.0">
                  <c:v>38.299999999999997</c:v>
                </c:pt>
                <c:pt idx="6" formatCode="0.0">
                  <c:v>25</c:v>
                </c:pt>
                <c:pt idx="7" formatCode="0.0">
                  <c:v>31.5</c:v>
                </c:pt>
                <c:pt idx="8" formatCode="0.0">
                  <c:v>47.9</c:v>
                </c:pt>
                <c:pt idx="9" formatCode="0.0">
                  <c:v>28.2</c:v>
                </c:pt>
                <c:pt idx="10" formatCode="0.0">
                  <c:v>50.9</c:v>
                </c:pt>
                <c:pt idx="11" formatCode="0.0">
                  <c:v>58.6</c:v>
                </c:pt>
                <c:pt idx="12" formatCode="0.0">
                  <c:v>34</c:v>
                </c:pt>
                <c:pt idx="13" formatCode="0.0">
                  <c:v>49</c:v>
                </c:pt>
                <c:pt idx="14" formatCode="0.00">
                  <c:v>82.6</c:v>
                </c:pt>
                <c:pt idx="15" formatCode="0.00">
                  <c:v>42.2</c:v>
                </c:pt>
                <c:pt idx="16" formatCode="0.00">
                  <c:v>85.8</c:v>
                </c:pt>
                <c:pt idx="17" formatCode="0.00">
                  <c:v>43.2</c:v>
                </c:pt>
                <c:pt idx="18" formatCode="0.00">
                  <c:v>67.400000000000006</c:v>
                </c:pt>
                <c:pt idx="19" formatCode="0.00">
                  <c:v>45</c:v>
                </c:pt>
                <c:pt idx="20" formatCode="0.00">
                  <c:v>50</c:v>
                </c:pt>
                <c:pt idx="21" formatCode="0.00">
                  <c:v>42.9</c:v>
                </c:pt>
                <c:pt idx="22" formatCode="0.00">
                  <c:v>80</c:v>
                </c:pt>
                <c:pt idx="23" formatCode="0.00">
                  <c:v>65</c:v>
                </c:pt>
                <c:pt idx="24" formatCode="0.00">
                  <c:v>47.1</c:v>
                </c:pt>
              </c:numCache>
            </c:numRef>
          </c:xVal>
          <c:yVal>
            <c:numRef>
              <c:f>'ALL DATA25 people'!$AA$2:$AA$26</c:f>
              <c:numCache>
                <c:formatCode>General</c:formatCode>
                <c:ptCount val="25"/>
                <c:pt idx="0">
                  <c:v>1990.5252499999999</c:v>
                </c:pt>
                <c:pt idx="1">
                  <c:v>2120.7455</c:v>
                </c:pt>
                <c:pt idx="2">
                  <c:v>1224.9609</c:v>
                </c:pt>
                <c:pt idx="3">
                  <c:v>1569.3720499999999</c:v>
                </c:pt>
                <c:pt idx="4">
                  <c:v>2769.6485999999991</c:v>
                </c:pt>
                <c:pt idx="5">
                  <c:v>1786.2734</c:v>
                </c:pt>
                <c:pt idx="6">
                  <c:v>995.56249999999761</c:v>
                </c:pt>
                <c:pt idx="7">
                  <c:v>1075.97615</c:v>
                </c:pt>
                <c:pt idx="8">
                  <c:v>1727.4701</c:v>
                </c:pt>
                <c:pt idx="9">
                  <c:v>1091.43785</c:v>
                </c:pt>
                <c:pt idx="10">
                  <c:v>1910.3217500000001</c:v>
                </c:pt>
                <c:pt idx="11">
                  <c:v>2372.4584500000001</c:v>
                </c:pt>
                <c:pt idx="12">
                  <c:v>1053.145</c:v>
                </c:pt>
                <c:pt idx="13">
                  <c:v>2448.5944500000001</c:v>
                </c:pt>
                <c:pt idx="14">
                  <c:v>3137.1421</c:v>
                </c:pt>
                <c:pt idx="15">
                  <c:v>1296.21225</c:v>
                </c:pt>
                <c:pt idx="16">
                  <c:v>2423.1495500000001</c:v>
                </c:pt>
                <c:pt idx="17">
                  <c:v>1387.02485</c:v>
                </c:pt>
                <c:pt idx="18">
                  <c:v>2265.0365999999999</c:v>
                </c:pt>
                <c:pt idx="19">
                  <c:v>1034.6482000000001</c:v>
                </c:pt>
                <c:pt idx="20">
                  <c:v>2030.7026000000001</c:v>
                </c:pt>
                <c:pt idx="21">
                  <c:v>1234.0256999999999</c:v>
                </c:pt>
                <c:pt idx="22">
                  <c:v>3254.1713000000009</c:v>
                </c:pt>
                <c:pt idx="23">
                  <c:v>3049.9924500000002</c:v>
                </c:pt>
                <c:pt idx="24">
                  <c:v>1620.923</c:v>
                </c:pt>
              </c:numCache>
            </c:numRef>
          </c:yVal>
          <c:smooth val="0"/>
        </c:ser>
        <c:ser>
          <c:idx val="1"/>
          <c:order val="1"/>
          <c:spPr>
            <a:ln w="28575">
              <a:noFill/>
            </a:ln>
          </c:spPr>
          <c:marker>
            <c:spPr>
              <a:noFill/>
              <a:ln>
                <a:solidFill>
                  <a:schemeClr val="tx1"/>
                </a:solidFill>
              </a:ln>
            </c:spPr>
          </c:marker>
          <c:trendline>
            <c:spPr>
              <a:ln w="22225"/>
            </c:spPr>
            <c:trendlineType val="linear"/>
            <c:dispRSqr val="0"/>
            <c:dispEq val="0"/>
          </c:trendline>
          <c:xVal>
            <c:numRef>
              <c:f>'ALL DATA25 people'!$N$28:$N$52</c:f>
              <c:numCache>
                <c:formatCode>General</c:formatCode>
                <c:ptCount val="25"/>
                <c:pt idx="0">
                  <c:v>85.5</c:v>
                </c:pt>
                <c:pt idx="1">
                  <c:v>64.2</c:v>
                </c:pt>
                <c:pt idx="2">
                  <c:v>51.5</c:v>
                </c:pt>
                <c:pt idx="3">
                  <c:v>77.7</c:v>
                </c:pt>
                <c:pt idx="4">
                  <c:v>57.9</c:v>
                </c:pt>
                <c:pt idx="5">
                  <c:v>56.4</c:v>
                </c:pt>
                <c:pt idx="6" formatCode="0.0">
                  <c:v>47.4</c:v>
                </c:pt>
                <c:pt idx="7" formatCode="0.0">
                  <c:v>38.6</c:v>
                </c:pt>
                <c:pt idx="8" formatCode="0.0">
                  <c:v>68</c:v>
                </c:pt>
                <c:pt idx="9" formatCode="0.0">
                  <c:v>58.1</c:v>
                </c:pt>
                <c:pt idx="10" formatCode="0.0">
                  <c:v>55.5</c:v>
                </c:pt>
                <c:pt idx="11" formatCode="0.0">
                  <c:v>61</c:v>
                </c:pt>
                <c:pt idx="12" formatCode="0.0">
                  <c:v>59.2</c:v>
                </c:pt>
                <c:pt idx="13" formatCode="0.0">
                  <c:v>82.7</c:v>
                </c:pt>
                <c:pt idx="14" formatCode="0.0">
                  <c:v>74.599999999999994</c:v>
                </c:pt>
                <c:pt idx="15" formatCode="0.00">
                  <c:v>63</c:v>
                </c:pt>
                <c:pt idx="16" formatCode="0.00">
                  <c:v>44</c:v>
                </c:pt>
                <c:pt idx="17" formatCode="0.00">
                  <c:v>70</c:v>
                </c:pt>
                <c:pt idx="18" formatCode="0.00">
                  <c:v>78</c:v>
                </c:pt>
                <c:pt idx="19" formatCode="0.00">
                  <c:v>80</c:v>
                </c:pt>
                <c:pt idx="20" formatCode="0.00">
                  <c:v>75</c:v>
                </c:pt>
                <c:pt idx="21" formatCode="0.00">
                  <c:v>70</c:v>
                </c:pt>
                <c:pt idx="22" formatCode="0.00">
                  <c:v>60</c:v>
                </c:pt>
                <c:pt idx="23" formatCode="0.00">
                  <c:v>80</c:v>
                </c:pt>
                <c:pt idx="24" formatCode="0.00">
                  <c:v>70</c:v>
                </c:pt>
              </c:numCache>
            </c:numRef>
          </c:xVal>
          <c:yVal>
            <c:numRef>
              <c:f>'ALL DATA25 people'!$AA$28:$AA$52</c:f>
              <c:numCache>
                <c:formatCode>General</c:formatCode>
                <c:ptCount val="25"/>
                <c:pt idx="0">
                  <c:v>3630.4522500000012</c:v>
                </c:pt>
                <c:pt idx="1">
                  <c:v>3689.9405999999999</c:v>
                </c:pt>
                <c:pt idx="2">
                  <c:v>2475.6717000000008</c:v>
                </c:pt>
                <c:pt idx="3">
                  <c:v>4898.4276</c:v>
                </c:pt>
                <c:pt idx="4">
                  <c:v>3289.0834</c:v>
                </c:pt>
                <c:pt idx="5">
                  <c:v>2374.3973500000011</c:v>
                </c:pt>
                <c:pt idx="6">
                  <c:v>2402.749049999999</c:v>
                </c:pt>
                <c:pt idx="7">
                  <c:v>1526.3051499999999</c:v>
                </c:pt>
                <c:pt idx="8">
                  <c:v>2617.4910000000009</c:v>
                </c:pt>
                <c:pt idx="9">
                  <c:v>2327.6075500000002</c:v>
                </c:pt>
                <c:pt idx="10">
                  <c:v>2999.1667999999991</c:v>
                </c:pt>
                <c:pt idx="11">
                  <c:v>3156.6810500000001</c:v>
                </c:pt>
                <c:pt idx="12">
                  <c:v>2628.0145500000008</c:v>
                </c:pt>
                <c:pt idx="13">
                  <c:v>4092.5446999999981</c:v>
                </c:pt>
                <c:pt idx="14">
                  <c:v>3936.282049999998</c:v>
                </c:pt>
                <c:pt idx="15">
                  <c:v>3431.9730000000009</c:v>
                </c:pt>
                <c:pt idx="16">
                  <c:v>1845.17615</c:v>
                </c:pt>
                <c:pt idx="17">
                  <c:v>4001.7726999999982</c:v>
                </c:pt>
                <c:pt idx="18">
                  <c:v>3827.3834500000012</c:v>
                </c:pt>
                <c:pt idx="19">
                  <c:v>4419.2033499999989</c:v>
                </c:pt>
                <c:pt idx="20">
                  <c:v>4202.8108500000008</c:v>
                </c:pt>
                <c:pt idx="21">
                  <c:v>3589.2987999999991</c:v>
                </c:pt>
                <c:pt idx="22">
                  <c:v>2586.9151500000021</c:v>
                </c:pt>
                <c:pt idx="23">
                  <c:v>4779.5012500000003</c:v>
                </c:pt>
                <c:pt idx="24">
                  <c:v>3489.42265</c:v>
                </c:pt>
              </c:numCache>
            </c:numRef>
          </c:yVal>
          <c:smooth val="0"/>
        </c:ser>
        <c:dLbls>
          <c:showLegendKey val="0"/>
          <c:showVal val="0"/>
          <c:showCatName val="0"/>
          <c:showSerName val="0"/>
          <c:showPercent val="0"/>
          <c:showBubbleSize val="0"/>
        </c:dLbls>
        <c:axId val="141789664"/>
        <c:axId val="141825456"/>
      </c:scatterChart>
      <c:valAx>
        <c:axId val="141789664"/>
        <c:scaling>
          <c:orientation val="minMax"/>
        </c:scaling>
        <c:delete val="0"/>
        <c:axPos val="b"/>
        <c:title>
          <c:tx>
            <c:rich>
              <a:bodyPr/>
              <a:lstStyle/>
              <a:p>
                <a:pPr>
                  <a:defRPr lang="en-US"/>
                </a:pPr>
                <a:r>
                  <a:rPr lang="en-US"/>
                  <a:t>Body mass</a:t>
                </a:r>
              </a:p>
            </c:rich>
          </c:tx>
          <c:layout/>
          <c:overlay val="0"/>
        </c:title>
        <c:numFmt formatCode="0" sourceLinked="0"/>
        <c:majorTickMark val="out"/>
        <c:minorTickMark val="none"/>
        <c:tickLblPos val="nextTo"/>
        <c:spPr>
          <a:ln>
            <a:solidFill>
              <a:schemeClr val="tx1"/>
            </a:solidFill>
          </a:ln>
        </c:spPr>
        <c:txPr>
          <a:bodyPr/>
          <a:lstStyle/>
          <a:p>
            <a:pPr>
              <a:defRPr lang="en-US"/>
            </a:pPr>
            <a:endParaRPr lang="en-US"/>
          </a:p>
        </c:txPr>
        <c:crossAx val="141825456"/>
        <c:crosses val="autoZero"/>
        <c:crossBetween val="midCat"/>
      </c:valAx>
      <c:valAx>
        <c:axId val="141825456"/>
        <c:scaling>
          <c:orientation val="minMax"/>
        </c:scaling>
        <c:delete val="0"/>
        <c:axPos val="l"/>
        <c:title>
          <c:tx>
            <c:rich>
              <a:bodyPr/>
              <a:lstStyle/>
              <a:p>
                <a:pPr>
                  <a:defRPr lang="en-US"/>
                </a:pPr>
                <a:r>
                  <a:rPr lang="en-US"/>
                  <a:t>Muscle volume (ml)</a:t>
                </a:r>
              </a:p>
            </c:rich>
          </c:tx>
          <c:layout/>
          <c:overlay val="0"/>
        </c:title>
        <c:numFmt formatCode="General" sourceLinked="1"/>
        <c:majorTickMark val="out"/>
        <c:minorTickMark val="none"/>
        <c:tickLblPos val="nextTo"/>
        <c:spPr>
          <a:ln>
            <a:solidFill>
              <a:schemeClr val="tx1"/>
            </a:solidFill>
          </a:ln>
        </c:spPr>
        <c:txPr>
          <a:bodyPr/>
          <a:lstStyle/>
          <a:p>
            <a:pPr>
              <a:defRPr lang="en-US"/>
            </a:pPr>
            <a:endParaRPr lang="en-US"/>
          </a:p>
        </c:txPr>
        <c:crossAx val="141789664"/>
        <c:crosses val="autoZero"/>
        <c:crossBetween val="midCat"/>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53602733620599"/>
          <c:y val="6.2190812720848102E-2"/>
          <c:w val="0.764058238003268"/>
          <c:h val="0.74955538243232001"/>
        </c:manualLayout>
      </c:layout>
      <c:scatterChart>
        <c:scatterStyle val="lineMarker"/>
        <c:varyColors val="0"/>
        <c:ser>
          <c:idx val="0"/>
          <c:order val="0"/>
          <c:spPr>
            <a:ln w="28575">
              <a:noFill/>
            </a:ln>
          </c:spPr>
          <c:marker>
            <c:symbol val="circle"/>
            <c:size val="7"/>
            <c:spPr>
              <a:noFill/>
              <a:ln>
                <a:solidFill>
                  <a:schemeClr val="tx1"/>
                </a:solidFill>
              </a:ln>
            </c:spPr>
          </c:marker>
          <c:trendline>
            <c:spPr>
              <a:ln w="22225">
                <a:prstDash val="lgDash"/>
              </a:ln>
            </c:spPr>
            <c:trendlineType val="linear"/>
            <c:dispRSqr val="0"/>
            <c:dispEq val="0"/>
          </c:trendline>
          <c:xVal>
            <c:numRef>
              <c:f>'ALL DATA25 people'!$O$2:$O$26</c:f>
              <c:numCache>
                <c:formatCode>0.0</c:formatCode>
                <c:ptCount val="25"/>
                <c:pt idx="0">
                  <c:v>104.27200000000001</c:v>
                </c:pt>
                <c:pt idx="1">
                  <c:v>99.962000000000003</c:v>
                </c:pt>
                <c:pt idx="2">
                  <c:v>52.993500000000012</c:v>
                </c:pt>
                <c:pt idx="3">
                  <c:v>76.151999999999987</c:v>
                </c:pt>
                <c:pt idx="4">
                  <c:v>97.402500000000003</c:v>
                </c:pt>
                <c:pt idx="5">
                  <c:v>57.067</c:v>
                </c:pt>
                <c:pt idx="6">
                  <c:v>32.75</c:v>
                </c:pt>
                <c:pt idx="7">
                  <c:v>42.21</c:v>
                </c:pt>
                <c:pt idx="8">
                  <c:v>80.471999999999994</c:v>
                </c:pt>
                <c:pt idx="9">
                  <c:v>39.5364</c:v>
                </c:pt>
                <c:pt idx="10">
                  <c:v>80.931000000000026</c:v>
                </c:pt>
                <c:pt idx="11">
                  <c:v>92.295000000000002</c:v>
                </c:pt>
                <c:pt idx="12">
                  <c:v>48.620000000000012</c:v>
                </c:pt>
                <c:pt idx="13">
                  <c:v>77.665000000000006</c:v>
                </c:pt>
                <c:pt idx="14">
                  <c:v>148.68</c:v>
                </c:pt>
                <c:pt idx="15">
                  <c:v>62.034000000000013</c:v>
                </c:pt>
                <c:pt idx="16">
                  <c:v>138.99600000000001</c:v>
                </c:pt>
                <c:pt idx="17">
                  <c:v>65.448000000000022</c:v>
                </c:pt>
                <c:pt idx="18">
                  <c:v>117.276</c:v>
                </c:pt>
                <c:pt idx="19">
                  <c:v>70.2</c:v>
                </c:pt>
                <c:pt idx="20">
                  <c:v>83</c:v>
                </c:pt>
                <c:pt idx="21">
                  <c:v>66.280500000000004</c:v>
                </c:pt>
                <c:pt idx="22">
                  <c:v>144</c:v>
                </c:pt>
                <c:pt idx="23">
                  <c:v>118.3</c:v>
                </c:pt>
                <c:pt idx="24">
                  <c:v>76.302000000000007</c:v>
                </c:pt>
              </c:numCache>
            </c:numRef>
          </c:xVal>
          <c:yVal>
            <c:numRef>
              <c:f>'ALL DATA25 people'!$AA$2:$AA$26</c:f>
              <c:numCache>
                <c:formatCode>General</c:formatCode>
                <c:ptCount val="25"/>
                <c:pt idx="0">
                  <c:v>1990.5252499999999</c:v>
                </c:pt>
                <c:pt idx="1">
                  <c:v>2120.7455</c:v>
                </c:pt>
                <c:pt idx="2">
                  <c:v>1224.9609</c:v>
                </c:pt>
                <c:pt idx="3">
                  <c:v>1569.3720499999999</c:v>
                </c:pt>
                <c:pt idx="4">
                  <c:v>2769.6485999999991</c:v>
                </c:pt>
                <c:pt idx="5">
                  <c:v>1786.2734</c:v>
                </c:pt>
                <c:pt idx="6">
                  <c:v>995.56249999999739</c:v>
                </c:pt>
                <c:pt idx="7">
                  <c:v>1075.97615</c:v>
                </c:pt>
                <c:pt idx="8">
                  <c:v>1727.4701</c:v>
                </c:pt>
                <c:pt idx="9">
                  <c:v>1091.43785</c:v>
                </c:pt>
                <c:pt idx="10">
                  <c:v>1910.3217500000001</c:v>
                </c:pt>
                <c:pt idx="11">
                  <c:v>2372.4584500000001</c:v>
                </c:pt>
                <c:pt idx="12">
                  <c:v>1053.145</c:v>
                </c:pt>
                <c:pt idx="13">
                  <c:v>2448.5944500000001</c:v>
                </c:pt>
                <c:pt idx="14">
                  <c:v>3137.1421</c:v>
                </c:pt>
                <c:pt idx="15">
                  <c:v>1296.21225</c:v>
                </c:pt>
                <c:pt idx="16">
                  <c:v>2423.1495500000001</c:v>
                </c:pt>
                <c:pt idx="17">
                  <c:v>1387.02485</c:v>
                </c:pt>
                <c:pt idx="18">
                  <c:v>2265.0365999999999</c:v>
                </c:pt>
                <c:pt idx="19">
                  <c:v>1034.6482000000001</c:v>
                </c:pt>
                <c:pt idx="20">
                  <c:v>2030.7026000000001</c:v>
                </c:pt>
                <c:pt idx="21">
                  <c:v>1234.0256999999999</c:v>
                </c:pt>
                <c:pt idx="22">
                  <c:v>3254.1713000000009</c:v>
                </c:pt>
                <c:pt idx="23">
                  <c:v>3049.9924500000002</c:v>
                </c:pt>
                <c:pt idx="24">
                  <c:v>1620.923</c:v>
                </c:pt>
              </c:numCache>
            </c:numRef>
          </c:yVal>
          <c:smooth val="0"/>
        </c:ser>
        <c:ser>
          <c:idx val="1"/>
          <c:order val="1"/>
          <c:spPr>
            <a:ln w="28575">
              <a:noFill/>
            </a:ln>
          </c:spPr>
          <c:marker>
            <c:spPr>
              <a:noFill/>
              <a:ln>
                <a:solidFill>
                  <a:schemeClr val="tx1"/>
                </a:solidFill>
              </a:ln>
            </c:spPr>
          </c:marker>
          <c:trendline>
            <c:spPr>
              <a:ln w="22225"/>
            </c:spPr>
            <c:trendlineType val="linear"/>
            <c:dispRSqr val="0"/>
            <c:dispEq val="0"/>
          </c:trendline>
          <c:xVal>
            <c:numRef>
              <c:f>'ALL DATA25 people'!$O$28:$O$52</c:f>
              <c:numCache>
                <c:formatCode>0.0</c:formatCode>
                <c:ptCount val="25"/>
                <c:pt idx="0">
                  <c:v>151.33500000000001</c:v>
                </c:pt>
                <c:pt idx="1">
                  <c:v>111.708</c:v>
                </c:pt>
                <c:pt idx="2">
                  <c:v>83.172499999999715</c:v>
                </c:pt>
                <c:pt idx="3">
                  <c:v>141.41399999999999</c:v>
                </c:pt>
                <c:pt idx="4">
                  <c:v>101.0355</c:v>
                </c:pt>
                <c:pt idx="5">
                  <c:v>95.88</c:v>
                </c:pt>
                <c:pt idx="6">
                  <c:v>74.418000000000006</c:v>
                </c:pt>
                <c:pt idx="7">
                  <c:v>52.881999999999998</c:v>
                </c:pt>
                <c:pt idx="8">
                  <c:v>119.20399999999999</c:v>
                </c:pt>
                <c:pt idx="9">
                  <c:v>95.138749999999845</c:v>
                </c:pt>
                <c:pt idx="10">
                  <c:v>91.02</c:v>
                </c:pt>
                <c:pt idx="11">
                  <c:v>111.02</c:v>
                </c:pt>
                <c:pt idx="12">
                  <c:v>99.160000000000011</c:v>
                </c:pt>
                <c:pt idx="13">
                  <c:v>148.65325000000001</c:v>
                </c:pt>
                <c:pt idx="14">
                  <c:v>137.637</c:v>
                </c:pt>
                <c:pt idx="15">
                  <c:v>110.25</c:v>
                </c:pt>
                <c:pt idx="16">
                  <c:v>62.92</c:v>
                </c:pt>
                <c:pt idx="17">
                  <c:v>120.4</c:v>
                </c:pt>
                <c:pt idx="18">
                  <c:v>148.19999999999999</c:v>
                </c:pt>
                <c:pt idx="19">
                  <c:v>150.4</c:v>
                </c:pt>
                <c:pt idx="20">
                  <c:v>131.25</c:v>
                </c:pt>
                <c:pt idx="21">
                  <c:v>122.5</c:v>
                </c:pt>
                <c:pt idx="22">
                  <c:v>99.9</c:v>
                </c:pt>
                <c:pt idx="23">
                  <c:v>152</c:v>
                </c:pt>
                <c:pt idx="24">
                  <c:v>128.1</c:v>
                </c:pt>
              </c:numCache>
            </c:numRef>
          </c:xVal>
          <c:yVal>
            <c:numRef>
              <c:f>'ALL DATA25 people'!$AA$28:$AA$52</c:f>
              <c:numCache>
                <c:formatCode>General</c:formatCode>
                <c:ptCount val="25"/>
                <c:pt idx="0">
                  <c:v>3630.4522500000012</c:v>
                </c:pt>
                <c:pt idx="1">
                  <c:v>3689.9405999999999</c:v>
                </c:pt>
                <c:pt idx="2">
                  <c:v>2475.6717000000008</c:v>
                </c:pt>
                <c:pt idx="3">
                  <c:v>4898.4276</c:v>
                </c:pt>
                <c:pt idx="4">
                  <c:v>3289.0834</c:v>
                </c:pt>
                <c:pt idx="5">
                  <c:v>2374.3973500000011</c:v>
                </c:pt>
                <c:pt idx="6">
                  <c:v>2402.749049999999</c:v>
                </c:pt>
                <c:pt idx="7">
                  <c:v>1526.3051499999999</c:v>
                </c:pt>
                <c:pt idx="8">
                  <c:v>2617.4910000000009</c:v>
                </c:pt>
                <c:pt idx="9">
                  <c:v>2327.6075500000002</c:v>
                </c:pt>
                <c:pt idx="10">
                  <c:v>2999.1667999999991</c:v>
                </c:pt>
                <c:pt idx="11">
                  <c:v>3156.6810500000001</c:v>
                </c:pt>
                <c:pt idx="12">
                  <c:v>2628.0145500000008</c:v>
                </c:pt>
                <c:pt idx="13">
                  <c:v>4092.5446999999981</c:v>
                </c:pt>
                <c:pt idx="14">
                  <c:v>3936.282049999998</c:v>
                </c:pt>
                <c:pt idx="15">
                  <c:v>3431.9730000000009</c:v>
                </c:pt>
                <c:pt idx="16">
                  <c:v>1845.17615</c:v>
                </c:pt>
                <c:pt idx="17">
                  <c:v>4001.7726999999982</c:v>
                </c:pt>
                <c:pt idx="18">
                  <c:v>3827.3834500000012</c:v>
                </c:pt>
                <c:pt idx="19">
                  <c:v>4419.2033499999989</c:v>
                </c:pt>
                <c:pt idx="20">
                  <c:v>4202.8108500000008</c:v>
                </c:pt>
                <c:pt idx="21">
                  <c:v>3589.2987999999991</c:v>
                </c:pt>
                <c:pt idx="22">
                  <c:v>2586.9151500000021</c:v>
                </c:pt>
                <c:pt idx="23">
                  <c:v>4779.5012500000003</c:v>
                </c:pt>
                <c:pt idx="24">
                  <c:v>3489.42265</c:v>
                </c:pt>
              </c:numCache>
            </c:numRef>
          </c:yVal>
          <c:smooth val="0"/>
        </c:ser>
        <c:dLbls>
          <c:showLegendKey val="0"/>
          <c:showVal val="0"/>
          <c:showCatName val="0"/>
          <c:showSerName val="0"/>
          <c:showPercent val="0"/>
          <c:showBubbleSize val="0"/>
        </c:dLbls>
        <c:axId val="141884480"/>
        <c:axId val="141884864"/>
      </c:scatterChart>
      <c:valAx>
        <c:axId val="141884480"/>
        <c:scaling>
          <c:orientation val="minMax"/>
        </c:scaling>
        <c:delete val="0"/>
        <c:axPos val="b"/>
        <c:title>
          <c:tx>
            <c:rich>
              <a:bodyPr/>
              <a:lstStyle/>
              <a:p>
                <a:pPr>
                  <a:defRPr lang="en-US"/>
                </a:pPr>
                <a:r>
                  <a:rPr lang="en-US"/>
                  <a:t>Height-mass product (kgm)</a:t>
                </a:r>
              </a:p>
            </c:rich>
          </c:tx>
          <c:layout/>
          <c:overlay val="0"/>
        </c:title>
        <c:numFmt formatCode="0" sourceLinked="0"/>
        <c:majorTickMark val="out"/>
        <c:minorTickMark val="none"/>
        <c:tickLblPos val="nextTo"/>
        <c:spPr>
          <a:ln>
            <a:solidFill>
              <a:schemeClr val="tx1"/>
            </a:solidFill>
          </a:ln>
        </c:spPr>
        <c:txPr>
          <a:bodyPr/>
          <a:lstStyle/>
          <a:p>
            <a:pPr>
              <a:defRPr lang="en-US"/>
            </a:pPr>
            <a:endParaRPr lang="en-US"/>
          </a:p>
        </c:txPr>
        <c:crossAx val="141884864"/>
        <c:crosses val="autoZero"/>
        <c:crossBetween val="midCat"/>
      </c:valAx>
      <c:valAx>
        <c:axId val="141884864"/>
        <c:scaling>
          <c:orientation val="minMax"/>
        </c:scaling>
        <c:delete val="0"/>
        <c:axPos val="l"/>
        <c:title>
          <c:tx>
            <c:rich>
              <a:bodyPr/>
              <a:lstStyle/>
              <a:p>
                <a:pPr>
                  <a:defRPr lang="en-US"/>
                </a:pPr>
                <a:r>
                  <a:rPr lang="en-US"/>
                  <a:t>Muscle volume (ml)</a:t>
                </a:r>
              </a:p>
            </c:rich>
          </c:tx>
          <c:layout/>
          <c:overlay val="0"/>
        </c:title>
        <c:numFmt formatCode="General" sourceLinked="1"/>
        <c:majorTickMark val="out"/>
        <c:minorTickMark val="none"/>
        <c:tickLblPos val="nextTo"/>
        <c:spPr>
          <a:ln>
            <a:solidFill>
              <a:schemeClr val="tx1"/>
            </a:solidFill>
          </a:ln>
        </c:spPr>
        <c:txPr>
          <a:bodyPr/>
          <a:lstStyle/>
          <a:p>
            <a:pPr>
              <a:defRPr lang="en-US"/>
            </a:pPr>
            <a:endParaRPr lang="en-US"/>
          </a:p>
        </c:txPr>
        <c:crossAx val="141884480"/>
        <c:crosses val="autoZero"/>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19225721784801"/>
          <c:y val="5.0925925925925902E-2"/>
          <c:w val="0.78487270341207305"/>
          <c:h val="0.77650080198308502"/>
        </c:manualLayout>
      </c:layout>
      <c:scatterChart>
        <c:scatterStyle val="lineMarker"/>
        <c:varyColors val="0"/>
        <c:ser>
          <c:idx val="0"/>
          <c:order val="0"/>
          <c:tx>
            <c:v>CP Under17</c:v>
          </c:tx>
          <c:spPr>
            <a:ln w="28575">
              <a:noFill/>
            </a:ln>
          </c:spPr>
          <c:marker>
            <c:symbol val="circle"/>
            <c:size val="7"/>
            <c:spPr>
              <a:noFill/>
              <a:ln>
                <a:solidFill>
                  <a:schemeClr val="tx1"/>
                </a:solidFill>
              </a:ln>
            </c:spPr>
          </c:marker>
          <c:trendline>
            <c:spPr>
              <a:ln w="22225">
                <a:prstDash val="dash"/>
              </a:ln>
            </c:spPr>
            <c:trendlineType val="linear"/>
            <c:dispRSqr val="0"/>
            <c:dispEq val="0"/>
          </c:trendline>
          <c:xVal>
            <c:numRef>
              <c:f>'Under 17'!$G$2:$G$23</c:f>
              <c:numCache>
                <c:formatCode>General</c:formatCode>
                <c:ptCount val="22"/>
                <c:pt idx="0" formatCode="0.0">
                  <c:v>60.8</c:v>
                </c:pt>
                <c:pt idx="1">
                  <c:v>34.299999999999997</c:v>
                </c:pt>
                <c:pt idx="2">
                  <c:v>50.1</c:v>
                </c:pt>
                <c:pt idx="3" formatCode="0.0">
                  <c:v>58.5</c:v>
                </c:pt>
                <c:pt idx="4" formatCode="0.0">
                  <c:v>38.299999999999997</c:v>
                </c:pt>
                <c:pt idx="5" formatCode="0.0">
                  <c:v>25</c:v>
                </c:pt>
                <c:pt idx="6" formatCode="0.0">
                  <c:v>31.5</c:v>
                </c:pt>
                <c:pt idx="7" formatCode="0.0">
                  <c:v>47.9</c:v>
                </c:pt>
                <c:pt idx="8" formatCode="0.0">
                  <c:v>28.2</c:v>
                </c:pt>
                <c:pt idx="9" formatCode="0.0">
                  <c:v>50.9</c:v>
                </c:pt>
                <c:pt idx="10" formatCode="0.0">
                  <c:v>58.6</c:v>
                </c:pt>
                <c:pt idx="11" formatCode="0.0">
                  <c:v>34</c:v>
                </c:pt>
                <c:pt idx="12" formatCode="0.0">
                  <c:v>49</c:v>
                </c:pt>
                <c:pt idx="13" formatCode="0.00">
                  <c:v>42.2</c:v>
                </c:pt>
                <c:pt idx="14" formatCode="0.00">
                  <c:v>85.8</c:v>
                </c:pt>
                <c:pt idx="15" formatCode="0.00">
                  <c:v>43.2</c:v>
                </c:pt>
                <c:pt idx="16" formatCode="0.00">
                  <c:v>67.400000000000006</c:v>
                </c:pt>
                <c:pt idx="17" formatCode="0.00">
                  <c:v>45</c:v>
                </c:pt>
                <c:pt idx="18" formatCode="0.00">
                  <c:v>50</c:v>
                </c:pt>
                <c:pt idx="19" formatCode="0.00">
                  <c:v>42.9</c:v>
                </c:pt>
                <c:pt idx="20" formatCode="0.00">
                  <c:v>65</c:v>
                </c:pt>
                <c:pt idx="21" formatCode="0.00">
                  <c:v>47.1</c:v>
                </c:pt>
              </c:numCache>
            </c:numRef>
          </c:xVal>
          <c:yVal>
            <c:numRef>
              <c:f>'Under 17'!$I$2:$I$23</c:f>
              <c:numCache>
                <c:formatCode>General</c:formatCode>
                <c:ptCount val="22"/>
                <c:pt idx="0">
                  <c:v>1990.5252499999999</c:v>
                </c:pt>
                <c:pt idx="1">
                  <c:v>1224.9609</c:v>
                </c:pt>
                <c:pt idx="2">
                  <c:v>1569.3720499999999</c:v>
                </c:pt>
                <c:pt idx="3">
                  <c:v>2769.6485999999991</c:v>
                </c:pt>
                <c:pt idx="4">
                  <c:v>1786.2734</c:v>
                </c:pt>
                <c:pt idx="5">
                  <c:v>995.56249999999886</c:v>
                </c:pt>
                <c:pt idx="6">
                  <c:v>1075.97615</c:v>
                </c:pt>
                <c:pt idx="7">
                  <c:v>1727.4701</c:v>
                </c:pt>
                <c:pt idx="8">
                  <c:v>1091.43785</c:v>
                </c:pt>
                <c:pt idx="9">
                  <c:v>1910.3217500000001</c:v>
                </c:pt>
                <c:pt idx="10">
                  <c:v>2372.4584500000001</c:v>
                </c:pt>
                <c:pt idx="11">
                  <c:v>1053.145</c:v>
                </c:pt>
                <c:pt idx="12">
                  <c:v>2448.5944500000001</c:v>
                </c:pt>
                <c:pt idx="13">
                  <c:v>1296.21225</c:v>
                </c:pt>
                <c:pt idx="14">
                  <c:v>2423.1495500000001</c:v>
                </c:pt>
                <c:pt idx="15">
                  <c:v>1387.02485</c:v>
                </c:pt>
                <c:pt idx="16">
                  <c:v>2265.0365999999999</c:v>
                </c:pt>
                <c:pt idx="17">
                  <c:v>1034.6482000000001</c:v>
                </c:pt>
                <c:pt idx="18">
                  <c:v>2030.7026000000001</c:v>
                </c:pt>
                <c:pt idx="19">
                  <c:v>1234.0256999999999</c:v>
                </c:pt>
                <c:pt idx="20">
                  <c:v>3049.9924500000002</c:v>
                </c:pt>
                <c:pt idx="21">
                  <c:v>1620.923</c:v>
                </c:pt>
              </c:numCache>
            </c:numRef>
          </c:yVal>
          <c:smooth val="0"/>
        </c:ser>
        <c:ser>
          <c:idx val="1"/>
          <c:order val="1"/>
          <c:tx>
            <c:v>TD under 17</c:v>
          </c:tx>
          <c:spPr>
            <a:ln w="28575">
              <a:noFill/>
            </a:ln>
          </c:spPr>
          <c:marker>
            <c:spPr>
              <a:noFill/>
              <a:ln>
                <a:solidFill>
                  <a:schemeClr val="tx1"/>
                </a:solidFill>
              </a:ln>
            </c:spPr>
          </c:marker>
          <c:trendline>
            <c:spPr>
              <a:ln w="22225"/>
            </c:spPr>
            <c:trendlineType val="linear"/>
            <c:dispRSqr val="0"/>
            <c:dispEq val="0"/>
          </c:trendline>
          <c:xVal>
            <c:numRef>
              <c:f>'Under 17'!$G$25:$G$37</c:f>
              <c:numCache>
                <c:formatCode>General</c:formatCode>
                <c:ptCount val="13"/>
                <c:pt idx="0">
                  <c:v>64.2</c:v>
                </c:pt>
                <c:pt idx="1">
                  <c:v>77.7</c:v>
                </c:pt>
                <c:pt idx="2">
                  <c:v>57.9</c:v>
                </c:pt>
                <c:pt idx="3" formatCode="0.0">
                  <c:v>47.4</c:v>
                </c:pt>
                <c:pt idx="4" formatCode="0.0">
                  <c:v>38.6</c:v>
                </c:pt>
                <c:pt idx="5" formatCode="0.0">
                  <c:v>55.5</c:v>
                </c:pt>
                <c:pt idx="6" formatCode="0.0">
                  <c:v>61</c:v>
                </c:pt>
                <c:pt idx="7" formatCode="0.0">
                  <c:v>59.2</c:v>
                </c:pt>
                <c:pt idx="8" formatCode="0.00">
                  <c:v>44</c:v>
                </c:pt>
                <c:pt idx="9" formatCode="0.00">
                  <c:v>70</c:v>
                </c:pt>
                <c:pt idx="10" formatCode="0.00">
                  <c:v>78</c:v>
                </c:pt>
                <c:pt idx="11" formatCode="0.00">
                  <c:v>60</c:v>
                </c:pt>
                <c:pt idx="12" formatCode="0.00">
                  <c:v>70</c:v>
                </c:pt>
              </c:numCache>
            </c:numRef>
          </c:xVal>
          <c:yVal>
            <c:numRef>
              <c:f>'Under 17'!$I$25:$I$37</c:f>
              <c:numCache>
                <c:formatCode>General</c:formatCode>
                <c:ptCount val="13"/>
                <c:pt idx="0">
                  <c:v>3689.9405999999999</c:v>
                </c:pt>
                <c:pt idx="1">
                  <c:v>4898.4276</c:v>
                </c:pt>
                <c:pt idx="2">
                  <c:v>3289.0834</c:v>
                </c:pt>
                <c:pt idx="3">
                  <c:v>2402.749049999999</c:v>
                </c:pt>
                <c:pt idx="4">
                  <c:v>1526.3051499999999</c:v>
                </c:pt>
                <c:pt idx="5">
                  <c:v>2999.1667999999991</c:v>
                </c:pt>
                <c:pt idx="6">
                  <c:v>3156.6810500000001</c:v>
                </c:pt>
                <c:pt idx="7">
                  <c:v>2628.0145500000008</c:v>
                </c:pt>
                <c:pt idx="8">
                  <c:v>1845.17615</c:v>
                </c:pt>
                <c:pt idx="9">
                  <c:v>4001.7727</c:v>
                </c:pt>
                <c:pt idx="10">
                  <c:v>3827.3834500000012</c:v>
                </c:pt>
                <c:pt idx="11">
                  <c:v>2586.9151500000012</c:v>
                </c:pt>
                <c:pt idx="12">
                  <c:v>3489.42265</c:v>
                </c:pt>
              </c:numCache>
            </c:numRef>
          </c:yVal>
          <c:smooth val="0"/>
        </c:ser>
        <c:dLbls>
          <c:showLegendKey val="0"/>
          <c:showVal val="0"/>
          <c:showCatName val="0"/>
          <c:showSerName val="0"/>
          <c:showPercent val="0"/>
          <c:showBubbleSize val="0"/>
        </c:dLbls>
        <c:axId val="141215176"/>
        <c:axId val="233173008"/>
      </c:scatterChart>
      <c:valAx>
        <c:axId val="141215176"/>
        <c:scaling>
          <c:orientation val="minMax"/>
        </c:scaling>
        <c:delete val="0"/>
        <c:axPos val="b"/>
        <c:title>
          <c:tx>
            <c:rich>
              <a:bodyPr/>
              <a:lstStyle/>
              <a:p>
                <a:pPr>
                  <a:defRPr lang="en-GB"/>
                </a:pPr>
                <a:r>
                  <a:rPr lang="en-US"/>
                  <a:t>Body mass (kg)</a:t>
                </a:r>
              </a:p>
            </c:rich>
          </c:tx>
          <c:layout/>
          <c:overlay val="0"/>
        </c:title>
        <c:numFmt formatCode="0" sourceLinked="0"/>
        <c:majorTickMark val="out"/>
        <c:minorTickMark val="none"/>
        <c:tickLblPos val="nextTo"/>
        <c:spPr>
          <a:ln>
            <a:solidFill>
              <a:schemeClr val="tx1"/>
            </a:solidFill>
          </a:ln>
        </c:spPr>
        <c:txPr>
          <a:bodyPr/>
          <a:lstStyle/>
          <a:p>
            <a:pPr>
              <a:defRPr lang="en-GB"/>
            </a:pPr>
            <a:endParaRPr lang="en-US"/>
          </a:p>
        </c:txPr>
        <c:crossAx val="233173008"/>
        <c:crosses val="autoZero"/>
        <c:crossBetween val="midCat"/>
      </c:valAx>
      <c:valAx>
        <c:axId val="233173008"/>
        <c:scaling>
          <c:orientation val="minMax"/>
        </c:scaling>
        <c:delete val="0"/>
        <c:axPos val="l"/>
        <c:title>
          <c:tx>
            <c:rich>
              <a:bodyPr/>
              <a:lstStyle/>
              <a:p>
                <a:pPr>
                  <a:defRPr lang="en-GB"/>
                </a:pPr>
                <a:r>
                  <a:rPr lang="en-US"/>
                  <a:t>Muscle volume (ml)</a:t>
                </a:r>
              </a:p>
            </c:rich>
          </c:tx>
          <c:layout/>
          <c:overlay val="0"/>
        </c:title>
        <c:numFmt formatCode="General" sourceLinked="1"/>
        <c:majorTickMark val="out"/>
        <c:minorTickMark val="none"/>
        <c:tickLblPos val="nextTo"/>
        <c:spPr>
          <a:ln>
            <a:solidFill>
              <a:schemeClr val="tx1"/>
            </a:solidFill>
          </a:ln>
        </c:spPr>
        <c:txPr>
          <a:bodyPr/>
          <a:lstStyle/>
          <a:p>
            <a:pPr>
              <a:defRPr lang="en-GB"/>
            </a:pPr>
            <a:endParaRPr lang="en-US"/>
          </a:p>
        </c:txPr>
        <c:crossAx val="141215176"/>
        <c:crosses val="autoZero"/>
        <c:crossBetween val="midCat"/>
      </c:valAx>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0629485026283"/>
          <c:y val="3.47003154574132E-2"/>
          <c:w val="0.78931445896132801"/>
          <c:h val="0.81398635170603695"/>
        </c:manualLayout>
      </c:layout>
      <c:scatterChart>
        <c:scatterStyle val="lineMarker"/>
        <c:varyColors val="0"/>
        <c:ser>
          <c:idx val="0"/>
          <c:order val="0"/>
          <c:tx>
            <c:v>GMFCS 1</c:v>
          </c:tx>
          <c:spPr>
            <a:ln w="28575">
              <a:noFill/>
            </a:ln>
          </c:spPr>
          <c:marker>
            <c:spPr>
              <a:solidFill>
                <a:schemeClr val="tx1">
                  <a:lumMod val="95000"/>
                  <a:lumOff val="5000"/>
                </a:schemeClr>
              </a:solidFill>
              <a:ln>
                <a:solidFill>
                  <a:schemeClr val="tx1">
                    <a:lumMod val="95000"/>
                    <a:lumOff val="5000"/>
                  </a:schemeClr>
                </a:solidFill>
              </a:ln>
            </c:spPr>
          </c:marker>
          <c:trendline>
            <c:spPr>
              <a:ln w="19050"/>
            </c:spPr>
            <c:trendlineType val="linear"/>
            <c:dispRSqr val="0"/>
            <c:dispEq val="0"/>
          </c:trendline>
          <c:xVal>
            <c:numRef>
              <c:f>'GMFCS Level'!$E$17:$E$22</c:f>
              <c:numCache>
                <c:formatCode>0.0</c:formatCode>
                <c:ptCount val="6"/>
                <c:pt idx="0" formatCode="General">
                  <c:v>50.1</c:v>
                </c:pt>
                <c:pt idx="1">
                  <c:v>58.5</c:v>
                </c:pt>
                <c:pt idx="2">
                  <c:v>31.5</c:v>
                </c:pt>
                <c:pt idx="3">
                  <c:v>50.9</c:v>
                </c:pt>
                <c:pt idx="4">
                  <c:v>49</c:v>
                </c:pt>
                <c:pt idx="5" formatCode="0.00">
                  <c:v>65</c:v>
                </c:pt>
              </c:numCache>
            </c:numRef>
          </c:xVal>
          <c:yVal>
            <c:numRef>
              <c:f>'GMFCS Level'!$F$17:$F$22</c:f>
              <c:numCache>
                <c:formatCode>General</c:formatCode>
                <c:ptCount val="6"/>
                <c:pt idx="0">
                  <c:v>1569.3720499999999</c:v>
                </c:pt>
                <c:pt idx="1">
                  <c:v>2769.6485999999991</c:v>
                </c:pt>
                <c:pt idx="2">
                  <c:v>1075.97615</c:v>
                </c:pt>
                <c:pt idx="3">
                  <c:v>1910.3217500000001</c:v>
                </c:pt>
                <c:pt idx="4">
                  <c:v>2448.5944500000001</c:v>
                </c:pt>
                <c:pt idx="5">
                  <c:v>3049.9924500000002</c:v>
                </c:pt>
              </c:numCache>
            </c:numRef>
          </c:yVal>
          <c:smooth val="0"/>
        </c:ser>
        <c:ser>
          <c:idx val="1"/>
          <c:order val="1"/>
          <c:tx>
            <c:v>GMFCS 2</c:v>
          </c:tx>
          <c:spPr>
            <a:ln w="28575">
              <a:noFill/>
            </a:ln>
          </c:spPr>
          <c:marker>
            <c:spPr>
              <a:solidFill>
                <a:schemeClr val="bg1"/>
              </a:solidFill>
              <a:ln>
                <a:solidFill>
                  <a:schemeClr val="tx1">
                    <a:lumMod val="95000"/>
                    <a:lumOff val="5000"/>
                  </a:schemeClr>
                </a:solidFill>
              </a:ln>
            </c:spPr>
          </c:marker>
          <c:trendline>
            <c:spPr>
              <a:ln w="19050">
                <a:prstDash val="lgDash"/>
              </a:ln>
            </c:spPr>
            <c:trendlineType val="linear"/>
            <c:dispRSqr val="0"/>
            <c:dispEq val="0"/>
          </c:trendline>
          <c:xVal>
            <c:numRef>
              <c:f>'GMFCS Level'!$E$2:$E$15</c:f>
              <c:numCache>
                <c:formatCode>General</c:formatCode>
                <c:ptCount val="14"/>
                <c:pt idx="0" formatCode="0.0">
                  <c:v>60.8</c:v>
                </c:pt>
                <c:pt idx="1">
                  <c:v>60.4</c:v>
                </c:pt>
                <c:pt idx="2">
                  <c:v>34.299999999999997</c:v>
                </c:pt>
                <c:pt idx="3" formatCode="0.0">
                  <c:v>38.299999999999997</c:v>
                </c:pt>
                <c:pt idx="4" formatCode="0.0">
                  <c:v>25</c:v>
                </c:pt>
                <c:pt idx="5" formatCode="0.0">
                  <c:v>47.9</c:v>
                </c:pt>
                <c:pt idx="6" formatCode="0.0">
                  <c:v>28.2</c:v>
                </c:pt>
                <c:pt idx="7" formatCode="0.0">
                  <c:v>58.6</c:v>
                </c:pt>
                <c:pt idx="8" formatCode="0.0">
                  <c:v>34</c:v>
                </c:pt>
                <c:pt idx="9" formatCode="0.00">
                  <c:v>82.6</c:v>
                </c:pt>
                <c:pt idx="10" formatCode="0.00">
                  <c:v>85.8</c:v>
                </c:pt>
                <c:pt idx="11" formatCode="0.00">
                  <c:v>50</c:v>
                </c:pt>
                <c:pt idx="12" formatCode="0.00">
                  <c:v>80</c:v>
                </c:pt>
                <c:pt idx="13" formatCode="0.00">
                  <c:v>47.1</c:v>
                </c:pt>
              </c:numCache>
            </c:numRef>
          </c:xVal>
          <c:yVal>
            <c:numRef>
              <c:f>'GMFCS Level'!$F$2:$F$15</c:f>
              <c:numCache>
                <c:formatCode>General</c:formatCode>
                <c:ptCount val="14"/>
                <c:pt idx="0">
                  <c:v>1990.5252499999999</c:v>
                </c:pt>
                <c:pt idx="1">
                  <c:v>2120.7455</c:v>
                </c:pt>
                <c:pt idx="2">
                  <c:v>1224.9609</c:v>
                </c:pt>
                <c:pt idx="3">
                  <c:v>1786.2734</c:v>
                </c:pt>
                <c:pt idx="4">
                  <c:v>995.56249999999829</c:v>
                </c:pt>
                <c:pt idx="5">
                  <c:v>1727.4701</c:v>
                </c:pt>
                <c:pt idx="6">
                  <c:v>1091.43785</c:v>
                </c:pt>
                <c:pt idx="7">
                  <c:v>2372.4584500000001</c:v>
                </c:pt>
                <c:pt idx="8">
                  <c:v>1053.145</c:v>
                </c:pt>
                <c:pt idx="9">
                  <c:v>3137.1421</c:v>
                </c:pt>
                <c:pt idx="10">
                  <c:v>2423.1495500000001</c:v>
                </c:pt>
                <c:pt idx="11">
                  <c:v>2030.7026000000001</c:v>
                </c:pt>
                <c:pt idx="12">
                  <c:v>3254.1713000000009</c:v>
                </c:pt>
                <c:pt idx="13">
                  <c:v>1620.923</c:v>
                </c:pt>
              </c:numCache>
            </c:numRef>
          </c:yVal>
          <c:smooth val="0"/>
        </c:ser>
        <c:ser>
          <c:idx val="2"/>
          <c:order val="2"/>
          <c:tx>
            <c:v>GMFCS 3</c:v>
          </c:tx>
          <c:spPr>
            <a:ln w="28575">
              <a:noFill/>
            </a:ln>
          </c:spPr>
          <c:marker>
            <c:spPr>
              <a:solidFill>
                <a:schemeClr val="bg1"/>
              </a:solidFill>
              <a:ln>
                <a:solidFill>
                  <a:schemeClr val="tx1">
                    <a:lumMod val="95000"/>
                    <a:lumOff val="5000"/>
                  </a:schemeClr>
                </a:solidFill>
              </a:ln>
            </c:spPr>
          </c:marker>
          <c:trendline>
            <c:spPr>
              <a:ln w="25400">
                <a:prstDash val="sysDot"/>
              </a:ln>
            </c:spPr>
            <c:trendlineType val="linear"/>
            <c:dispRSqr val="0"/>
            <c:dispEq val="0"/>
          </c:trendline>
          <c:xVal>
            <c:numRef>
              <c:f>'GMFCS Level'!$E$24:$E$28</c:f>
              <c:numCache>
                <c:formatCode>0.00</c:formatCode>
                <c:ptCount val="5"/>
                <c:pt idx="0">
                  <c:v>42.2</c:v>
                </c:pt>
                <c:pt idx="1">
                  <c:v>43.2</c:v>
                </c:pt>
                <c:pt idx="2">
                  <c:v>67.400000000000006</c:v>
                </c:pt>
                <c:pt idx="3">
                  <c:v>45</c:v>
                </c:pt>
                <c:pt idx="4">
                  <c:v>42.9</c:v>
                </c:pt>
              </c:numCache>
            </c:numRef>
          </c:xVal>
          <c:yVal>
            <c:numRef>
              <c:f>'GMFCS Level'!$F$24:$F$28</c:f>
              <c:numCache>
                <c:formatCode>General</c:formatCode>
                <c:ptCount val="5"/>
                <c:pt idx="0">
                  <c:v>1296.21225</c:v>
                </c:pt>
                <c:pt idx="1">
                  <c:v>1387.02485</c:v>
                </c:pt>
                <c:pt idx="2">
                  <c:v>2265.0365999999999</c:v>
                </c:pt>
                <c:pt idx="3">
                  <c:v>1034.6482000000001</c:v>
                </c:pt>
                <c:pt idx="4">
                  <c:v>1234.0256999999999</c:v>
                </c:pt>
              </c:numCache>
            </c:numRef>
          </c:yVal>
          <c:smooth val="0"/>
        </c:ser>
        <c:ser>
          <c:idx val="3"/>
          <c:order val="3"/>
          <c:tx>
            <c:v>TD</c:v>
          </c:tx>
          <c:spPr>
            <a:ln w="28575">
              <a:noFill/>
            </a:ln>
          </c:spPr>
          <c:marker>
            <c:symbol val="x"/>
            <c:size val="7"/>
            <c:spPr>
              <a:noFill/>
              <a:ln>
                <a:solidFill>
                  <a:sysClr val="windowText" lastClr="000000">
                    <a:lumMod val="95000"/>
                    <a:lumOff val="5000"/>
                  </a:sysClr>
                </a:solidFill>
              </a:ln>
            </c:spPr>
          </c:marker>
          <c:trendline>
            <c:spPr>
              <a:ln>
                <a:prstDash val="sysDot"/>
              </a:ln>
            </c:spPr>
            <c:trendlineType val="linear"/>
            <c:dispRSqr val="0"/>
            <c:dispEq val="0"/>
          </c:trendline>
          <c:xVal>
            <c:numRef>
              <c:f>'GMFCS Level'!$E$31:$E$55</c:f>
              <c:numCache>
                <c:formatCode>General</c:formatCode>
                <c:ptCount val="25"/>
                <c:pt idx="0">
                  <c:v>85.5</c:v>
                </c:pt>
                <c:pt idx="1">
                  <c:v>64.2</c:v>
                </c:pt>
                <c:pt idx="2">
                  <c:v>51.5</c:v>
                </c:pt>
                <c:pt idx="3">
                  <c:v>77.7</c:v>
                </c:pt>
                <c:pt idx="4">
                  <c:v>57.9</c:v>
                </c:pt>
                <c:pt idx="5">
                  <c:v>56.4</c:v>
                </c:pt>
                <c:pt idx="6" formatCode="0.0">
                  <c:v>47.4</c:v>
                </c:pt>
                <c:pt idx="7" formatCode="0.0">
                  <c:v>38.6</c:v>
                </c:pt>
                <c:pt idx="8" formatCode="0.0">
                  <c:v>68</c:v>
                </c:pt>
                <c:pt idx="9" formatCode="0.0">
                  <c:v>58.1</c:v>
                </c:pt>
                <c:pt idx="10" formatCode="0.0">
                  <c:v>55.5</c:v>
                </c:pt>
                <c:pt idx="11" formatCode="0.0">
                  <c:v>61</c:v>
                </c:pt>
                <c:pt idx="12" formatCode="0.0">
                  <c:v>59.2</c:v>
                </c:pt>
                <c:pt idx="13" formatCode="0.0">
                  <c:v>82.7</c:v>
                </c:pt>
                <c:pt idx="14" formatCode="0.0">
                  <c:v>74.599999999999994</c:v>
                </c:pt>
                <c:pt idx="15" formatCode="0.00">
                  <c:v>63</c:v>
                </c:pt>
                <c:pt idx="16" formatCode="0.00">
                  <c:v>44</c:v>
                </c:pt>
                <c:pt idx="17" formatCode="0.00">
                  <c:v>70</c:v>
                </c:pt>
                <c:pt idx="18" formatCode="0.00">
                  <c:v>78</c:v>
                </c:pt>
                <c:pt idx="19" formatCode="0.00">
                  <c:v>80</c:v>
                </c:pt>
                <c:pt idx="20" formatCode="0.00">
                  <c:v>75</c:v>
                </c:pt>
                <c:pt idx="21" formatCode="0.00">
                  <c:v>70</c:v>
                </c:pt>
                <c:pt idx="22" formatCode="0.00">
                  <c:v>60</c:v>
                </c:pt>
                <c:pt idx="23" formatCode="0.00">
                  <c:v>80</c:v>
                </c:pt>
                <c:pt idx="24" formatCode="0.00">
                  <c:v>70</c:v>
                </c:pt>
              </c:numCache>
            </c:numRef>
          </c:xVal>
          <c:yVal>
            <c:numRef>
              <c:f>'GMFCS Level'!$F$31:$F$55</c:f>
              <c:numCache>
                <c:formatCode>General</c:formatCode>
                <c:ptCount val="25"/>
                <c:pt idx="0">
                  <c:v>3630.4522500000012</c:v>
                </c:pt>
                <c:pt idx="1">
                  <c:v>3689.9405999999999</c:v>
                </c:pt>
                <c:pt idx="2">
                  <c:v>2475.6717000000008</c:v>
                </c:pt>
                <c:pt idx="3">
                  <c:v>4898.4276</c:v>
                </c:pt>
                <c:pt idx="4">
                  <c:v>3289.0834</c:v>
                </c:pt>
                <c:pt idx="5">
                  <c:v>2374.3973500000011</c:v>
                </c:pt>
                <c:pt idx="6">
                  <c:v>2402.749049999999</c:v>
                </c:pt>
                <c:pt idx="7">
                  <c:v>1526.3051499999999</c:v>
                </c:pt>
                <c:pt idx="8">
                  <c:v>2617.4910000000009</c:v>
                </c:pt>
                <c:pt idx="9">
                  <c:v>2327.6075500000002</c:v>
                </c:pt>
                <c:pt idx="10">
                  <c:v>2999.1667999999991</c:v>
                </c:pt>
                <c:pt idx="11">
                  <c:v>3156.6810500000001</c:v>
                </c:pt>
                <c:pt idx="12">
                  <c:v>2628.0145500000008</c:v>
                </c:pt>
                <c:pt idx="13">
                  <c:v>4092.5446999999981</c:v>
                </c:pt>
                <c:pt idx="14">
                  <c:v>3936.282049999993</c:v>
                </c:pt>
                <c:pt idx="15">
                  <c:v>3431.9730000000009</c:v>
                </c:pt>
                <c:pt idx="16">
                  <c:v>1845.17615</c:v>
                </c:pt>
                <c:pt idx="17">
                  <c:v>4001.7726999999982</c:v>
                </c:pt>
                <c:pt idx="18">
                  <c:v>3827.3834500000012</c:v>
                </c:pt>
                <c:pt idx="19">
                  <c:v>4419.2033499999989</c:v>
                </c:pt>
                <c:pt idx="20">
                  <c:v>4202.8108500000008</c:v>
                </c:pt>
                <c:pt idx="21">
                  <c:v>3589.2987999999991</c:v>
                </c:pt>
                <c:pt idx="22">
                  <c:v>2586.9151500000021</c:v>
                </c:pt>
                <c:pt idx="23">
                  <c:v>4779.5012500000003</c:v>
                </c:pt>
                <c:pt idx="24">
                  <c:v>3489.42265</c:v>
                </c:pt>
              </c:numCache>
            </c:numRef>
          </c:yVal>
          <c:smooth val="0"/>
        </c:ser>
        <c:dLbls>
          <c:showLegendKey val="0"/>
          <c:showVal val="0"/>
          <c:showCatName val="0"/>
          <c:showSerName val="0"/>
          <c:showPercent val="0"/>
          <c:showBubbleSize val="0"/>
        </c:dLbls>
        <c:axId val="233173792"/>
        <c:axId val="233174184"/>
      </c:scatterChart>
      <c:valAx>
        <c:axId val="233173792"/>
        <c:scaling>
          <c:orientation val="minMax"/>
          <c:min val="20"/>
        </c:scaling>
        <c:delete val="0"/>
        <c:axPos val="b"/>
        <c:title>
          <c:tx>
            <c:rich>
              <a:bodyPr/>
              <a:lstStyle/>
              <a:p>
                <a:pPr>
                  <a:defRPr lang="en-GB"/>
                </a:pPr>
                <a:r>
                  <a:rPr lang="en-GB"/>
                  <a:t>Body</a:t>
                </a:r>
                <a:r>
                  <a:rPr lang="en-GB" baseline="0"/>
                  <a:t> mass (kg)</a:t>
                </a:r>
                <a:endParaRPr lang="en-GB"/>
              </a:p>
            </c:rich>
          </c:tx>
          <c:layout/>
          <c:overlay val="0"/>
        </c:title>
        <c:numFmt formatCode="General" sourceLinked="1"/>
        <c:majorTickMark val="out"/>
        <c:minorTickMark val="none"/>
        <c:tickLblPos val="nextTo"/>
        <c:txPr>
          <a:bodyPr/>
          <a:lstStyle/>
          <a:p>
            <a:pPr>
              <a:defRPr lang="en-US"/>
            </a:pPr>
            <a:endParaRPr lang="en-US"/>
          </a:p>
        </c:txPr>
        <c:crossAx val="233174184"/>
        <c:crosses val="autoZero"/>
        <c:crossBetween val="midCat"/>
      </c:valAx>
      <c:valAx>
        <c:axId val="233174184"/>
        <c:scaling>
          <c:orientation val="minMax"/>
        </c:scaling>
        <c:delete val="0"/>
        <c:axPos val="l"/>
        <c:title>
          <c:tx>
            <c:rich>
              <a:bodyPr rot="-5400000" vert="horz"/>
              <a:lstStyle/>
              <a:p>
                <a:pPr>
                  <a:defRPr lang="en-GB"/>
                </a:pPr>
                <a:r>
                  <a:rPr lang="en-GB"/>
                  <a:t>Lower limb muscle volume (ml)</a:t>
                </a:r>
              </a:p>
            </c:rich>
          </c:tx>
          <c:layout/>
          <c:overlay val="0"/>
        </c:title>
        <c:numFmt formatCode="General" sourceLinked="1"/>
        <c:majorTickMark val="out"/>
        <c:minorTickMark val="none"/>
        <c:tickLblPos val="nextTo"/>
        <c:txPr>
          <a:bodyPr/>
          <a:lstStyle/>
          <a:p>
            <a:pPr>
              <a:defRPr lang="en-US"/>
            </a:pPr>
            <a:endParaRPr lang="en-US"/>
          </a:p>
        </c:txPr>
        <c:crossAx val="233173792"/>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187819754395985"/>
          <c:y val="6.8965517241379296E-2"/>
          <c:w val="0.37478438252213297"/>
          <c:h val="0.15517852294325299"/>
        </c:manualLayout>
      </c:layout>
      <c:overlay val="0"/>
      <c:txPr>
        <a:bodyPr/>
        <a:lstStyle/>
        <a:p>
          <a:pPr>
            <a:defRPr lang="en-US"/>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1272</Words>
  <Characters>7255</Characters>
  <Application>Microsoft Office Word</Application>
  <DocSecurity>0</DocSecurity>
  <Lines>60</Lines>
  <Paragraphs>17</Paragraphs>
  <ScaleCrop>false</ScaleCrop>
  <Company>Microsoft</Company>
  <LinksUpToDate>false</LinksUpToDate>
  <CharactersWithSpaces>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dc:title>
  <dc:subject/>
  <dc:creator>Jonathan Noble</dc:creator>
  <cp:keywords/>
  <dc:description/>
  <cp:lastModifiedBy>Dagat, Daniel Joseph</cp:lastModifiedBy>
  <cp:revision>3</cp:revision>
  <dcterms:created xsi:type="dcterms:W3CDTF">2017-12-18T08:16:00Z</dcterms:created>
  <dcterms:modified xsi:type="dcterms:W3CDTF">2017-12-20T14:21:00Z</dcterms:modified>
</cp:coreProperties>
</file>