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9E" w:rsidRPr="00E53877" w:rsidRDefault="00E53877" w:rsidP="00E6279E">
      <w:pPr>
        <w:jc w:val="left"/>
        <w:rPr>
          <w:rFonts w:cs="Times New Roman"/>
          <w:b/>
          <w:color w:val="000000" w:themeColor="text1"/>
          <w:szCs w:val="21"/>
        </w:rPr>
      </w:pPr>
      <w:r w:rsidRPr="00E53877">
        <w:rPr>
          <w:rFonts w:cs="Times New Roman" w:hint="eastAsia"/>
          <w:b/>
          <w:color w:val="000000" w:themeColor="text1"/>
          <w:szCs w:val="21"/>
        </w:rPr>
        <w:t>Additional</w:t>
      </w:r>
      <w:r w:rsidRPr="00E53877">
        <w:rPr>
          <w:rFonts w:cs="Times New Roman"/>
          <w:b/>
          <w:color w:val="000000" w:themeColor="text1"/>
          <w:szCs w:val="21"/>
        </w:rPr>
        <w:t xml:space="preserve"> </w:t>
      </w:r>
      <w:proofErr w:type="gramStart"/>
      <w:r w:rsidRPr="00E53877">
        <w:rPr>
          <w:rFonts w:cs="Times New Roman"/>
          <w:b/>
          <w:color w:val="000000" w:themeColor="text1"/>
          <w:szCs w:val="21"/>
        </w:rPr>
        <w:t xml:space="preserve">Table </w:t>
      </w:r>
      <w:r w:rsidR="00E6279E" w:rsidRPr="00E53877">
        <w:rPr>
          <w:rFonts w:cs="Times New Roman"/>
          <w:b/>
          <w:color w:val="000000" w:themeColor="text1"/>
          <w:szCs w:val="21"/>
        </w:rPr>
        <w:t>.</w:t>
      </w:r>
      <w:proofErr w:type="gramEnd"/>
      <w:r w:rsidR="00E6279E" w:rsidRPr="00E53877">
        <w:rPr>
          <w:rFonts w:cs="Times New Roman"/>
          <w:b/>
          <w:color w:val="000000" w:themeColor="text1"/>
          <w:szCs w:val="21"/>
        </w:rPr>
        <w:t xml:space="preserve"> </w:t>
      </w:r>
      <w:proofErr w:type="gramStart"/>
      <w:r w:rsidR="00E6279E" w:rsidRPr="00E53877">
        <w:rPr>
          <w:rFonts w:cs="Times New Roman"/>
          <w:b/>
          <w:color w:val="000000" w:themeColor="text1"/>
          <w:szCs w:val="21"/>
        </w:rPr>
        <w:t>Characteristics of the sample participants according to functional outcome.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895"/>
        <w:gridCol w:w="3194"/>
        <w:gridCol w:w="2034"/>
        <w:gridCol w:w="2034"/>
        <w:gridCol w:w="1525"/>
      </w:tblGrid>
      <w:tr w:rsidR="00E6279E" w:rsidRPr="00E53877" w:rsidTr="0036213D">
        <w:trPr>
          <w:trHeight w:val="270"/>
        </w:trPr>
        <w:tc>
          <w:tcPr>
            <w:tcW w:w="2382" w:type="pct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mRS≤2</w:t>
            </w: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mRS≥3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</w:tr>
      <w:tr w:rsidR="00E6279E" w:rsidRPr="00E53877" w:rsidTr="0036213D">
        <w:trPr>
          <w:trHeight w:val="285"/>
        </w:trPr>
        <w:tc>
          <w:tcPr>
            <w:tcW w:w="2382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no</w:t>
            </w:r>
            <w:proofErr w:type="gramStart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./</w:t>
            </w:r>
            <w:proofErr w:type="gramEnd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total(%)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no</w:t>
            </w:r>
            <w:proofErr w:type="gramStart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./</w:t>
            </w:r>
            <w:proofErr w:type="gramEnd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total(%)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Sociodemographic characteristics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 Male gender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140/209(67.0)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131/216(60.6)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0.17</w:t>
            </w:r>
            <w:bookmarkStart w:id="0" w:name="_GoBack"/>
            <w:bookmarkEnd w:id="0"/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Age of occurrence (years)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58.99±10.67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62.35±11.88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0.003</w:t>
            </w:r>
            <w:r w:rsidRPr="00E53877">
              <w:rPr>
                <w:rFonts w:eastAsia="宋体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&lt;65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146/204(71.6)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119/211(56.4)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≥65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58/204(28.4)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92/211(43.6)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155/209(74.2)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164/216(75.9)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0.67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Unmarried/</w:t>
            </w:r>
            <w:proofErr w:type="spellStart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devorced</w:t>
            </w:r>
            <w:proofErr w:type="spellEnd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/widowed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54/209(25.8)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52/216(24.1)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Living alone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22/209(10.5)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3/216(1.4)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Retired/unemployed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138/209(66.0)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165/209(76.4)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0.02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Average monthly income of the family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333.3(158.6, 500)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150.0(50.0, 349.2)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≤260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83/209(39.7)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141/216(65.3)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&gt;260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126/209(60.3)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75/216(34.7)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Comorbidities and risk factors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165/209(78.9)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176/216(81.5)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0.51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Use of anti-hypertensive drugs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113/165(68.5)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132/176(75.0)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0.18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Control of hypertension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23/149(15.4)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32/147(21.8)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0.16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Diabetes mellitus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37/209(17.7)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34/216(15.7)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Use of hypoglycemic drugs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25/37(67.6)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25/34(73.5)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0.58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Control of fasting blood glucose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4/24(16.7)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3/20(15.0)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1.00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proofErr w:type="spellStart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Hyperlipidaemia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42/209(20.1)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46/216(21.3)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Use of lipid-lowering drugs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18/42(42.9)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15/46(32.6)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0.32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proofErr w:type="spellStart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Artrial</w:t>
            </w:r>
            <w:proofErr w:type="spellEnd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 fibrillation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5/209(2.4)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7/216(3.2)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0.60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Use of anticoagulant drugs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0/5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0/7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Coronary heart diseases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25/209(12.0)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14/216(6.5)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0.05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Family history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34/209(16.3)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26/216(12.0)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0.21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Current smoking 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48/209(23.0)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19/216(8.8)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Current alcohol consumption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9/209(4.3)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2/216(0.9)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0.06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Stroke care delivery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Stroke type(confirmed by neuroimaging)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Ischemic stroke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151/185(81.6)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140/196(71.4)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0.02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Hemorrhagic stroke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34/185(18.4)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56/196(28.6)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Neuroimaging diagnosis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CT brain scan 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184/209(88.0)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196/216(90.7)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0.37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MRI brain scan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66/209(31.6)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76/216(35.2)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0.43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24/209(11.5)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20/216(9.3)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Course of stroke(years)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4.0(2.0, 6.0)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4(2.0, 7.0)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0.97</w:t>
            </w:r>
            <w:r w:rsidRPr="00E53877">
              <w:rPr>
                <w:rFonts w:eastAsia="宋体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</w:tr>
      <w:tr w:rsidR="00E6279E" w:rsidRPr="00E53877" w:rsidTr="0036213D">
        <w:trPr>
          <w:trHeight w:val="270"/>
        </w:trPr>
        <w:tc>
          <w:tcPr>
            <w:tcW w:w="2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Previous stroke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161(77.0)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130(60.2)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  <w:r w:rsidRPr="00E53877">
              <w:rPr>
                <w:rFonts w:eastAsia="宋体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35(16.7)</w:t>
            </w:r>
          </w:p>
        </w:tc>
        <w:tc>
          <w:tcPr>
            <w:tcW w:w="95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54(25.0)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≥2</w:t>
            </w:r>
          </w:p>
        </w:tc>
        <w:tc>
          <w:tcPr>
            <w:tcW w:w="9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13(6.2)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32(14.8)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</w:tbl>
    <w:p w:rsidR="00E6279E" w:rsidRPr="00E53877" w:rsidRDefault="00E6279E" w:rsidP="00E6279E">
      <w:pPr>
        <w:jc w:val="left"/>
        <w:rPr>
          <w:rFonts w:cs="Times New Roman"/>
          <w:color w:val="000000" w:themeColor="text1"/>
          <w:kern w:val="0"/>
          <w:szCs w:val="21"/>
        </w:rPr>
      </w:pPr>
    </w:p>
    <w:p w:rsidR="00E6279E" w:rsidRPr="00E53877" w:rsidRDefault="00E6279E" w:rsidP="00E6279E">
      <w:pPr>
        <w:jc w:val="left"/>
        <w:rPr>
          <w:rFonts w:cs="Times New Roman"/>
          <w:color w:val="000000" w:themeColor="text1"/>
          <w:kern w:val="0"/>
          <w:szCs w:val="21"/>
        </w:rPr>
      </w:pPr>
    </w:p>
    <w:p w:rsidR="00E6279E" w:rsidRPr="00E53877" w:rsidRDefault="00E6279E" w:rsidP="00E6279E">
      <w:pPr>
        <w:jc w:val="left"/>
        <w:rPr>
          <w:rFonts w:cs="Times New Roman"/>
          <w:color w:val="000000" w:themeColor="text1"/>
          <w:kern w:val="0"/>
          <w:szCs w:val="21"/>
        </w:rPr>
      </w:pPr>
    </w:p>
    <w:p w:rsidR="00E6279E" w:rsidRPr="00E53877" w:rsidRDefault="00E53877" w:rsidP="00E6279E">
      <w:pPr>
        <w:jc w:val="left"/>
        <w:rPr>
          <w:rFonts w:cs="Times New Roman"/>
          <w:b/>
          <w:color w:val="000000" w:themeColor="text1"/>
          <w:szCs w:val="21"/>
        </w:rPr>
      </w:pPr>
      <w:r w:rsidRPr="00E53877">
        <w:rPr>
          <w:rFonts w:cs="Times New Roman" w:hint="eastAsia"/>
          <w:b/>
          <w:color w:val="000000" w:themeColor="text1"/>
          <w:szCs w:val="21"/>
        </w:rPr>
        <w:t>Additional</w:t>
      </w:r>
      <w:r w:rsidRPr="00E53877">
        <w:rPr>
          <w:rFonts w:cs="Times New Roman"/>
          <w:b/>
          <w:color w:val="000000" w:themeColor="text1"/>
          <w:szCs w:val="21"/>
        </w:rPr>
        <w:t xml:space="preserve"> Table</w:t>
      </w:r>
      <w:r w:rsidR="00E6279E" w:rsidRPr="00E53877">
        <w:rPr>
          <w:rFonts w:cs="Times New Roman"/>
          <w:b/>
          <w:color w:val="000000" w:themeColor="text1"/>
          <w:szCs w:val="21"/>
        </w:rPr>
        <w:t xml:space="preserve">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7"/>
        <w:gridCol w:w="3192"/>
        <w:gridCol w:w="2034"/>
        <w:gridCol w:w="2034"/>
        <w:gridCol w:w="1525"/>
      </w:tblGrid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mRS≤2</w:t>
            </w:r>
          </w:p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no</w:t>
            </w:r>
            <w:proofErr w:type="gramStart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./</w:t>
            </w:r>
            <w:proofErr w:type="gramEnd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total(%)</w:t>
            </w: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mRS≥3</w:t>
            </w:r>
          </w:p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no</w:t>
            </w:r>
            <w:proofErr w:type="gramStart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./</w:t>
            </w:r>
            <w:proofErr w:type="gramEnd"/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total(%)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b/>
                <w:bCs/>
                <w:i/>
                <w:iCs/>
                <w:color w:val="000000"/>
                <w:kern w:val="0"/>
                <w:szCs w:val="21"/>
              </w:rPr>
              <w:t xml:space="preserve">P </w:t>
            </w:r>
            <w:r w:rsidRPr="00E53877"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Time from onset to emergency room (hours)</w:t>
            </w: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≤2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106/202(52.5)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99/205(47.8)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0.48</w:t>
            </w: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42041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44/202(21.8)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59/205(28.5)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42179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18/202(8.9)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18/205(8.7)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&gt;24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34/202(16.8)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31/207(15.0)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Use of emergency ambulance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36/209(17.2)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62/216(28.7)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Level of  hospital admitted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59/205(28.8)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46/210(21.9)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0.11</w:t>
            </w: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113/205(55.1)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137/210(65.2)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33/205(16.1)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27/210(12.9)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Ischemic stroke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Intravenous thrombolysis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2/151(1.3)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4/140(2.9)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0.43</w:t>
            </w:r>
            <w:r w:rsidRPr="00E53877">
              <w:rPr>
                <w:rFonts w:eastAsia="宋体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E6279E" w:rsidRPr="00E53877" w:rsidTr="0036213D">
        <w:trPr>
          <w:trHeight w:val="51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Antiplatelet therapy after discharge(Aspirin)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58/151(38.4)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49/140(35.0)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E6279E" w:rsidRPr="00E53877" w:rsidTr="0036213D">
        <w:trPr>
          <w:trHeight w:val="51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Antiplatelet Therapy after discharge(</w:t>
            </w:r>
            <w:proofErr w:type="spellStart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Clopidogrel</w:t>
            </w:r>
            <w:proofErr w:type="spellEnd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6/151 (4.0)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1/140(0.7)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0.15</w:t>
            </w: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Hemorrhagic stroke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Surgery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11(32.4)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15(26.8)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Rehabilitation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74/209(35.4)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113/216(52.3)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Duration of rehabilitation(weeks)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&lt;4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38/69(55.1)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56/105(53.3)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0.50</w:t>
            </w:r>
            <w:r w:rsidRPr="00E53877">
              <w:rPr>
                <w:rFonts w:eastAsia="宋体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4-8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7/69(10.1)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17/105(16.2)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8-12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1/69(1.4)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4/105(3.8)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 &gt;12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23/69(33.3)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28/105(26.7)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proofErr w:type="spellStart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Inhospitalization</w:t>
            </w:r>
            <w:proofErr w:type="spellEnd"/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 in the previous year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48/209(23.0)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58/216(26.9)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0.36</w:t>
            </w:r>
          </w:p>
        </w:tc>
      </w:tr>
      <w:tr w:rsidR="00E6279E" w:rsidRPr="00E53877" w:rsidTr="0036213D">
        <w:trPr>
          <w:trHeight w:val="2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Outpatient attendance in the previous month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:rsidR="00E6279E" w:rsidRPr="00E53877" w:rsidTr="0036213D">
        <w:trPr>
          <w:trHeight w:val="27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Level 1 hospital 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49/209(23.4)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39/216(18.1)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0.17</w:t>
            </w:r>
          </w:p>
        </w:tc>
      </w:tr>
      <w:tr w:rsidR="00E6279E" w:rsidRPr="00E53877" w:rsidTr="0036213D">
        <w:trPr>
          <w:trHeight w:val="285"/>
        </w:trPr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Level 2-3 hospital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18/209(8.6)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12/216(5.6)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279E" w:rsidRPr="00E53877" w:rsidRDefault="00E6279E" w:rsidP="003621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 w:rsidRPr="00E53877">
              <w:rPr>
                <w:rFonts w:eastAsia="宋体" w:cs="Times New Roman"/>
                <w:color w:val="000000"/>
                <w:kern w:val="0"/>
                <w:szCs w:val="21"/>
              </w:rPr>
              <w:t>0.22</w:t>
            </w:r>
          </w:p>
        </w:tc>
      </w:tr>
    </w:tbl>
    <w:p w:rsidR="00E6279E" w:rsidRPr="00E53877" w:rsidRDefault="00E6279E" w:rsidP="00E6279E">
      <w:pPr>
        <w:jc w:val="left"/>
        <w:rPr>
          <w:rFonts w:cs="Times New Roman"/>
          <w:color w:val="000000" w:themeColor="text1"/>
          <w:kern w:val="0"/>
          <w:szCs w:val="21"/>
        </w:rPr>
      </w:pPr>
      <w:r w:rsidRPr="00E53877">
        <w:rPr>
          <w:rFonts w:cs="Times New Roman"/>
          <w:color w:val="000000" w:themeColor="text1"/>
          <w:kern w:val="0"/>
          <w:szCs w:val="21"/>
        </w:rPr>
        <w:t xml:space="preserve">Abbreviation: CT indicates </w:t>
      </w:r>
      <w:r w:rsidRPr="00E53877">
        <w:rPr>
          <w:rFonts w:cs="Times New Roman"/>
          <w:color w:val="000000" w:themeColor="text1"/>
          <w:szCs w:val="21"/>
        </w:rPr>
        <w:t xml:space="preserve">Computed Tomography, MRI indicates Magnetic Resonance Imaging, no. indicates number, </w:t>
      </w:r>
      <w:proofErr w:type="gramStart"/>
      <w:r w:rsidRPr="00E53877">
        <w:rPr>
          <w:rFonts w:cs="Times New Roman"/>
          <w:color w:val="000000" w:themeColor="text1"/>
          <w:szCs w:val="21"/>
        </w:rPr>
        <w:t>RMB</w:t>
      </w:r>
      <w:proofErr w:type="gramEnd"/>
      <w:r w:rsidRPr="00E53877">
        <w:rPr>
          <w:rFonts w:cs="Times New Roman"/>
          <w:color w:val="000000" w:themeColor="text1"/>
          <w:szCs w:val="21"/>
        </w:rPr>
        <w:t xml:space="preserve"> indicates Chinese Yuan Renminbi (exchange rate: US $1 equals to RMB6.4). </w:t>
      </w:r>
      <w:r w:rsidRPr="00E53877">
        <w:rPr>
          <w:rFonts w:cs="Times New Roman"/>
          <w:i/>
          <w:color w:val="000000" w:themeColor="text1"/>
          <w:kern w:val="0"/>
          <w:szCs w:val="21"/>
        </w:rPr>
        <w:t>P</w:t>
      </w:r>
      <w:r w:rsidRPr="00E53877">
        <w:rPr>
          <w:rFonts w:cs="Times New Roman"/>
          <w:color w:val="000000" w:themeColor="text1"/>
          <w:szCs w:val="21"/>
        </w:rPr>
        <w:t xml:space="preserve"> values are based on χ</w:t>
      </w:r>
      <w:r w:rsidRPr="00E53877">
        <w:rPr>
          <w:rFonts w:cs="Times New Roman"/>
          <w:color w:val="000000" w:themeColor="text1"/>
          <w:szCs w:val="21"/>
          <w:vertAlign w:val="superscript"/>
        </w:rPr>
        <w:t>2</w:t>
      </w:r>
      <w:r w:rsidRPr="00E53877">
        <w:rPr>
          <w:rFonts w:cs="Times New Roman"/>
          <w:color w:val="000000" w:themeColor="text1"/>
          <w:szCs w:val="21"/>
        </w:rPr>
        <w:t xml:space="preserve"> test if not indicated otherwise.</w:t>
      </w:r>
    </w:p>
    <w:p w:rsidR="00E6279E" w:rsidRPr="00E53877" w:rsidRDefault="00E6279E" w:rsidP="00E6279E">
      <w:pPr>
        <w:jc w:val="left"/>
        <w:rPr>
          <w:rFonts w:cs="Times New Roman"/>
          <w:color w:val="000000" w:themeColor="text1"/>
          <w:kern w:val="0"/>
          <w:szCs w:val="21"/>
        </w:rPr>
      </w:pPr>
      <w:proofErr w:type="spellStart"/>
      <w:proofErr w:type="gramStart"/>
      <w:r w:rsidRPr="00E53877">
        <w:rPr>
          <w:rFonts w:cs="Times New Roman"/>
          <w:color w:val="000000" w:themeColor="text1"/>
          <w:kern w:val="0"/>
          <w:szCs w:val="21"/>
          <w:vertAlign w:val="superscript"/>
        </w:rPr>
        <w:t>a</w:t>
      </w:r>
      <w:r w:rsidRPr="00E53877">
        <w:rPr>
          <w:rFonts w:cs="Times New Roman"/>
          <w:i/>
          <w:color w:val="000000" w:themeColor="text1"/>
          <w:kern w:val="0"/>
          <w:szCs w:val="21"/>
        </w:rPr>
        <w:t>P</w:t>
      </w:r>
      <w:proofErr w:type="spellEnd"/>
      <w:proofErr w:type="gramEnd"/>
      <w:r w:rsidRPr="00E53877">
        <w:rPr>
          <w:rFonts w:cs="Times New Roman"/>
          <w:color w:val="000000" w:themeColor="text1"/>
          <w:kern w:val="0"/>
          <w:szCs w:val="21"/>
        </w:rPr>
        <w:t xml:space="preserve"> value based on unpaired </w:t>
      </w:r>
      <w:r w:rsidRPr="00E53877">
        <w:rPr>
          <w:rFonts w:cs="Times New Roman"/>
          <w:i/>
          <w:color w:val="000000" w:themeColor="text1"/>
          <w:kern w:val="0"/>
          <w:szCs w:val="21"/>
        </w:rPr>
        <w:t>t</w:t>
      </w:r>
      <w:r w:rsidRPr="00E53877">
        <w:rPr>
          <w:rFonts w:cs="Times New Roman"/>
          <w:color w:val="000000" w:themeColor="text1"/>
          <w:kern w:val="0"/>
          <w:szCs w:val="21"/>
        </w:rPr>
        <w:t xml:space="preserve"> test</w:t>
      </w:r>
    </w:p>
    <w:p w:rsidR="00E6279E" w:rsidRPr="00E53877" w:rsidRDefault="00E6279E" w:rsidP="00E6279E">
      <w:pPr>
        <w:jc w:val="left"/>
        <w:rPr>
          <w:rFonts w:cs="Times New Roman"/>
          <w:color w:val="000000" w:themeColor="text1"/>
          <w:kern w:val="0"/>
          <w:szCs w:val="21"/>
        </w:rPr>
      </w:pPr>
      <w:proofErr w:type="spellStart"/>
      <w:proofErr w:type="gramStart"/>
      <w:r w:rsidRPr="00E53877">
        <w:rPr>
          <w:rFonts w:cs="Times New Roman"/>
          <w:color w:val="000000" w:themeColor="text1"/>
          <w:kern w:val="0"/>
          <w:szCs w:val="21"/>
          <w:vertAlign w:val="superscript"/>
        </w:rPr>
        <w:t>b</w:t>
      </w:r>
      <w:r w:rsidRPr="00E53877">
        <w:rPr>
          <w:rFonts w:cs="Times New Roman"/>
          <w:i/>
          <w:color w:val="000000" w:themeColor="text1"/>
          <w:kern w:val="0"/>
          <w:szCs w:val="21"/>
        </w:rPr>
        <w:t>P</w:t>
      </w:r>
      <w:proofErr w:type="spellEnd"/>
      <w:proofErr w:type="gramEnd"/>
      <w:r w:rsidRPr="00E53877">
        <w:rPr>
          <w:rFonts w:cs="Times New Roman"/>
          <w:i/>
          <w:color w:val="000000" w:themeColor="text1"/>
          <w:kern w:val="0"/>
          <w:szCs w:val="21"/>
        </w:rPr>
        <w:t xml:space="preserve"> </w:t>
      </w:r>
      <w:r w:rsidRPr="00E53877">
        <w:rPr>
          <w:rFonts w:cs="Times New Roman"/>
          <w:color w:val="000000" w:themeColor="text1"/>
          <w:kern w:val="0"/>
          <w:szCs w:val="21"/>
        </w:rPr>
        <w:t>value based on Fisher’s exact test.</w:t>
      </w:r>
    </w:p>
    <w:p w:rsidR="00E6279E" w:rsidRPr="00E53877" w:rsidRDefault="00E6279E" w:rsidP="00E6279E">
      <w:pPr>
        <w:jc w:val="left"/>
        <w:rPr>
          <w:rFonts w:cs="Times New Roman"/>
          <w:color w:val="000000" w:themeColor="text1"/>
          <w:szCs w:val="21"/>
        </w:rPr>
      </w:pPr>
      <w:proofErr w:type="spellStart"/>
      <w:proofErr w:type="gramStart"/>
      <w:r w:rsidRPr="00E53877">
        <w:rPr>
          <w:rFonts w:cs="Times New Roman"/>
          <w:color w:val="000000" w:themeColor="text1"/>
          <w:kern w:val="0"/>
          <w:szCs w:val="21"/>
          <w:vertAlign w:val="superscript"/>
        </w:rPr>
        <w:t>c</w:t>
      </w:r>
      <w:r w:rsidRPr="00E53877">
        <w:rPr>
          <w:rFonts w:cs="Times New Roman"/>
          <w:i/>
          <w:color w:val="000000" w:themeColor="text1"/>
          <w:kern w:val="0"/>
          <w:szCs w:val="21"/>
        </w:rPr>
        <w:t>P</w:t>
      </w:r>
      <w:proofErr w:type="spellEnd"/>
      <w:proofErr w:type="gramEnd"/>
      <w:r w:rsidRPr="00E53877">
        <w:rPr>
          <w:rFonts w:cs="Times New Roman"/>
          <w:color w:val="000000" w:themeColor="text1"/>
          <w:kern w:val="0"/>
          <w:szCs w:val="21"/>
        </w:rPr>
        <w:t xml:space="preserve"> value based on </w:t>
      </w:r>
      <w:r w:rsidRPr="00E53877">
        <w:rPr>
          <w:rFonts w:cs="Times New Roman"/>
          <w:color w:val="000000" w:themeColor="text1"/>
          <w:szCs w:val="21"/>
        </w:rPr>
        <w:t>Mann–Whitney</w:t>
      </w:r>
      <w:r w:rsidRPr="00E53877">
        <w:rPr>
          <w:rFonts w:cs="Times New Roman"/>
          <w:i/>
          <w:color w:val="000000" w:themeColor="text1"/>
          <w:szCs w:val="21"/>
        </w:rPr>
        <w:t xml:space="preserve"> U</w:t>
      </w:r>
      <w:r w:rsidRPr="00E53877">
        <w:rPr>
          <w:rFonts w:cs="Times New Roman"/>
          <w:color w:val="000000" w:themeColor="text1"/>
          <w:szCs w:val="21"/>
        </w:rPr>
        <w:t xml:space="preserve"> test.</w:t>
      </w:r>
    </w:p>
    <w:p w:rsidR="007F61BC" w:rsidRPr="00E53877" w:rsidRDefault="00E6279E" w:rsidP="00F95ADC">
      <w:pPr>
        <w:jc w:val="left"/>
        <w:rPr>
          <w:rFonts w:cs="Times New Roman"/>
          <w:color w:val="000000" w:themeColor="text1"/>
          <w:kern w:val="0"/>
          <w:szCs w:val="21"/>
        </w:rPr>
      </w:pPr>
      <w:proofErr w:type="spellStart"/>
      <w:r w:rsidRPr="00E53877">
        <w:rPr>
          <w:rFonts w:cs="Times New Roman"/>
          <w:color w:val="000000" w:themeColor="text1"/>
          <w:kern w:val="0"/>
          <w:szCs w:val="21"/>
          <w:vertAlign w:val="superscript"/>
        </w:rPr>
        <w:t>d</w:t>
      </w:r>
      <w:r w:rsidRPr="00E53877">
        <w:rPr>
          <w:rFonts w:cs="Times New Roman"/>
          <w:color w:val="000000" w:themeColor="text1"/>
          <w:kern w:val="0"/>
          <w:szCs w:val="21"/>
        </w:rPr>
        <w:t>In</w:t>
      </w:r>
      <w:proofErr w:type="spellEnd"/>
      <w:r w:rsidRPr="00E53877">
        <w:rPr>
          <w:rFonts w:cs="Times New Roman"/>
          <w:color w:val="000000" w:themeColor="text1"/>
          <w:kern w:val="0"/>
          <w:szCs w:val="21"/>
        </w:rPr>
        <w:t xml:space="preserve"> multiple comparison, patients with one previous stroke had a higher proportion of poor functional outcome compared with first-ever strokes (</w:t>
      </w:r>
      <w:r w:rsidRPr="00E53877">
        <w:rPr>
          <w:rFonts w:cs="Times New Roman"/>
          <w:i/>
          <w:color w:val="000000" w:themeColor="text1"/>
          <w:kern w:val="0"/>
          <w:szCs w:val="21"/>
        </w:rPr>
        <w:t>P</w:t>
      </w:r>
      <w:r w:rsidRPr="00E53877">
        <w:rPr>
          <w:rFonts w:cs="Times New Roman"/>
          <w:color w:val="000000" w:themeColor="text1"/>
          <w:kern w:val="0"/>
          <w:szCs w:val="21"/>
        </w:rPr>
        <w:t>=0.008); patients with two or more previous strokes had a high probability of poor functional outcome compared with first-ever strokes (</w:t>
      </w:r>
      <w:r w:rsidRPr="00E53877">
        <w:rPr>
          <w:rFonts w:cs="Times New Roman"/>
          <w:i/>
          <w:color w:val="000000" w:themeColor="text1"/>
          <w:kern w:val="0"/>
          <w:szCs w:val="21"/>
        </w:rPr>
        <w:t>P</w:t>
      </w:r>
      <w:r w:rsidRPr="00E53877">
        <w:rPr>
          <w:rFonts w:cs="Times New Roman"/>
          <w:color w:val="000000" w:themeColor="text1"/>
          <w:kern w:val="0"/>
          <w:szCs w:val="21"/>
        </w:rPr>
        <w:t>=0.001); no significant difference was found between those with one previous stroke and with two or more previous stroke.</w:t>
      </w:r>
    </w:p>
    <w:sectPr w:rsidR="007F61BC" w:rsidRPr="00E53877" w:rsidSect="00E6279E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964" w:rsidRDefault="00C64964" w:rsidP="00E6279E">
      <w:r>
        <w:separator/>
      </w:r>
    </w:p>
  </w:endnote>
  <w:endnote w:type="continuationSeparator" w:id="0">
    <w:p w:rsidR="00C64964" w:rsidRDefault="00C64964" w:rsidP="00E6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734024"/>
      <w:docPartObj>
        <w:docPartGallery w:val="Page Numbers (Bottom of Page)"/>
        <w:docPartUnique/>
      </w:docPartObj>
    </w:sdtPr>
    <w:sdtEndPr/>
    <w:sdtContent>
      <w:p w:rsidR="00E6279E" w:rsidRDefault="00E627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877" w:rsidRPr="00E53877">
          <w:rPr>
            <w:noProof/>
            <w:lang w:val="zh-CN"/>
          </w:rPr>
          <w:t>2</w:t>
        </w:r>
        <w:r>
          <w:fldChar w:fldCharType="end"/>
        </w:r>
      </w:p>
    </w:sdtContent>
  </w:sdt>
  <w:p w:rsidR="00E6279E" w:rsidRDefault="00E627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964" w:rsidRDefault="00C64964" w:rsidP="00E6279E">
      <w:r>
        <w:separator/>
      </w:r>
    </w:p>
  </w:footnote>
  <w:footnote w:type="continuationSeparator" w:id="0">
    <w:p w:rsidR="00C64964" w:rsidRDefault="00C64964" w:rsidP="00E62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9E"/>
    <w:rsid w:val="000C431A"/>
    <w:rsid w:val="003E6F3E"/>
    <w:rsid w:val="007F61BC"/>
    <w:rsid w:val="0090041C"/>
    <w:rsid w:val="00A465CE"/>
    <w:rsid w:val="00C64964"/>
    <w:rsid w:val="00E53877"/>
    <w:rsid w:val="00E6279E"/>
    <w:rsid w:val="00F9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27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2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27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27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2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27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3371</Characters>
  <Application>Microsoft Office Word</Application>
  <DocSecurity>0</DocSecurity>
  <Lines>28</Lines>
  <Paragraphs>7</Paragraphs>
  <ScaleCrop>false</ScaleCrop>
  <Company>Microsoft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3</cp:revision>
  <dcterms:created xsi:type="dcterms:W3CDTF">2017-05-19T09:33:00Z</dcterms:created>
  <dcterms:modified xsi:type="dcterms:W3CDTF">2017-05-19T09:35:00Z</dcterms:modified>
</cp:coreProperties>
</file>