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cs="宋体" w:eastAsiaTheme="minorEastAsia"/>
          <w:color w:val="auto"/>
          <w:sz w:val="15"/>
          <w:lang w:val="en-US" w:eastAsia="zh-CN"/>
        </w:rPr>
      </w:pPr>
      <w:bookmarkStart w:id="0" w:name="OLE_LINK1"/>
      <w:r>
        <w:rPr>
          <w:rFonts w:ascii="Times New Roman" w:hAnsi="Times New Roman"/>
          <w:b/>
          <w:sz w:val="24"/>
          <w:szCs w:val="24"/>
        </w:rPr>
        <w:t>Additional file</w:t>
      </w:r>
      <w:r>
        <w:rPr>
          <w:rFonts w:hint="eastAsia"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bookmarkEnd w:id="0"/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S</w:t>
      </w:r>
      <w:bookmarkStart w:id="1" w:name="_GoBack"/>
      <w:bookmarkEnd w:id="1"/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1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: Intracerebral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h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GB" w:eastAsia="zh-CN"/>
        </w:rPr>
        <w:t>a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emorrhag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e of patients post-EVT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9"/>
        <w:gridCol w:w="1289"/>
        <w:gridCol w:w="1132"/>
        <w:gridCol w:w="78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sz w:val="18"/>
                <w:szCs w:val="18"/>
              </w:rPr>
              <w:t>Type of treatment</w:t>
            </w:r>
          </w:p>
        </w:tc>
        <w:tc>
          <w:tcPr>
            <w:tcW w:w="128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sz w:val="18"/>
                <w:szCs w:val="18"/>
              </w:rPr>
              <w:t>Total (%)</w:t>
            </w:r>
          </w:p>
        </w:tc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sz w:val="18"/>
                <w:szCs w:val="18"/>
              </w:rPr>
              <w:t>ICH (%)</w:t>
            </w:r>
          </w:p>
        </w:tc>
        <w:tc>
          <w:tcPr>
            <w:tcW w:w="78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9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Combined intravenous thrombolysis and thrombectomy</w:t>
            </w:r>
          </w:p>
        </w:tc>
        <w:tc>
          <w:tcPr>
            <w:tcW w:w="1289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宋体"/>
                <w:color w:val="auto"/>
                <w:sz w:val="18"/>
                <w:szCs w:val="18"/>
              </w:rPr>
              <w:t>19 (26.4%)</w:t>
            </w:r>
          </w:p>
        </w:tc>
        <w:tc>
          <w:tcPr>
            <w:tcW w:w="1132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3 (15.8)</w:t>
            </w:r>
          </w:p>
        </w:tc>
        <w:tc>
          <w:tcPr>
            <w:tcW w:w="782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0.689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31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 xml:space="preserve">Direct </w:t>
            </w:r>
            <w:r>
              <w:rPr>
                <w:rFonts w:ascii="Times New Roman" w:hAnsi="Times New Roman" w:cs="宋体"/>
                <w:color w:val="auto"/>
                <w:sz w:val="18"/>
                <w:szCs w:val="18"/>
              </w:rPr>
              <w:t>i</w:t>
            </w: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ntra-arterial thrombolysis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10</w:t>
            </w:r>
            <w:r>
              <w:rPr>
                <w:rFonts w:ascii="Times New Roman" w:hAnsi="Times New Roman" w:cs="宋体"/>
                <w:color w:val="auto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13.9</w:t>
            </w:r>
            <w:r>
              <w:rPr>
                <w:rFonts w:ascii="Times New Roman" w:hAnsi="Times New Roman" w:cs="宋体"/>
                <w:color w:val="auto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1 (10)</w:t>
            </w:r>
          </w:p>
        </w:tc>
        <w:tc>
          <w:tcPr>
            <w:tcW w:w="782" w:type="dxa"/>
            <w:vMerge w:val="continue"/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9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Direct mechanical thrombectomy</w:t>
            </w:r>
          </w:p>
        </w:tc>
        <w:tc>
          <w:tcPr>
            <w:tcW w:w="1289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43 (59.7)</w:t>
            </w:r>
          </w:p>
        </w:tc>
        <w:tc>
          <w:tcPr>
            <w:tcW w:w="1132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color w:val="auto"/>
                <w:sz w:val="18"/>
                <w:szCs w:val="18"/>
              </w:rPr>
              <w:t>9 (20.9)</w:t>
            </w:r>
          </w:p>
        </w:tc>
        <w:tc>
          <w:tcPr>
            <w:tcW w:w="782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宋体"/>
                <w:color w:val="auto"/>
                <w:sz w:val="22"/>
                <w:szCs w:val="22"/>
              </w:rPr>
            </w:pPr>
          </w:p>
        </w:tc>
      </w:tr>
    </w:tbl>
    <w:p>
      <w:pPr>
        <w:spacing w:line="480" w:lineRule="auto"/>
        <w:rPr>
          <w:rFonts w:hint="eastAsia" w:ascii="Times New Roman" w:hAnsi="Times New Roman" w:cs="宋体"/>
          <w:color w:val="auto"/>
          <w:sz w:val="18"/>
          <w:szCs w:val="18"/>
        </w:rPr>
      </w:pPr>
      <w:r>
        <w:rPr>
          <w:rFonts w:hint="eastAsia" w:ascii="Times New Roman" w:hAnsi="Times New Roman" w:cs="宋体"/>
          <w:i/>
          <w:iCs/>
          <w:color w:val="auto"/>
          <w:sz w:val="18"/>
          <w:szCs w:val="18"/>
          <w:lang w:val="en-US" w:eastAsia="zh-CN"/>
        </w:rPr>
        <w:t>ICH</w:t>
      </w:r>
      <w:r>
        <w:rPr>
          <w:rFonts w:hint="eastAsia" w:ascii="Times New Roman" w:hAnsi="Times New Roman" w:cs="宋体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宋体"/>
          <w:color w:val="auto"/>
          <w:sz w:val="18"/>
          <w:szCs w:val="18"/>
          <w:lang w:val="en-US" w:eastAsia="zh-CN"/>
        </w:rPr>
        <w:t xml:space="preserve">intracerebral </w:t>
      </w:r>
      <w:r>
        <w:rPr>
          <w:rFonts w:hint="default" w:ascii="Times New Roman" w:hAnsi="Times New Roman" w:cs="宋体"/>
          <w:color w:val="auto"/>
          <w:sz w:val="18"/>
          <w:szCs w:val="18"/>
        </w:rPr>
        <w:t>h</w:t>
      </w:r>
      <w:r>
        <w:rPr>
          <w:rFonts w:hint="eastAsia" w:ascii="Times New Roman" w:hAnsi="Times New Roman" w:cs="宋体"/>
          <w:color w:val="auto"/>
          <w:sz w:val="18"/>
          <w:szCs w:val="18"/>
          <w:lang w:val="en-US" w:eastAsia="zh-CN"/>
        </w:rPr>
        <w:t>a</w:t>
      </w:r>
      <w:r>
        <w:rPr>
          <w:rFonts w:hint="default" w:ascii="Times New Roman" w:hAnsi="Times New Roman" w:cs="宋体"/>
          <w:color w:val="auto"/>
          <w:sz w:val="18"/>
          <w:szCs w:val="18"/>
        </w:rPr>
        <w:t>emorrhag</w:t>
      </w:r>
      <w:r>
        <w:rPr>
          <w:rFonts w:hint="eastAsia" w:ascii="Times New Roman" w:hAnsi="Times New Roman" w:cs="宋体"/>
          <w:color w:val="auto"/>
          <w:sz w:val="18"/>
          <w:szCs w:val="18"/>
          <w:lang w:val="en-US" w:eastAsia="zh-CN"/>
        </w:rPr>
        <w:t>e;</w:t>
      </w:r>
      <w:r>
        <w:rPr>
          <w:rFonts w:hint="eastAsia" w:ascii="Times New Roman" w:hAnsi="Times New Roman" w:cs="宋体"/>
          <w:i/>
          <w:iCs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宋体"/>
          <w:i/>
          <w:iCs/>
          <w:color w:val="auto"/>
          <w:sz w:val="18"/>
          <w:szCs w:val="18"/>
          <w:lang w:val="en-US" w:eastAsia="zh-CN"/>
        </w:rPr>
        <w:t>EVT</w:t>
      </w:r>
      <w:r>
        <w:rPr>
          <w:rFonts w:hint="eastAsia" w:ascii="Times New Roman" w:hAnsi="Times New Roman" w:cs="宋体"/>
          <w:color w:val="auto"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宋体"/>
          <w:color w:val="auto"/>
          <w:sz w:val="18"/>
          <w:szCs w:val="18"/>
        </w:rPr>
        <w:t>E</w:t>
      </w:r>
      <w:r>
        <w:rPr>
          <w:rFonts w:ascii="Times New Roman" w:hAnsi="Times New Roman" w:cs="宋体" w:eastAsiaTheme="minorEastAsia"/>
          <w:color w:val="auto"/>
          <w:sz w:val="18"/>
          <w:szCs w:val="18"/>
        </w:rPr>
        <w:t>ndovascular treatment</w:t>
      </w:r>
      <w:r>
        <w:rPr>
          <w:rFonts w:hint="eastAsia" w:ascii="Times New Roman" w:hAnsi="Times New Roman" w:cs="宋体"/>
          <w:color w:val="auto"/>
          <w:sz w:val="18"/>
          <w:szCs w:val="18"/>
          <w:lang w:val="en-US" w:eastAsia="zh-CN"/>
        </w:rPr>
        <w:t xml:space="preserve">. 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BBB242C3-0933-4C32-A8A5-4AF4FB6A1BA2}"/>
    <w:docVar w:name="KY_MEDREF_VERSION" w:val="3"/>
  </w:docVars>
  <w:rsids>
    <w:rsidRoot w:val="590A22D2"/>
    <w:rsid w:val="036E175D"/>
    <w:rsid w:val="0A1267A1"/>
    <w:rsid w:val="590A22D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2019-08-31T05:39:00Z</dcterms:created>
  <dc:creator>DELL</dc:creator>
  <cp:lastModifiedBy>DELL</cp:lastModifiedBy>
  <dcterms:modified xsi:type="dcterms:W3CDTF">2019-09-11T14:39:41Z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