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Table 2. Subgroup analysis for Brain Atrophy Measurements according to disease phenotype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left"/>
        <w:tblInd w:w="0.0" w:type="dxa"/>
        <w:tblLayout w:type="fixed"/>
        <w:tblLook w:val="0400"/>
      </w:tblPr>
      <w:tblGrid>
        <w:gridCol w:w="3675"/>
        <w:gridCol w:w="1245"/>
        <w:gridCol w:w="1545"/>
        <w:gridCol w:w="2460"/>
        <w:gridCol w:w="690"/>
        <w:tblGridChange w:id="0">
          <w:tblGrid>
            <w:gridCol w:w="3675"/>
            <w:gridCol w:w="1245"/>
            <w:gridCol w:w="1545"/>
            <w:gridCol w:w="2460"/>
            <w:gridCol w:w="690"/>
          </w:tblGrid>
        </w:tblGridChange>
      </w:tblGrid>
      <w:tr>
        <w:trPr>
          <w:trHeight w:val="31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Brain </w:t>
            </w:r>
            <w:r w:rsidDel="00000000" w:rsidR="00000000" w:rsidRPr="00000000">
              <w:rPr>
                <w:b w:val="1"/>
                <w:rtl w:val="0"/>
              </w:rPr>
              <w:t xml:space="preserve">Atrophy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 Measurements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Placebo (n=</w:t>
            </w:r>
            <w:r w:rsidDel="00000000" w:rsidR="00000000" w:rsidRPr="00000000">
              <w:rPr>
                <w:b w:val="1"/>
                <w:rtl w:val="0"/>
              </w:rPr>
              <w:t xml:space="preserve">12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 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(n=17)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Mean change (95%CI)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Annualized Percentage Volume Change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Primary Progressive 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-1.067 (n=7)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-0.667 (n=8)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-0.4 (-1.16 to +0.36)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0.26</w:t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Secondary Progressive 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-1.084 (n=5)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-0.681 (n=9)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-0.4 (-1.18 to +0.37)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0.27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Brain Parenchymal Fraction Change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Primary Progressive 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-0.003 (n=7)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-0.002 (n=8)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-0.001 (-0.005 to +0.004)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0.74</w:t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Secondary Progressive 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-0.005 (n=5)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-0.0001 (n=9)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-0.005 (-0.009 to -0.0003)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0.037</w:t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AP andrographolide; GLM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Adjusted by baseline Multiple Sclerosis Functional Composite (MSFC)</w:t>
            </w:r>
          </w:p>
        </w:tc>
      </w:tr>
    </w:tbl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03uCEG/4JSHEdq6KXFb/jiZjQQ==">AMUW2mUTubM+N8YtZKxogLpKS3emzKC17USE1HnWB8qrgH966WN4jffV1Dh5/X6vn6pAFJ5PDQbCBh78NPIxniZh28RRb0ak7vdGs+a/VMhjZ+vajfePzQU=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2020-04-06T14:42:00Z</dcterms:created>
  <dc:creator>Ethel Ciampi</dc:creator>
</cp:coreProperties>
</file>