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D65A1" w14:textId="77777777" w:rsidR="002E2FF9" w:rsidRDefault="002E2FF9" w:rsidP="002E2FF9">
      <w:pPr>
        <w:rPr>
          <w:b/>
          <w:bCs/>
        </w:rPr>
      </w:pPr>
      <w:r>
        <w:rPr>
          <w:b/>
          <w:bCs/>
        </w:rPr>
        <w:t xml:space="preserve">APPENDIX FIGURE 1. </w:t>
      </w:r>
      <w:r w:rsidRPr="00D64C06">
        <w:rPr>
          <w:b/>
          <w:bCs/>
        </w:rPr>
        <w:t>Study design illustration for drug eras, switching and combination therapy classification</w:t>
      </w:r>
      <w:r>
        <w:rPr>
          <w:b/>
          <w:bCs/>
        </w:rPr>
        <w:t xml:space="preserve">. </w:t>
      </w:r>
      <w:r>
        <w:rPr>
          <w:rFonts w:cs="Times New Roman"/>
          <w:szCs w:val="24"/>
        </w:rPr>
        <w:t>A) Drug eras are illustrated assuming a 30-day supply for each medication fill and allowing for a 30-day gap between the end of supply and the next fill. The drug era ends if another fill is not received within this gap. (B) If drug eras of two classes overlap at least 30 days (Drug Class B and Drug Class C) then it is classified as combination therapy, otherwise it is a switch between two classes (Drug Class A to Drug Class B).</w:t>
      </w:r>
    </w:p>
    <w:p w14:paraId="736079A6" w14:textId="77777777" w:rsidR="002E2FF9" w:rsidRPr="00D64C06" w:rsidRDefault="002E2FF9" w:rsidP="002E2FF9">
      <w:pPr>
        <w:rPr>
          <w:b/>
          <w:bCs/>
        </w:rPr>
      </w:pPr>
      <w:r>
        <w:rPr>
          <w:b/>
          <w:bCs/>
          <w:noProof/>
        </w:rPr>
        <w:drawing>
          <wp:inline distT="0" distB="0" distL="0" distR="0" wp14:anchorId="2A87D865" wp14:editId="38855DAE">
            <wp:extent cx="5935980" cy="52273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5227320"/>
                    </a:xfrm>
                    <a:prstGeom prst="rect">
                      <a:avLst/>
                    </a:prstGeom>
                    <a:noFill/>
                    <a:ln>
                      <a:noFill/>
                    </a:ln>
                  </pic:spPr>
                </pic:pic>
              </a:graphicData>
            </a:graphic>
          </wp:inline>
        </w:drawing>
      </w:r>
    </w:p>
    <w:p w14:paraId="32AA114E" w14:textId="75394B00" w:rsidR="00613739" w:rsidRPr="002E2FF9" w:rsidRDefault="002E2FF9">
      <w:pPr>
        <w:rPr>
          <w:b/>
          <w:bCs/>
        </w:rPr>
      </w:pPr>
      <w:bookmarkStart w:id="0" w:name="_GoBack"/>
      <w:bookmarkEnd w:id="0"/>
    </w:p>
    <w:sectPr w:rsidR="00613739" w:rsidRPr="002E2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F9"/>
    <w:rsid w:val="002E2FF9"/>
    <w:rsid w:val="00444BD4"/>
    <w:rsid w:val="00A9065C"/>
    <w:rsid w:val="00BE0332"/>
    <w:rsid w:val="00C13B9E"/>
    <w:rsid w:val="00E26BF5"/>
    <w:rsid w:val="00F35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FF87"/>
  <w15:chartTrackingRefBased/>
  <w15:docId w15:val="{C15C3EE8-540A-45CC-95A0-4DCE0888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E2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Kern, Dave  [JRDUS]</dc:creator>
  <cp:keywords/>
  <dc:description/>
  <cp:lastModifiedBy>Kern, Dave  [JRDUS]</cp:lastModifiedBy>
  <cp:revision>1</cp:revision>
  <dcterms:created xsi:type="dcterms:W3CDTF">2020-05-21T13:59:00Z</dcterms:created>
  <dcterms:modified xsi:type="dcterms:W3CDTF">2020-05-21T13:59:00Z</dcterms:modified>
</cp:coreProperties>
</file>