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Serum bilirubin levels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are associated with</w:t>
      </w:r>
      <w:r>
        <w:rPr>
          <w:rFonts w:ascii="Times New Roman" w:hAnsi="Times New Roman" w:cs="Times New Roman"/>
          <w:b/>
          <w:sz w:val="24"/>
          <w:szCs w:val="24"/>
        </w:rPr>
        <w:t xml:space="preserve"> poor functional outcomes in patients with acute ischemic stroke or transient ischemic attack</w:t>
      </w:r>
    </w:p>
    <w:p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 xml:space="preserve">Authors </w:t>
      </w:r>
    </w:p>
    <w:p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Cs/>
          <w:sz w:val="24"/>
          <w:szCs w:val="24"/>
        </w:rPr>
        <w:t>Quping Ouyang,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1,2*</w:t>
      </w:r>
      <w:r>
        <w:rPr>
          <w:rFonts w:hint="eastAsia" w:ascii="Times New Roman" w:hAnsi="Times New Roman" w:cs="Times New Roman"/>
          <w:bCs/>
          <w:sz w:val="24"/>
          <w:szCs w:val="24"/>
        </w:rPr>
        <w:t>; Anxin Wang,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1,2*</w:t>
      </w:r>
      <w:r>
        <w:rPr>
          <w:rFonts w:hint="eastAsia" w:ascii="Times New Roman" w:hAnsi="Times New Roman" w:cs="Times New Roman"/>
          <w:bCs/>
          <w:sz w:val="24"/>
          <w:szCs w:val="24"/>
        </w:rPr>
        <w:t>; Xue Tian, MS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3,4</w:t>
      </w:r>
      <w:r>
        <w:rPr>
          <w:rFonts w:hint="eastAsia" w:ascii="Times New Roman" w:hAnsi="Times New Roman" w:cs="Times New Roman"/>
          <w:bCs/>
          <w:sz w:val="24"/>
          <w:szCs w:val="24"/>
        </w:rPr>
        <w:t>; Yingting Zuo,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3,4</w:t>
      </w:r>
      <w:r>
        <w:rPr>
          <w:rFonts w:hint="eastAsia" w:ascii="Times New Roman" w:hAnsi="Times New Roman" w:cs="Times New Roman"/>
          <w:bCs/>
          <w:sz w:val="24"/>
          <w:szCs w:val="24"/>
        </w:rPr>
        <w:t>; Zhimeng Liu, BS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5</w:t>
      </w:r>
      <w:r>
        <w:rPr>
          <w:rFonts w:hint="eastAsia" w:ascii="Times New Roman" w:hAnsi="Times New Roman" w:cs="Times New Roman"/>
          <w:bCs/>
          <w:sz w:val="24"/>
          <w:szCs w:val="24"/>
        </w:rPr>
        <w:t>; Qin Xu,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cs="Times New Roman"/>
          <w:bCs/>
          <w:sz w:val="24"/>
          <w:szCs w:val="24"/>
        </w:rPr>
        <w:t>; Xia Meng, MD,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cs="Times New Roman"/>
          <w:bCs/>
          <w:sz w:val="24"/>
          <w:szCs w:val="24"/>
        </w:rPr>
        <w:t>; Pan Chen,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cs="Times New Roman"/>
          <w:bCs/>
          <w:sz w:val="24"/>
          <w:szCs w:val="24"/>
        </w:rPr>
        <w:t>; Hao Li, MD, PhD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cs="Times New Roman"/>
          <w:bCs/>
          <w:sz w:val="24"/>
          <w:szCs w:val="24"/>
        </w:rPr>
        <w:t>; Yongjun Wang, MD</w:t>
      </w:r>
      <w:r>
        <w:rPr>
          <w:rFonts w:hint="eastAsia" w:ascii="Times New Roman" w:hAnsi="Times New Roman" w:cs="Times New Roman"/>
          <w:bCs/>
          <w:sz w:val="24"/>
          <w:szCs w:val="24"/>
          <w:vertAlign w:val="superscript"/>
        </w:rPr>
        <w:t>1,2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* Contributed equally to this work</w:t>
      </w:r>
    </w:p>
    <w:p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Affiliations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eastAsia="Times New Roman Uni" w:cs="Times New Roman"/>
          <w:sz w:val="24"/>
          <w:szCs w:val="24"/>
        </w:rPr>
        <w:t>China National Clinical Research Center for Neurological Diseases, Beijing Tiantan Hospital, Capital Medical University, Beijing, China;</w:t>
      </w:r>
    </w:p>
    <w:p>
      <w:pPr>
        <w:spacing w:line="480" w:lineRule="auto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eastAsia="Times New Roman Uni" w:cs="Times New Roman"/>
          <w:sz w:val="24"/>
          <w:szCs w:val="24"/>
        </w:rPr>
        <w:t>Department of Neurology, Beijing Tiantan Hospital, Capital Medical University, Beijing, China;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Department of Epidemiology and Health Statistics, School of Public Health, Capital Medical University, Beijing, China;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Beijing Municipal Key Laboratory of Clinical Epidemiology, Beijing, China</w:t>
      </w:r>
      <w:r>
        <w:rPr>
          <w:rFonts w:hint="eastAsia" w:ascii="Times New Roman" w:hAnsi="Times New Roman" w:cs="Times New Roman"/>
          <w:sz w:val="24"/>
          <w:szCs w:val="24"/>
        </w:rPr>
        <w:t>;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cs="Times New Roman"/>
          <w:sz w:val="24"/>
          <w:szCs w:val="24"/>
        </w:rPr>
        <w:t xml:space="preserve"> Department of Biostatistics in Gillings School of Global Public Health, The University of North Carolina at Chapel Hill, North Carolina, USA.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b/>
          <w:sz w:val="24"/>
          <w:szCs w:val="24"/>
        </w:rPr>
      </w:pPr>
      <w:r>
        <w:rPr>
          <w:rFonts w:ascii="Times New Roman" w:hAnsi="Times New Roman" w:eastAsia="Times New Roman Uni" w:cs="Times New Roman"/>
          <w:b/>
          <w:sz w:val="24"/>
          <w:szCs w:val="24"/>
          <w:vertAlign w:val="superscript"/>
        </w:rPr>
        <w:t>#</w:t>
      </w:r>
      <w:r>
        <w:rPr>
          <w:rFonts w:ascii="Times New Roman" w:hAnsi="Times New Roman" w:eastAsia="Times New Roman Uni" w:cs="Times New Roman"/>
          <w:b/>
          <w:sz w:val="24"/>
          <w:szCs w:val="24"/>
        </w:rPr>
        <w:t>Corresponding author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b/>
          <w:sz w:val="24"/>
          <w:szCs w:val="24"/>
        </w:rPr>
      </w:pPr>
      <w:r>
        <w:rPr>
          <w:rFonts w:ascii="Times New Roman" w:hAnsi="Times New Roman" w:eastAsia="Times New Roman Uni" w:cs="Times New Roman"/>
          <w:b/>
          <w:sz w:val="24"/>
          <w:szCs w:val="24"/>
        </w:rPr>
        <w:t xml:space="preserve">Yongjun Wang, MD 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</w:rPr>
        <w:t>China National Clinical Research Center for Neurological Diseases, Beijing Tiantan Hospital, Capital Medical University, No.119 South 4th Ring West Road, Fengtai District, Beijing, 100070, China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</w:rPr>
        <w:t>Tel: 0086-010-59978538</w:t>
      </w:r>
    </w:p>
    <w:p>
      <w:pPr>
        <w:spacing w:line="480" w:lineRule="auto"/>
        <w:jc w:val="left"/>
        <w:rPr>
          <w:rFonts w:ascii="Times New Roman" w:hAnsi="Times New Roman" w:eastAsia="Times New Roman Uni" w:cs="Times New Roman"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</w:rPr>
        <w:t>Fax: 0086-010-59978538</w:t>
      </w:r>
    </w:p>
    <w:p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 Uni" w:cs="Times New Roman"/>
          <w:sz w:val="24"/>
          <w:szCs w:val="24"/>
        </w:rPr>
        <w:t xml:space="preserve">Email: </w:t>
      </w:r>
      <w:r>
        <w:fldChar w:fldCharType="begin"/>
      </w:r>
      <w:r>
        <w:instrText xml:space="preserve"> HYPERLINK "mailto:yongjunwang@ncrcnd.org.cn" </w:instrText>
      </w:r>
      <w:r>
        <w:fldChar w:fldCharType="separate"/>
      </w:r>
      <w:r>
        <w:rPr>
          <w:rFonts w:ascii="Times New Roman" w:hAnsi="Times New Roman" w:eastAsia="Times New Roman Uni" w:cs="Times New Roman"/>
          <w:sz w:val="24"/>
          <w:szCs w:val="24"/>
        </w:rPr>
        <w:t>yongjunwang@ncrcnd.org.cn</w:t>
      </w:r>
      <w:r>
        <w:rPr>
          <w:rFonts w:ascii="Times New Roman" w:hAnsi="Times New Roman" w:eastAsia="Times New Roman Uni" w:cs="Times New Roman"/>
          <w:sz w:val="24"/>
          <w:szCs w:val="24"/>
        </w:rPr>
        <w:fldChar w:fldCharType="end"/>
      </w:r>
    </w:p>
    <w:p>
      <w:pPr>
        <w:spacing w:line="480" w:lineRule="auto"/>
        <w:rPr>
          <w:rFonts w:hint="default" w:ascii="Times New Roman" w:hAnsi="Times New Roman" w:eastAsia="微软雅黑" w:cs="Times New Roman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>
      <w:pPr>
        <w:spacing w:line="480" w:lineRule="auto"/>
        <w:rPr>
          <w:rFonts w:hint="default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微软雅黑" w:cs="Times New Roman"/>
          <w:b/>
          <w:bCs/>
          <w:sz w:val="24"/>
          <w:szCs w:val="24"/>
        </w:rPr>
        <w:t xml:space="preserve">1. Baseline characteristics </w:t>
      </w:r>
      <w:r>
        <w:rPr>
          <w:rFonts w:hint="default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included and excluded patients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8"/>
        <w:gridCol w:w="2307"/>
        <w:gridCol w:w="2404"/>
        <w:gridCol w:w="120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Characteristics </w:t>
            </w:r>
          </w:p>
        </w:tc>
        <w:tc>
          <w:tcPr>
            <w:tcW w:w="230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Excluded </w:t>
            </w:r>
          </w:p>
        </w:tc>
        <w:tc>
          <w:tcPr>
            <w:tcW w:w="2404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Included </w:t>
            </w:r>
          </w:p>
        </w:tc>
        <w:tc>
          <w:tcPr>
            <w:tcW w:w="1203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n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4045</w:t>
            </w:r>
          </w:p>
        </w:tc>
        <w:tc>
          <w:tcPr>
            <w:tcW w:w="2404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11121</w:t>
            </w:r>
          </w:p>
        </w:tc>
        <w:tc>
          <w:tcPr>
            <w:tcW w:w="1203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Age, y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Men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  <w:t>, n(%)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2795 (69.10)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7569 (68.06)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BMI, kg/m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24.62(22.86-26.73)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24.47(22.49-26.42)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Medical History</w:t>
            </w:r>
          </w:p>
        </w:tc>
        <w:tc>
          <w:tcPr>
            <w:tcW w:w="23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Hypertension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 (62.69)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6958 (62.57)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Diabetes mellitus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 (23.19)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 (23.13)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Dyslipidemia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 (8.23)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 (7.72)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Stroke or TIA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 (20.52)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 (22.70)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Atrial fibrillation/flutter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 (6.82)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 (6.68)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Peripheral vascular disease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 (1.04)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 (0.68)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Heart failure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 (4.49)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 (4.39)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Stroke type/Subtype</w:t>
            </w:r>
          </w:p>
        </w:tc>
        <w:tc>
          <w:tcPr>
            <w:tcW w:w="23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Ischemic stroke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3807 (94.12)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10339 (92.97)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TIA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 (5.88)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 (7.03)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TOAST</w:t>
            </w:r>
          </w:p>
        </w:tc>
        <w:tc>
          <w:tcPr>
            <w:tcW w:w="23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 w:firstLine="0" w:firstLineChars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 xml:space="preserve">Large-artery atherosclerosis 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 (25.83)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 (25.28)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 w:firstLine="0" w:firstLineChars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Cardioembolism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 (6.30)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 (5.95)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 w:firstLine="0" w:firstLineChars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Small-vessel occlusion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 (20.91)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 (20.85)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 w:firstLine="0" w:firstLineChars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Other determined etiology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 (0.82)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 (1.34)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17" w:leftChars="151" w:right="0" w:firstLine="0" w:firstLineChars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Undetermined etiology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 (46.13)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5180 (46.58)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Current smoker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 (31.25)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3488 (31.36)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Medication in hospital</w:t>
            </w:r>
          </w:p>
        </w:tc>
        <w:tc>
          <w:tcPr>
            <w:tcW w:w="23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Cholesterol-lowering agents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3893 (97.03)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10613 (96.12)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240" w:leftChars="0" w:right="0" w:hanging="240" w:hangingChars="10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 xml:space="preserve">   Antihypertensive agents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 (48.55)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5052 (45.76)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Hypoglycemic agents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 (25.95)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 (24.92)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Antiplatelet agents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3890 (96.96)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10723 (97.12)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Anticoagulant agents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 (11.19)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 (9.94)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NIHSS score on admission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3(1-6)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3(1-6)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Lipid level</w:t>
            </w:r>
          </w:p>
        </w:tc>
        <w:tc>
          <w:tcPr>
            <w:tcW w:w="2307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3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TC, mmol/L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(3.28-4.66)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(3.33-4.74)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LDL, mmol/L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2.24(1.69-2.9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2.34(1.74-3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HDL, mmol/L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0.94(0.78-1.12)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0.93(0.77-1.12)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307" w:leftChars="146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TG, mmol/L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1.37(1.04-1.87)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1.36(1.03-1.87)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FBG, mmol/L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5.59(4.9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5.51(4.89-6.88)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eGFR, mL/min/1.73 m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93.45(81.95-102.48)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92.99(81.39-101.75)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  <w:t>hs-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CRP, mg/L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1.84(0.87-4.75)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1.76(0.8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-4.71)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  <w:t xml:space="preserve">ALT, 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U/L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-25.8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  <w:t xml:space="preserve">AST, </w:t>
            </w:r>
            <w:r>
              <w:rPr>
                <w:rFonts w:hint="default" w:ascii="Times New Roman" w:hAnsi="Times New Roman" w:eastAsia="微软雅黑" w:cs="Times New Roman"/>
                <w:sz w:val="24"/>
                <w:szCs w:val="24"/>
              </w:rPr>
              <w:t>U/L</w:t>
            </w:r>
          </w:p>
        </w:tc>
        <w:tc>
          <w:tcPr>
            <w:tcW w:w="23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(15.2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4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0.0073</w:t>
            </w:r>
          </w:p>
        </w:tc>
      </w:tr>
    </w:tbl>
    <w:p>
      <w:pPr>
        <w:spacing w:line="48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Abbreviations: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>ALT=alanine aminotransferase; AST=aspartate aminotransferase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BMI=body mass index; eGFR=estimated glomerular filtration rate;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FBG=fasting blood glucose;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HDL=high-density lipoprotein cholesterol;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hs-CRP=high sensitivity C-reactive protein;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LDL=low-density lipoprotein cholesterol;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NIHSS=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The National Institutes of Health Stroke Scale;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TC=total cholesterol; TG=t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riglycerides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TIA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=t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ransient Ischemic Attack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Continuous variables are expressed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as median with interquartile range. Categorical variables are expressed as frequency with percentage.</w:t>
      </w:r>
    </w:p>
    <w:p>
      <w:pPr>
        <w:bidi w:val="0"/>
        <w:spacing w:line="480" w:lineRule="auto"/>
        <w:jc w:val="left"/>
        <w:rPr>
          <w:rFonts w:hint="default" w:ascii="Times New Roman" w:hAnsi="Times New Roman" w:eastAsia="微软雅黑" w:cs="Times New Roman"/>
          <w:b w:val="0"/>
          <w:bCs/>
          <w:sz w:val="24"/>
          <w:szCs w:val="24"/>
          <w:lang w:val="en-US" w:eastAsia="zh-CN"/>
        </w:rPr>
        <w:sectPr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>
      <w:pPr>
        <w:bidi w:val="0"/>
        <w:spacing w:line="480" w:lineRule="auto"/>
        <w:jc w:val="left"/>
        <w:rPr>
          <w:rFonts w:hint="default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>S2</w:t>
      </w:r>
      <w:r>
        <w:rPr>
          <w:rFonts w:hint="default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>. Association between serum bilirubin and poor functional outcomes after excluding patients with cardioembolism or TIA</w:t>
      </w:r>
    </w:p>
    <w:tbl>
      <w:tblPr>
        <w:tblStyle w:val="5"/>
        <w:tblW w:w="9343" w:type="dxa"/>
        <w:tblInd w:w="-10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776"/>
        <w:gridCol w:w="1189"/>
        <w:gridCol w:w="1716"/>
        <w:gridCol w:w="1716"/>
        <w:gridCol w:w="1716"/>
        <w:gridCol w:w="10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Outcomes</w:t>
            </w:r>
          </w:p>
        </w:tc>
        <w:tc>
          <w:tcPr>
            <w:tcW w:w="77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Index</w:t>
            </w:r>
          </w:p>
        </w:tc>
        <w:tc>
          <w:tcPr>
            <w:tcW w:w="1189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Q1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Q2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Q3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Q4</w:t>
            </w:r>
          </w:p>
        </w:tc>
        <w:tc>
          <w:tcPr>
            <w:tcW w:w="1040" w:type="dxa"/>
            <w:tcBorders>
              <w:bottom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 xml:space="preserve"> for trend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mRS 2-6 at 3 months</w:t>
            </w:r>
          </w:p>
        </w:tc>
        <w:tc>
          <w:tcPr>
            <w:tcW w:w="776" w:type="dxa"/>
            <w:tcBorders>
              <w:top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TBIL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 xml:space="preserve">Reference 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1.14(0.94-1.38)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1.30(1.08-1.57)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1.34(1.11-1.62)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DBIL</w:t>
            </w:r>
          </w:p>
        </w:tc>
        <w:tc>
          <w:tcPr>
            <w:tcW w:w="1189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1.11(0.95-1.30)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1.18(1.00-1.38)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1.40(1.18-1.66)</w:t>
            </w:r>
          </w:p>
        </w:tc>
        <w:tc>
          <w:tcPr>
            <w:tcW w:w="1040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IBIL</w:t>
            </w:r>
          </w:p>
        </w:tc>
        <w:tc>
          <w:tcPr>
            <w:tcW w:w="1189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1.14(0.98-1.32)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1.28(1.10-1.49)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1.33(1.13-1.56)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mRS 3-6 at 3 months</w:t>
            </w:r>
          </w:p>
        </w:tc>
        <w:tc>
          <w:tcPr>
            <w:tcW w:w="776" w:type="dxa"/>
            <w:tcBorders>
              <w:top w:val="single" w:color="auto" w:sz="4" w:space="0"/>
            </w:tcBorders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TBIL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1.15(0.99-1.33)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1.32(1.14-1.54)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1.40(1.20-1.63)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DBIL</w:t>
            </w:r>
          </w:p>
        </w:tc>
        <w:tc>
          <w:tcPr>
            <w:tcW w:w="1189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1.22(1.00-1.48)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1.25(1.02-1.53)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1.59(1.29-1.97)</w:t>
            </w:r>
          </w:p>
        </w:tc>
        <w:tc>
          <w:tcPr>
            <w:tcW w:w="1040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IBIL</w:t>
            </w:r>
          </w:p>
        </w:tc>
        <w:tc>
          <w:tcPr>
            <w:tcW w:w="1189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1.22(1.01-1.47)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1.24(1.03-1.51)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1.34(1.11-1.63)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mRS 2-6 at 1 year</w:t>
            </w:r>
          </w:p>
        </w:tc>
        <w:tc>
          <w:tcPr>
            <w:tcW w:w="776" w:type="dxa"/>
            <w:tcBorders>
              <w:top w:val="single" w:color="auto" w:sz="4" w:space="0"/>
            </w:tcBorders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TBIL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1.11(0.95-1.29)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1.18(1.01-1.38)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1.35(1.16-1.58)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DBIL</w:t>
            </w:r>
          </w:p>
        </w:tc>
        <w:tc>
          <w:tcPr>
            <w:tcW w:w="1189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1.04(0.89-1.22)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1.22(1.03-1.43)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1.42(1.20-1.69)</w:t>
            </w:r>
          </w:p>
        </w:tc>
        <w:tc>
          <w:tcPr>
            <w:tcW w:w="1040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tcBorders>
              <w:bottom w:val="single" w:color="auto" w:sz="4" w:space="0"/>
            </w:tcBorders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IBIL</w:t>
            </w:r>
          </w:p>
        </w:tc>
        <w:tc>
          <w:tcPr>
            <w:tcW w:w="1189" w:type="dxa"/>
            <w:tcBorders>
              <w:bottom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1.06(0.91-1.23)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1.17(1.00-1.37)</w:t>
            </w:r>
          </w:p>
        </w:tc>
        <w:tc>
          <w:tcPr>
            <w:tcW w:w="171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1.26(1.08-1.48)</w:t>
            </w:r>
          </w:p>
        </w:tc>
        <w:tc>
          <w:tcPr>
            <w:tcW w:w="1040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mRS 3-6 1 year</w:t>
            </w:r>
          </w:p>
        </w:tc>
        <w:tc>
          <w:tcPr>
            <w:tcW w:w="776" w:type="dxa"/>
            <w:tcBorders>
              <w:top w:val="single" w:color="auto" w:sz="4" w:space="0"/>
            </w:tcBorders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TBIL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1.07(0.88-1.29)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1.20(0.99-1.45)</w:t>
            </w:r>
          </w:p>
        </w:tc>
        <w:tc>
          <w:tcPr>
            <w:tcW w:w="171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1.31(1.08-1.58)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DBIL</w:t>
            </w:r>
          </w:p>
        </w:tc>
        <w:tc>
          <w:tcPr>
            <w:tcW w:w="1189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1.12(0.92-1.38)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1.21(0.99-1.49)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1.43(1.15-1.77)</w:t>
            </w:r>
          </w:p>
        </w:tc>
        <w:tc>
          <w:tcPr>
            <w:tcW w:w="1040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0" w:type="dxa"/>
            <w:vMerge w:val="continue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776" w:type="dxa"/>
            <w:vAlign w:val="top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IBIL</w:t>
            </w:r>
          </w:p>
        </w:tc>
        <w:tc>
          <w:tcPr>
            <w:tcW w:w="1189" w:type="dxa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Reference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1.05(0.87-1.27)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1.02(0.84-1.24)</w:t>
            </w:r>
          </w:p>
        </w:tc>
        <w:tc>
          <w:tcPr>
            <w:tcW w:w="1716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1.28(1.05-1.55)</w:t>
            </w:r>
          </w:p>
        </w:tc>
        <w:tc>
          <w:tcPr>
            <w:tcW w:w="1040" w:type="dxa"/>
            <w:vAlign w:val="center"/>
          </w:tcPr>
          <w:p>
            <w:pPr>
              <w:bidi w:val="0"/>
              <w:spacing w:line="480" w:lineRule="auto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/>
                <w:color w:val="FF0000"/>
                <w:sz w:val="24"/>
                <w:szCs w:val="24"/>
                <w:lang w:val="en-US" w:eastAsia="zh-CN"/>
              </w:rPr>
              <w:t>&lt;0.0001</w:t>
            </w:r>
          </w:p>
        </w:tc>
      </w:tr>
    </w:tbl>
    <w:p>
      <w:pPr>
        <w:bidi w:val="0"/>
        <w:spacing w:line="480" w:lineRule="auto"/>
        <w:jc w:val="left"/>
        <w:rPr>
          <w:rFonts w:hint="default" w:ascii="Times New Roman" w:hAnsi="Times New Roman" w:eastAsia="微软雅黑" w:cs="Times New Roman"/>
          <w:b w:val="0"/>
          <w:bCs/>
          <w:sz w:val="24"/>
          <w:szCs w:val="24"/>
          <w:lang w:val="en-US" w:eastAsia="zh-CN"/>
        </w:rPr>
        <w:sectPr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>Abbreviations: DBIL= direct bilirubin; IBIL=indirect bilirubin; mRS= modified Rankin Scale; TBIL= total bilirubin</w:t>
      </w:r>
      <w:r>
        <w:rPr>
          <w:rFonts w:hint="eastAsia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 xml:space="preserve">; </w:t>
      </w:r>
      <w:bookmarkStart w:id="0" w:name="_GoBack"/>
      <w:r>
        <w:rPr>
          <w:rFonts w:hint="eastAsia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>TIA= transient ischemic attack</w:t>
      </w:r>
      <w:bookmarkEnd w:id="0"/>
      <w:r>
        <w:rPr>
          <w:rFonts w:hint="eastAsia" w:ascii="Times New Roman" w:hAnsi="Times New Roman" w:eastAsia="微软雅黑" w:cs="Times New Roman"/>
          <w:b w:val="0"/>
          <w:bCs/>
          <w:color w:val="FF0000"/>
          <w:sz w:val="24"/>
          <w:szCs w:val="24"/>
          <w:lang w:val="en-US" w:eastAsia="zh-CN"/>
        </w:rPr>
        <w:t>.</w:t>
      </w:r>
    </w:p>
    <w:p>
      <w:pPr>
        <w:bidi w:val="0"/>
        <w:spacing w:line="480" w:lineRule="auto"/>
        <w:jc w:val="left"/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/>
        </w:rPr>
        <w:t>S3.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 Association between high serum bilirubin (quartile 4) and poor function outcomes stratified by stroke severity measured by NIHSS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8"/>
        <w:gridCol w:w="1590"/>
        <w:gridCol w:w="1746"/>
        <w:gridCol w:w="1190"/>
        <w:gridCol w:w="247"/>
        <w:gridCol w:w="1746"/>
        <w:gridCol w:w="1190"/>
        <w:gridCol w:w="247"/>
        <w:gridCol w:w="1746"/>
        <w:gridCol w:w="119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restar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 xml:space="preserve">Outcomes </w:t>
            </w:r>
          </w:p>
        </w:tc>
        <w:tc>
          <w:tcPr>
            <w:tcW w:w="561" w:type="pct"/>
            <w:vMerge w:val="restar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 xml:space="preserve">Variable </w:t>
            </w:r>
          </w:p>
        </w:tc>
        <w:tc>
          <w:tcPr>
            <w:tcW w:w="1036" w:type="pct"/>
            <w:gridSpan w:val="2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TBIL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6" w:type="pct"/>
            <w:gridSpan w:val="2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DBIL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7" w:type="pct"/>
            <w:gridSpan w:val="2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IBIL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continue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vMerge w:val="continue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420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subscript"/>
                <w:lang w:val="en-US" w:eastAsia="zh-CN"/>
              </w:rPr>
              <w:t>interaction</w:t>
            </w:r>
          </w:p>
        </w:tc>
        <w:tc>
          <w:tcPr>
            <w:tcW w:w="87" w:type="pct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420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subscript"/>
                <w:lang w:val="en-US" w:eastAsia="zh-CN"/>
              </w:rPr>
              <w:t>interaction</w:t>
            </w:r>
          </w:p>
        </w:tc>
        <w:tc>
          <w:tcPr>
            <w:tcW w:w="87" w:type="pct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421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subscript"/>
                <w:lang w:val="en-US" w:eastAsia="zh-CN"/>
              </w:rPr>
              <w:t>interaction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mRS score 2-6 at 3 months</w:t>
            </w:r>
          </w:p>
        </w:tc>
        <w:tc>
          <w:tcPr>
            <w:tcW w:w="561" w:type="pct"/>
            <w:tcBorders>
              <w:top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16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1.13(0.88-1.44)</w:t>
            </w:r>
          </w:p>
        </w:tc>
        <w:tc>
          <w:tcPr>
            <w:tcW w:w="420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0.0938</w:t>
            </w:r>
          </w:p>
        </w:tc>
        <w:tc>
          <w:tcPr>
            <w:tcW w:w="87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1.11(0.84-1.45)</w:t>
            </w:r>
          </w:p>
        </w:tc>
        <w:tc>
          <w:tcPr>
            <w:tcW w:w="420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0.0633</w:t>
            </w:r>
          </w:p>
        </w:tc>
        <w:tc>
          <w:tcPr>
            <w:tcW w:w="87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1.09(0.84-1.41)</w:t>
            </w:r>
          </w:p>
        </w:tc>
        <w:tc>
          <w:tcPr>
            <w:tcW w:w="421" w:type="pct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0.1167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continue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default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NIHSS&gt;3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1.52(1.27-1.84)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1.54(1.25-1.90)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1.43(1.18-1.73)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mRS score 3-6 at 3 months</w:t>
            </w: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1.00(0.70-1.43)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0.4082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1.00(0.66-1.48)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0.0941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1.03(0.71-1.50)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0.7274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continue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NIHSS&gt;3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1.44(1.16-1.78)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1.85(1.45-2.36)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1.39(1.12-1.73)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mRS score 2-6 at 1 year</w:t>
            </w: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1.15(0.91-1.46)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0.1540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1.19(0.91-1.55)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0.0716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1.02(0.80-1.30)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0.1505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continue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NIHSS&gt;3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1.45(1.27-1.84)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1.50(1.21-1.86)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1.36(1.12-1.66)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  <w:t>mRS score 3-6 at 1 year</w:t>
            </w:r>
          </w:p>
        </w:tc>
        <w:tc>
          <w:tcPr>
            <w:tcW w:w="561" w:type="pct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1.15(0.83-1.60)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0.2820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1.15(0.79-1.68)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0.3291</w:t>
            </w: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6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1.05(0.75-1.49)</w:t>
            </w:r>
          </w:p>
        </w:tc>
        <w:tc>
          <w:tcPr>
            <w:tcW w:w="421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0.5725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Merge w:val="continue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 w:firstLine="240" w:firstLineChars="100"/>
              <w:jc w:val="left"/>
              <w:rPr>
                <w:rFonts w:hint="eastAsia" w:ascii="Times New Roman" w:hAnsi="Times New Roman" w:eastAsia="微软雅黑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NIHSS&gt;3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1.30(1.04-1.63)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1.47(1.15-1.90)</w:t>
            </w:r>
          </w:p>
        </w:tc>
        <w:tc>
          <w:tcPr>
            <w:tcW w:w="420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" w:type="pct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  <w:t>1.28(1.02-1.61)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bidi w:val="0"/>
        <w:spacing w:line="480" w:lineRule="auto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Abbreviations: CI, confidence interval; DBIL, direct bilirubin; HR, hazard ratio; IBIL, indirect bilirubin; mRS, modified Rankin Scale; NIHSS, National Institutes of Health Stroke Scale; TBIL, total bilirubin.</w:t>
      </w:r>
    </w:p>
    <w:p>
      <w:pPr>
        <w:bidi w:val="0"/>
        <w:spacing w:line="480" w:lineRule="auto"/>
        <w:jc w:val="left"/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* Adjusted for age, sex, history of diabetes, 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微软雅黑" w:cs="Times New Roman"/>
          <w:sz w:val="24"/>
          <w:szCs w:val="24"/>
        </w:rPr>
        <w:t>trial fibrillation/flutter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>, smoking status, stroke subtype, hypoglycemic agents, a</w:t>
      </w:r>
      <w:r>
        <w:rPr>
          <w:rFonts w:hint="default" w:ascii="Times New Roman" w:hAnsi="Times New Roman" w:eastAsia="微软雅黑" w:cs="Times New Roman"/>
          <w:sz w:val="24"/>
          <w:szCs w:val="24"/>
        </w:rPr>
        <w:t>ntiplatelet agents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, total cholesterol, high density lipoprotein cholesterol, triglyceride, high sensitivity C-reactive protein,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>alanine aminotransferase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 xml:space="preserve"> and </w: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>aspartate aminotransferase</w:t>
      </w:r>
      <w:r>
        <w:rPr>
          <w:rFonts w:hint="eastAsia" w:ascii="Times New Roman" w:hAnsi="Times New Roman" w:eastAsia="微软雅黑" w:cs="Times New Roman"/>
          <w:sz w:val="24"/>
          <w:szCs w:val="24"/>
          <w:lang w:val="en-US" w:eastAsia="zh-CN"/>
        </w:rPr>
        <w:t>.</w:t>
      </w:r>
    </w:p>
    <w:p>
      <w:pPr>
        <w:bidi w:val="0"/>
        <w:spacing w:line="480" w:lineRule="auto"/>
        <w:jc w:val="left"/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</w:pPr>
    </w:p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315609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05547"/>
    <w:rsid w:val="00D22AED"/>
    <w:rsid w:val="09384E2C"/>
    <w:rsid w:val="0BC1329D"/>
    <w:rsid w:val="0CCE03B8"/>
    <w:rsid w:val="0CD777C0"/>
    <w:rsid w:val="0F3C65DF"/>
    <w:rsid w:val="11F44FB3"/>
    <w:rsid w:val="13A4773D"/>
    <w:rsid w:val="1B6B0B38"/>
    <w:rsid w:val="1CA94F99"/>
    <w:rsid w:val="1D394892"/>
    <w:rsid w:val="1FCA249C"/>
    <w:rsid w:val="23A21955"/>
    <w:rsid w:val="2B3C3754"/>
    <w:rsid w:val="34AC69DD"/>
    <w:rsid w:val="36101F44"/>
    <w:rsid w:val="3B925F72"/>
    <w:rsid w:val="3C9F228D"/>
    <w:rsid w:val="3CEF324C"/>
    <w:rsid w:val="3FF64AEC"/>
    <w:rsid w:val="445742BD"/>
    <w:rsid w:val="48005547"/>
    <w:rsid w:val="4D614805"/>
    <w:rsid w:val="5F2045F3"/>
    <w:rsid w:val="60510BCC"/>
    <w:rsid w:val="655F108D"/>
    <w:rsid w:val="677E2DFB"/>
    <w:rsid w:val="74105051"/>
    <w:rsid w:val="7F59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2020-04-25T00:56:00Z</dcterms:created>
  <dc:creator>~田mini~</dc:creator>
  <cp:lastModifiedBy>Xue Tian</cp:lastModifiedBy>
  <dcterms:modified xsi:type="dcterms:W3CDTF">2021-08-27T08:44:42Z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5E05595F26EC481BA9E48205B7041DF4</vt:lpwstr>
  </property>
</Properties>
</file>