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media/image2.svg" ContentType="image/svg+xml"/>
  <Override PartName="/word/media/image3.svg" ContentType="image/svg+xml"/>
  <Override PartName="/word/media/image4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Sex</w:t>
      </w:r>
    </w:p>
    <w:p>
      <w:pPr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 total of seven studies provided data on the relationship between sex and postoperative CSF leakage (Fig. 7). Meta-analysis suggested no significant difference in the incidence of postoperative CSF</w:t>
      </w:r>
      <w:r>
        <w:rPr>
          <w:rFonts w:ascii="Times New Roman" w:hAnsi="Times New Roman" w:eastAsia="宋体" w:cs="Times New Roman"/>
          <w:kern w:val="0"/>
          <w:sz w:val="24"/>
        </w:rPr>
        <w:t xml:space="preserve"> leakage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across sexes </w:t>
      </w:r>
      <w:r>
        <w:rPr>
          <w:rFonts w:ascii="Times New Roman" w:hAnsi="Times New Roman" w:eastAsia="宋体" w:cs="Times New Roman"/>
          <w:kern w:val="0"/>
          <w:sz w:val="24"/>
        </w:rPr>
        <w:t>(pooled OR: 1.78, 95% CI: 1.00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–3</w:t>
      </w:r>
      <w:r>
        <w:rPr>
          <w:rFonts w:ascii="Times New Roman" w:hAnsi="Times New Roman" w:eastAsia="宋体" w:cs="Times New Roman"/>
          <w:kern w:val="0"/>
          <w:sz w:val="24"/>
        </w:rPr>
        <w:t>.14).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1588770"/>
            <wp:effectExtent l="0" t="0" r="3810" b="11430"/>
            <wp:docPr id="8" name="图片 8" descr="Forest plo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orest plot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Figure 7. Forest plot of postoperative CSF leakage according to sex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Functional adenoma type</w:t>
      </w:r>
    </w:p>
    <w:p>
      <w:pPr>
        <w:spacing w:line="360" w:lineRule="auto"/>
        <w:ind w:firstLine="48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 total of five studies reported differences in the incidence of postoperative CSF leakage according to the functionality of the adenoma (Fig. 8). Meta-analysis suggested no significant difference in the incidence of postoperative CSF</w:t>
      </w:r>
      <w:r>
        <w:rPr>
          <w:rFonts w:ascii="Times New Roman" w:hAnsi="Times New Roman" w:eastAsia="宋体" w:cs="Times New Roman"/>
          <w:kern w:val="0"/>
          <w:sz w:val="24"/>
        </w:rPr>
        <w:t xml:space="preserve"> leakage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across functional adenoma types </w:t>
      </w:r>
      <w:r>
        <w:rPr>
          <w:rFonts w:ascii="Times New Roman" w:hAnsi="Times New Roman" w:eastAsia="宋体" w:cs="Times New Roman"/>
          <w:kern w:val="0"/>
          <w:sz w:val="24"/>
        </w:rPr>
        <w:t>(pooled OR: 1.32, 95% CI: 0.84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–2</w:t>
      </w:r>
      <w:r>
        <w:rPr>
          <w:rFonts w:ascii="Times New Roman" w:hAnsi="Times New Roman" w:eastAsia="宋体" w:cs="Times New Roman"/>
          <w:kern w:val="0"/>
          <w:sz w:val="24"/>
        </w:rPr>
        <w:t>.05).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960" cy="1388745"/>
            <wp:effectExtent l="0" t="0" r="5080" b="13335"/>
            <wp:docPr id="9" name="图片 9" descr="Forest plo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orest plot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Figure 8. Forest plot of postoperative CSF leakage according to functional adenoma type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left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Resection rate</w:t>
      </w:r>
    </w:p>
    <w:p>
      <w:pPr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A total of six studies provided data regarding the relationship between resection rate and postoperative CSF leakag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e (Fig. 9). Meta-analysis suggested no significant difference in the incidence of postoperative CSF leakage between total resection and partial or subtotal resection </w:t>
      </w:r>
      <w:r>
        <w:rPr>
          <w:rFonts w:ascii="Times New Roman" w:hAnsi="Times New Roman" w:eastAsia="宋体" w:cs="Times New Roman"/>
          <w:kern w:val="0"/>
          <w:sz w:val="24"/>
        </w:rPr>
        <w:t>(pooled OR: 0.77, 95% CI: 0.21–2.80). The sensitivity analysis suggested that when Xu’s study</w:t>
      </w:r>
      <w:r>
        <w:rPr>
          <w:rFonts w:ascii="Times New Roman" w:hAnsi="Times New Roman" w:eastAsia="宋体" w:cs="Times New Roman"/>
          <w:kern w:val="0"/>
          <w:sz w:val="24"/>
        </w:rPr>
        <w:fldChar w:fldCharType="begin"/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instrText xml:space="preserve"> ADDIN NE.Ref.{F4FA26FB-7D7B-40A0-AB39-29E34B30E8CF}</w:instrText>
      </w:r>
      <w:r>
        <w:rPr>
          <w:rFonts w:ascii="Times New Roman" w:hAnsi="Times New Roman" w:eastAsia="宋体" w:cs="Times New Roman"/>
          <w:kern w:val="0"/>
          <w:sz w:val="24"/>
        </w:rPr>
        <w:fldChar w:fldCharType="separate"/>
      </w:r>
      <w:r>
        <w:rPr>
          <w:rFonts w:hint="default" w:ascii="Times New Roman" w:hAnsi="Times New Roman" w:eastAsia="Times New Roman"/>
          <w:color w:val="080000"/>
          <w:sz w:val="24"/>
          <w:szCs w:val="24"/>
        </w:rPr>
        <w:t>[14]</w:t>
      </w:r>
      <w:r>
        <w:rPr>
          <w:rFonts w:ascii="Times New Roman" w:hAnsi="Times New Roman" w:eastAsia="宋体" w:cs="Times New Roman"/>
          <w:kern w:val="0"/>
          <w:sz w:val="24"/>
        </w:rPr>
        <w:fldChar w:fldCharType="end"/>
      </w:r>
      <w:r>
        <w:rPr>
          <w:rFonts w:ascii="Times New Roman" w:hAnsi="Times New Roman" w:eastAsia="宋体" w:cs="Times New Roman"/>
          <w:kern w:val="0"/>
          <w:sz w:val="24"/>
        </w:rPr>
        <w:t xml:space="preserve"> was excluded, the result (pooled OR: 0.53, 95% CI: 0.14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–1</w:t>
      </w:r>
      <w:r>
        <w:rPr>
          <w:rFonts w:ascii="Times New Roman" w:hAnsi="Times New Roman" w:eastAsia="宋体" w:cs="Times New Roman"/>
          <w:kern w:val="0"/>
          <w:sz w:val="24"/>
        </w:rPr>
        <w:t xml:space="preserve">.99) was consistent with </w:t>
      </w:r>
      <w:r>
        <w:rPr>
          <w:rFonts w:hint="eastAsia" w:ascii="Times New Roman" w:hAnsi="Times New Roman" w:eastAsia="宋体" w:cs="Times New Roman"/>
          <w:kern w:val="0"/>
          <w:sz w:val="24"/>
        </w:rPr>
        <w:t>the overall result without excluding any studies</w:t>
      </w:r>
      <w:r>
        <w:rPr>
          <w:rFonts w:ascii="Times New Roman" w:hAnsi="Times New Roman" w:eastAsia="宋体" w:cs="Times New Roman"/>
          <w:kern w:val="0"/>
          <w:sz w:val="24"/>
        </w:rPr>
        <w:t>. However, the heterogeneity remained high (I</w:t>
      </w:r>
      <w:r>
        <w:rPr>
          <w:rFonts w:ascii="Times New Roman" w:hAnsi="Times New Roman" w:eastAsia="宋体" w:cs="Times New Roman"/>
          <w:kern w:val="0"/>
          <w:sz w:val="24"/>
          <w:vertAlign w:val="superscript"/>
        </w:rPr>
        <w:t>2</w:t>
      </w:r>
      <w:r>
        <w:rPr>
          <w:rFonts w:ascii="Times New Roman" w:hAnsi="Times New Roman" w:eastAsia="宋体" w:cs="Times New Roman"/>
          <w:kern w:val="0"/>
          <w:sz w:val="24"/>
        </w:rPr>
        <w:t xml:space="preserve"> = 80%, </w:t>
      </w:r>
      <w:r>
        <w:rPr>
          <w:rFonts w:ascii="Times New Roman" w:hAnsi="Times New Roman" w:eastAsia="宋体" w:cs="Times New Roman"/>
          <w:i/>
          <w:iCs/>
          <w:kern w:val="0"/>
          <w:sz w:val="24"/>
        </w:rPr>
        <w:t>P</w:t>
      </w:r>
      <w:r>
        <w:rPr>
          <w:rFonts w:ascii="Times New Roman" w:hAnsi="Times New Roman" w:eastAsia="宋体" w:cs="Times New Roman"/>
          <w:kern w:val="0"/>
          <w:sz w:val="24"/>
        </w:rPr>
        <w:t xml:space="preserve"> &lt; 0.001).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1329055"/>
            <wp:effectExtent l="0" t="0" r="3810" b="12065"/>
            <wp:docPr id="10" name="图片 10" descr="Forest plo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orest plot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Figure 9. Forest plot of postoperative CSF leakage according to resection rate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kern w:val="0"/>
          <w:sz w:val="24"/>
        </w:rPr>
      </w:pPr>
    </w:p>
    <w:p>
      <w:pPr>
        <w:spacing w:line="360" w:lineRule="auto"/>
        <w:jc w:val="left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Perioperative lumbar drainage</w:t>
      </w:r>
    </w:p>
    <w:p>
      <w:pPr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 total of five studies provided data regarding the relationship between perioperative lumbar drainage (LD) and postoperative CSF leakage (Fig. 10). Meta-analysis suggested that no significant differences in the incidence of postoperative CSF leakage between patients with LD and without LD (pooled OR: 0.61, 95% CI: 0.18–2.11). Sensitivity analysis suggested when Wang’s study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instrText xml:space="preserve"> ADDIN NE.Ref.{71800D55-6063-4003-A135-56136B9D3CFE}</w:instrTex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Times New Roman"/>
          <w:color w:val="080000"/>
          <w:sz w:val="24"/>
          <w:szCs w:val="24"/>
        </w:rPr>
        <w:t>[22]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was excluded, the result (pooled OR</w:t>
      </w:r>
      <w:bookmarkStart w:id="0" w:name="_GoBack"/>
      <w:bookmarkEnd w:id="0"/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: 0.36, 95% CI: 0.16–0.82) was different from the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result without excluding any studies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with no heterogeneity (I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= 0%, P &gt; 0.05). Through discussion with the researchers, Wang’s study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instrText xml:space="preserve"> ADDIN NE.Ref.{9D24C6C0-E084-41E9-A2BE-ABAB11F0F7AB}</w:instrTex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Times New Roman"/>
          <w:color w:val="080000"/>
          <w:sz w:val="24"/>
          <w:szCs w:val="24"/>
        </w:rPr>
        <w:t>[22]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was determined to meet the inclusion criteria. Therefore, the credibility of this result was low.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1376680"/>
            <wp:effectExtent l="0" t="0" r="3810" b="10160"/>
            <wp:docPr id="12" name="图片 12" descr="Forest pl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orest plo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</w:rPr>
        <w:t>Figure 10. Forest plot of postoperative CSF leakage according to perioperative lumbar drainage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03464"/>
    <w:rsid w:val="04F03464"/>
    <w:rsid w:val="7B55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sv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2.pn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sv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2021-09-30T02:54:00Z</dcterms:created>
  <dc:creator>琥珀川</dc:creator>
  <cp:lastModifiedBy>琥珀川</cp:lastModifiedBy>
  <dcterms:modified xsi:type="dcterms:W3CDTF">2021-09-30T03:05:33Z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8D6213197BE044AD9A17C0DE5FEB197A</vt:lpwstr>
  </property>
</Properties>
</file>