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AC1B" w14:textId="77777777" w:rsidR="00FA62C7" w:rsidRPr="00556D33" w:rsidRDefault="00954F79" w:rsidP="00146881">
      <w:pPr>
        <w:spacing w:line="480" w:lineRule="exact"/>
        <w:outlineLvl w:val="0"/>
        <w:rPr>
          <w:b/>
          <w:color w:val="000000" w:themeColor="text1"/>
        </w:rPr>
      </w:pPr>
      <w:r w:rsidRPr="00556D33">
        <w:rPr>
          <w:b/>
          <w:color w:val="000000" w:themeColor="text1"/>
        </w:rPr>
        <w:t>Additional file 1</w:t>
      </w:r>
    </w:p>
    <w:p w14:paraId="64928C12" w14:textId="77777777" w:rsidR="00146881" w:rsidRPr="00556D33" w:rsidRDefault="00146881" w:rsidP="00146881">
      <w:pPr>
        <w:spacing w:line="480" w:lineRule="exact"/>
        <w:rPr>
          <w:rFonts w:eastAsiaTheme="majorEastAsia"/>
          <w:b/>
        </w:rPr>
      </w:pPr>
    </w:p>
    <w:p w14:paraId="4B309CF7" w14:textId="560E0C4C" w:rsidR="00146881" w:rsidRPr="00556D33" w:rsidRDefault="005A6341" w:rsidP="00146881">
      <w:pPr>
        <w:spacing w:line="480" w:lineRule="exact"/>
        <w:rPr>
          <w:rFonts w:eastAsiaTheme="majorEastAsia"/>
          <w:b/>
        </w:rPr>
      </w:pPr>
      <w:r w:rsidRPr="00556D33">
        <w:rPr>
          <w:rFonts w:eastAsiaTheme="majorEastAsia"/>
          <w:b/>
        </w:rPr>
        <w:t>Genetic analysis</w:t>
      </w:r>
    </w:p>
    <w:p w14:paraId="2302939D" w14:textId="552FC5DD" w:rsidR="00146881" w:rsidRPr="00556D33" w:rsidRDefault="00954F79" w:rsidP="00146881">
      <w:pPr>
        <w:spacing w:line="480" w:lineRule="exact"/>
        <w:rPr>
          <w:color w:val="222222"/>
        </w:rPr>
      </w:pPr>
      <w:r w:rsidRPr="00556D33">
        <w:rPr>
          <w:color w:val="222222"/>
        </w:rPr>
        <w:t xml:space="preserve">For a definitive diagnosis, </w:t>
      </w:r>
      <w:r w:rsidR="00863D2F" w:rsidRPr="00556D33">
        <w:rPr>
          <w:color w:val="222222"/>
        </w:rPr>
        <w:t>genetic counselling was provided</w:t>
      </w:r>
      <w:r w:rsidRPr="00556D33">
        <w:rPr>
          <w:color w:val="222222"/>
        </w:rPr>
        <w:t>,</w:t>
      </w:r>
      <w:r w:rsidR="00863D2F" w:rsidRPr="00556D33">
        <w:rPr>
          <w:color w:val="222222"/>
        </w:rPr>
        <w:t xml:space="preserve"> and written informed consent</w:t>
      </w:r>
      <w:r w:rsidR="001A50AF" w:rsidRPr="00556D33">
        <w:rPr>
          <w:color w:val="222222"/>
        </w:rPr>
        <w:t xml:space="preserve"> was obtained</w:t>
      </w:r>
      <w:r w:rsidR="002E06E5" w:rsidRPr="00556D33">
        <w:rPr>
          <w:color w:val="222222"/>
        </w:rPr>
        <w:t xml:space="preserve"> from the patient’s parents. </w:t>
      </w:r>
      <w:r w:rsidRPr="00556D33">
        <w:rPr>
          <w:color w:val="222222"/>
        </w:rPr>
        <w:t xml:space="preserve">The genetic analysis included a trio exome analysis performed to identify the genetic cause of the disease. </w:t>
      </w:r>
      <w:r w:rsidRPr="00556D33">
        <w:t>Genomic DNA was extracted from peripheral blood samples of the patient and his parents. The TruSight One sequencing panels covering the coding regions of 4813 genes associated with a known clinical phenotype were run on a HiSeq instrument (Illumina, San Diego, USA). A</w:t>
      </w:r>
      <w:r w:rsidRPr="00556D33">
        <w:rPr>
          <w:color w:val="222222"/>
        </w:rPr>
        <w:t xml:space="preserve"> mutation was detected around exon 25 of </w:t>
      </w:r>
      <w:r w:rsidRPr="00556D33">
        <w:rPr>
          <w:i/>
          <w:color w:val="222222"/>
        </w:rPr>
        <w:t>SPG11</w:t>
      </w:r>
      <w:r w:rsidRPr="00556D33">
        <w:t xml:space="preserve">, and </w:t>
      </w:r>
      <w:r w:rsidRPr="00556D33">
        <w:rPr>
          <w:color w:val="222222"/>
        </w:rPr>
        <w:t xml:space="preserve">direct sequencing of </w:t>
      </w:r>
      <w:r w:rsidRPr="00556D33">
        <w:rPr>
          <w:i/>
          <w:iCs/>
          <w:color w:val="222222"/>
        </w:rPr>
        <w:t xml:space="preserve">SPG11 </w:t>
      </w:r>
      <w:r w:rsidRPr="00556D33">
        <w:rPr>
          <w:color w:val="222222"/>
        </w:rPr>
        <w:t>(NM_025137.3)</w:t>
      </w:r>
      <w:r w:rsidRPr="00556D33">
        <w:rPr>
          <w:i/>
          <w:iCs/>
          <w:color w:val="222222"/>
        </w:rPr>
        <w:t xml:space="preserve"> </w:t>
      </w:r>
      <w:r w:rsidRPr="00556D33">
        <w:rPr>
          <w:color w:val="222222"/>
        </w:rPr>
        <w:t xml:space="preserve">by the Sanger method at the same site was </w:t>
      </w:r>
      <w:r w:rsidR="001A50AF" w:rsidRPr="00556D33">
        <w:rPr>
          <w:color w:val="222222"/>
        </w:rPr>
        <w:t xml:space="preserve">then </w:t>
      </w:r>
      <w:r w:rsidRPr="00556D33">
        <w:rPr>
          <w:color w:val="222222"/>
        </w:rPr>
        <w:t>performed.</w:t>
      </w:r>
    </w:p>
    <w:p w14:paraId="34E5A662" w14:textId="77777777" w:rsidR="00146881" w:rsidRPr="00556D33" w:rsidRDefault="00146881" w:rsidP="00146881">
      <w:pPr>
        <w:spacing w:line="480" w:lineRule="exact"/>
        <w:rPr>
          <w:rFonts w:eastAsiaTheme="majorEastAsia"/>
        </w:rPr>
      </w:pPr>
    </w:p>
    <w:p w14:paraId="692CC7DA" w14:textId="0C4D04DA" w:rsidR="00146881" w:rsidRPr="00556D33" w:rsidRDefault="005A6341" w:rsidP="00146881">
      <w:pPr>
        <w:spacing w:line="480" w:lineRule="exact"/>
        <w:outlineLvl w:val="0"/>
        <w:rPr>
          <w:b/>
          <w:color w:val="000000" w:themeColor="text1"/>
        </w:rPr>
      </w:pPr>
      <w:r w:rsidRPr="00556D33">
        <w:rPr>
          <w:b/>
          <w:color w:val="000000" w:themeColor="text1"/>
        </w:rPr>
        <w:t>Neuropathological examination</w:t>
      </w:r>
    </w:p>
    <w:p w14:paraId="75FBF69F" w14:textId="58098A3B" w:rsidR="00146881" w:rsidRPr="00556D33" w:rsidRDefault="00954F79" w:rsidP="00146881">
      <w:pPr>
        <w:spacing w:line="480" w:lineRule="exact"/>
        <w:outlineLvl w:val="0"/>
        <w:rPr>
          <w:color w:val="000000" w:themeColor="text1"/>
        </w:rPr>
      </w:pPr>
      <w:r w:rsidRPr="00556D33">
        <w:rPr>
          <w:color w:val="000000" w:themeColor="text1"/>
        </w:rPr>
        <w:t>The brain and spinal cord were fixed in 20% buffered formalin and embedded in paraffin. Six-</w:t>
      </w:r>
      <w:proofErr w:type="spellStart"/>
      <w:r w:rsidRPr="00556D33">
        <w:rPr>
          <w:color w:val="000000"/>
        </w:rPr>
        <w:t>micrometer</w:t>
      </w:r>
      <w:proofErr w:type="spellEnd"/>
      <w:r w:rsidRPr="00556D33">
        <w:rPr>
          <w:color w:val="000000"/>
        </w:rPr>
        <w:t>-thick</w:t>
      </w:r>
      <w:r w:rsidRPr="00556D33">
        <w:rPr>
          <w:color w:val="000000" w:themeColor="text1"/>
        </w:rPr>
        <w:t xml:space="preserve"> sections were stained with haematoxylin-eosin and </w:t>
      </w:r>
      <w:proofErr w:type="spellStart"/>
      <w:r w:rsidRPr="00556D33">
        <w:rPr>
          <w:color w:val="000000" w:themeColor="text1"/>
        </w:rPr>
        <w:t>Klüver</w:t>
      </w:r>
      <w:proofErr w:type="spellEnd"/>
      <w:r w:rsidRPr="00556D33">
        <w:rPr>
          <w:color w:val="000000" w:themeColor="text1"/>
        </w:rPr>
        <w:t xml:space="preserve">-Barrera and by </w:t>
      </w:r>
      <w:proofErr w:type="spellStart"/>
      <w:r w:rsidRPr="00556D33">
        <w:rPr>
          <w:color w:val="000000" w:themeColor="text1"/>
        </w:rPr>
        <w:t>Gallyas</w:t>
      </w:r>
      <w:proofErr w:type="spellEnd"/>
      <w:r w:rsidRPr="00556D33">
        <w:rPr>
          <w:color w:val="000000" w:themeColor="text1"/>
        </w:rPr>
        <w:t>–</w:t>
      </w:r>
      <w:proofErr w:type="spellStart"/>
      <w:r w:rsidRPr="00556D33">
        <w:rPr>
          <w:color w:val="000000" w:themeColor="text1"/>
        </w:rPr>
        <w:t>Braak</w:t>
      </w:r>
      <w:proofErr w:type="spellEnd"/>
      <w:r w:rsidRPr="00556D33">
        <w:rPr>
          <w:color w:val="000000" w:themeColor="text1"/>
        </w:rPr>
        <w:t xml:space="preserve"> silver impregnation. Furthermore, immunoreaction product deposits on immunohistochemically stained sections were processed with a Ventana BenchMark GX autostainer (Ventana Medical Systems, Tucson, AZ, USA) and an I-View Universal DAB Detection Kit (Roche, Basel, Switzerland); </w:t>
      </w:r>
      <w:r w:rsidR="001A50AF" w:rsidRPr="00556D33">
        <w:rPr>
          <w:color w:val="000000" w:themeColor="text1"/>
        </w:rPr>
        <w:t xml:space="preserve">the </w:t>
      </w:r>
      <w:r w:rsidRPr="00556D33">
        <w:rPr>
          <w:color w:val="000000" w:themeColor="text1"/>
        </w:rPr>
        <w:t>primary antibodies are listed in Additional Table 1.</w:t>
      </w:r>
      <w:r w:rsidR="00C921F5" w:rsidRPr="00556D33">
        <w:rPr>
          <w:rFonts w:eastAsiaTheme="minorEastAsia"/>
          <w:bCs/>
          <w:lang w:val="en-US"/>
        </w:rPr>
        <w:t xml:space="preserve"> </w:t>
      </w:r>
      <w:r w:rsidR="00C921F5" w:rsidRPr="00556D33">
        <w:t xml:space="preserve">The specimen was investigated with a light microscope (Eclipse Ni, Nikon, Tokyo, Japan) and photographed using a digital camera (DS-Ri, Nikon, Tokyo, Japan). </w:t>
      </w:r>
      <w:r w:rsidRPr="00556D33">
        <w:t xml:space="preserve">We </w:t>
      </w:r>
      <w:proofErr w:type="spellStart"/>
      <w:r w:rsidRPr="00556D33">
        <w:t>semiquantitatively</w:t>
      </w:r>
      <w:proofErr w:type="spellEnd"/>
      <w:r w:rsidRPr="00556D33">
        <w:t xml:space="preserve"> evaluated neuronal loss, gliosis, and</w:t>
      </w:r>
      <w:r w:rsidRPr="00556D33">
        <w:rPr>
          <w:color w:val="000000" w:themeColor="text1"/>
        </w:rPr>
        <w:t xml:space="preserve"> p62-immunoreactive neuronal cytoplasmic inclusions (</w:t>
      </w:r>
      <w:r w:rsidRPr="00556D33">
        <w:rPr>
          <w:color w:val="000000"/>
        </w:rPr>
        <w:t>NCIs)</w:t>
      </w:r>
      <w:r w:rsidRPr="00556D33">
        <w:rPr>
          <w:color w:val="000000" w:themeColor="text1"/>
        </w:rPr>
        <w:t>. Degeneration was assessed based on the degree of neuronal loss, indicated as absent (-), mild (+), moderate (++), severe (+++), or totally lost (++++)</w:t>
      </w:r>
      <w:r w:rsidRPr="00556D33">
        <w:rPr>
          <w:color w:val="000000"/>
        </w:rPr>
        <w:t>,</w:t>
      </w:r>
      <w:r w:rsidRPr="00556D33">
        <w:rPr>
          <w:color w:val="000000" w:themeColor="text1"/>
        </w:rPr>
        <w:t xml:space="preserve"> and gliosis was indicated as mild (+), moderate (++), or severe (+++). The p62-</w:t>
      </w:r>
      <w:r w:rsidRPr="00556D33">
        <w:rPr>
          <w:rFonts w:eastAsiaTheme="majorEastAsia"/>
        </w:rPr>
        <w:t>immunoreactive</w:t>
      </w:r>
      <w:r w:rsidRPr="00556D33">
        <w:rPr>
          <w:color w:val="000000" w:themeColor="text1"/>
        </w:rPr>
        <w:t xml:space="preserve"> NCI</w:t>
      </w:r>
      <w:r w:rsidR="001A50AF" w:rsidRPr="00556D33">
        <w:rPr>
          <w:color w:val="000000" w:themeColor="text1"/>
        </w:rPr>
        <w:t xml:space="preserve"> frequency</w:t>
      </w:r>
      <w:r w:rsidRPr="00556D33">
        <w:rPr>
          <w:color w:val="000000" w:themeColor="text1"/>
        </w:rPr>
        <w:t>, evaluated with a 10× objective magnification</w:t>
      </w:r>
      <w:r w:rsidRPr="00556D33">
        <w:rPr>
          <w:color w:val="000000"/>
        </w:rPr>
        <w:t>,</w:t>
      </w:r>
      <w:r w:rsidRPr="00556D33">
        <w:rPr>
          <w:color w:val="000000" w:themeColor="text1"/>
        </w:rPr>
        <w:t xml:space="preserve"> </w:t>
      </w:r>
      <w:r w:rsidR="001A50AF" w:rsidRPr="00556D33">
        <w:rPr>
          <w:color w:val="000000" w:themeColor="text1"/>
        </w:rPr>
        <w:t>is</w:t>
      </w:r>
      <w:r w:rsidRPr="00556D33">
        <w:rPr>
          <w:color w:val="000000" w:themeColor="text1"/>
        </w:rPr>
        <w:t xml:space="preserve"> </w:t>
      </w:r>
      <w:r w:rsidRPr="00556D33">
        <w:rPr>
          <w:color w:val="000000" w:themeColor="text1"/>
        </w:rPr>
        <w:lastRenderedPageBreak/>
        <w:t>indicated as follows: no NCI across the entire section (-), an average of 0–2 inclusions (+), an average of 3–9 inclusions (++), and an average of ≥ 10 inclusions (+++) per field.</w:t>
      </w:r>
    </w:p>
    <w:p w14:paraId="6D714822" w14:textId="77777777" w:rsidR="00146881" w:rsidRPr="00556D33" w:rsidRDefault="00146881" w:rsidP="00146881">
      <w:pPr>
        <w:spacing w:line="480" w:lineRule="exact"/>
        <w:outlineLvl w:val="0"/>
        <w:rPr>
          <w:color w:val="000000" w:themeColor="text1"/>
        </w:rPr>
        <w:sectPr w:rsidR="00146881" w:rsidRPr="00556D33" w:rsidSect="00146881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E71662A" w14:textId="6B71DF7B" w:rsidR="00146881" w:rsidRPr="00556D33" w:rsidRDefault="00691F97" w:rsidP="00146881">
      <w:pPr>
        <w:spacing w:line="480" w:lineRule="exact"/>
        <w:outlineLvl w:val="0"/>
        <w:rPr>
          <w:b/>
          <w:color w:val="000000" w:themeColor="text1"/>
        </w:rPr>
      </w:pPr>
      <w:r w:rsidRPr="00556D33">
        <w:rPr>
          <w:b/>
          <w:color w:val="000000" w:themeColor="text1"/>
        </w:rPr>
        <w:lastRenderedPageBreak/>
        <w:t>Additional Table 1: Antibody list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74"/>
        <w:gridCol w:w="1981"/>
        <w:gridCol w:w="1144"/>
        <w:gridCol w:w="6345"/>
      </w:tblGrid>
      <w:tr w:rsidR="00685914" w:rsidRPr="00556D33" w14:paraId="335D3D38" w14:textId="77777777" w:rsidTr="00B46501">
        <w:trPr>
          <w:trHeight w:val="320"/>
        </w:trPr>
        <w:tc>
          <w:tcPr>
            <w:tcW w:w="36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395478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Primary antibodies</w:t>
            </w:r>
          </w:p>
        </w:tc>
        <w:tc>
          <w:tcPr>
            <w:tcW w:w="198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6A3FBC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Host</w:t>
            </w:r>
          </w:p>
        </w:tc>
        <w:tc>
          <w:tcPr>
            <w:tcW w:w="114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1BD55B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Dilution</w:t>
            </w:r>
          </w:p>
        </w:tc>
        <w:tc>
          <w:tcPr>
            <w:tcW w:w="634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D4D787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Source</w:t>
            </w:r>
          </w:p>
        </w:tc>
      </w:tr>
      <w:tr w:rsidR="00685914" w:rsidRPr="00556D33" w14:paraId="1E81C6A8" w14:textId="77777777" w:rsidTr="00B46501">
        <w:trPr>
          <w:trHeight w:val="320"/>
        </w:trPr>
        <w:tc>
          <w:tcPr>
            <w:tcW w:w="367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026BC2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p62 (3/P62 LCK LIGAND)</w:t>
            </w:r>
          </w:p>
        </w:tc>
        <w:tc>
          <w:tcPr>
            <w:tcW w:w="198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EC9FDB" w14:textId="27F2BBDA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BD7F1A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1:100</w:t>
            </w:r>
          </w:p>
        </w:tc>
        <w:tc>
          <w:tcPr>
            <w:tcW w:w="634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C213E3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BD Transduction Laboratories, Mountain View, CA, USA</w:t>
            </w:r>
          </w:p>
        </w:tc>
      </w:tr>
      <w:tr w:rsidR="00685914" w:rsidRPr="00556D33" w14:paraId="56E0046C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AED0AD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Ubiquitin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887F27" w14:textId="261D5983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Rabbit, polyclonal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82A9D9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BAC9E4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Dako, Glostrup, Denmark</w:t>
            </w:r>
          </w:p>
        </w:tc>
      </w:tr>
      <w:tr w:rsidR="00685914" w:rsidRPr="00556D33" w14:paraId="71689AC0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167FD8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Phosphorylated TDP-43 (pSer409/410)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336ECA" w14:textId="4EFFBCB9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2E15D3" w14:textId="39179F68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1:10 000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07FC57" w14:textId="25123492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A gift from M. Hasegawa, Japan; now available for purchase from Cosmo Bio, Tokyo, Japan</w:t>
            </w:r>
          </w:p>
        </w:tc>
      </w:tr>
      <w:tr w:rsidR="00685914" w:rsidRPr="00556D33" w14:paraId="3F2F110A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05AF69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Cystatin C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272C21" w14:textId="43F7DFA5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Rabbit, polyclonal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D4D7CA" w14:textId="5A4B243C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1:10 000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672623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Dako, Glostrup, Denmark</w:t>
            </w:r>
          </w:p>
        </w:tc>
      </w:tr>
      <w:tr w:rsidR="00685914" w:rsidRPr="00556D33" w14:paraId="775B8D27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AD7E15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Phosphorylated neurofilament (SMI31)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CAB01E" w14:textId="174BA000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D32320" w14:textId="0FB9E844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1:20 000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F74D41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Sternberger Monoclonals Inc., Baltimore, MA, USA</w:t>
            </w:r>
          </w:p>
        </w:tc>
      </w:tr>
      <w:tr w:rsidR="00685914" w:rsidRPr="00556D33" w14:paraId="531300EB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430982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Phosphorylated tau (AT8)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D068EA" w14:textId="4B45D86C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55A4B0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9BB8F2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Innogenetics, Ghent, Belgium</w:t>
            </w:r>
          </w:p>
        </w:tc>
      </w:tr>
      <w:tr w:rsidR="00685914" w:rsidRPr="00556D33" w14:paraId="601625BD" w14:textId="77777777" w:rsidTr="00B46501">
        <w:trPr>
          <w:trHeight w:val="32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170B85" w14:textId="663164EA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Human amyloid β 11-28 (12B2)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21A01E" w14:textId="518C7875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087E95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1:50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ECF23F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IBL, Gunma, Japan</w:t>
            </w:r>
          </w:p>
        </w:tc>
      </w:tr>
      <w:tr w:rsidR="00685914" w:rsidRPr="00556D33" w14:paraId="212B17EA" w14:textId="77777777" w:rsidTr="00B46501">
        <w:trPr>
          <w:trHeight w:val="340"/>
        </w:trPr>
        <w:tc>
          <w:tcPr>
            <w:tcW w:w="36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B2AF1B" w14:textId="77777777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Phosphorylated α-synuclein (pSyn#64)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F48AC7" w14:textId="14F5F673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Mouse, monoclonal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7CEAAE" w14:textId="6A1043B4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1:10 000</w:t>
            </w:r>
          </w:p>
        </w:tc>
        <w:tc>
          <w:tcPr>
            <w:tcW w:w="63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43EEC0" w14:textId="03986C6B" w:rsidR="00146881" w:rsidRPr="00556D33" w:rsidRDefault="00954F79" w:rsidP="00146881">
            <w:pPr>
              <w:spacing w:line="400" w:lineRule="exact"/>
              <w:jc w:val="center"/>
              <w:outlineLvl w:val="0"/>
            </w:pPr>
            <w:r w:rsidRPr="00556D33">
              <w:t>A gift from T. Iwatsubo, Japan; now available for purchase from FUJIFILM Wako Pure Chemical Corporation, Osaka, Japan</w:t>
            </w:r>
          </w:p>
        </w:tc>
      </w:tr>
    </w:tbl>
    <w:p w14:paraId="46CD3A95" w14:textId="3AFC5A5E" w:rsidR="00BB773E" w:rsidRPr="00556D33" w:rsidRDefault="00BB773E" w:rsidP="005A6341">
      <w:pPr>
        <w:spacing w:line="400" w:lineRule="exact"/>
      </w:pPr>
    </w:p>
    <w:sectPr w:rsidR="00BB773E" w:rsidRPr="00556D33" w:rsidSect="00146881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BA73" w14:textId="77777777" w:rsidR="0007256C" w:rsidRDefault="0007256C">
      <w:r>
        <w:separator/>
      </w:r>
    </w:p>
  </w:endnote>
  <w:endnote w:type="continuationSeparator" w:id="0">
    <w:p w14:paraId="3C1394CE" w14:textId="77777777" w:rsidR="0007256C" w:rsidRDefault="0007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14735401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5FC3ABB3" w14:textId="17BD8CCA" w:rsidR="008611B0" w:rsidRDefault="00954F79" w:rsidP="00F22911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</w:instrText>
        </w:r>
        <w:r w:rsidR="0007256C"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662976E9" w14:textId="77777777" w:rsidR="008611B0" w:rsidRDefault="008611B0" w:rsidP="00B4650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F95A" w14:textId="77777777" w:rsidR="008611B0" w:rsidRDefault="008611B0" w:rsidP="00B4650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08EC" w14:textId="77777777" w:rsidR="0007256C" w:rsidRDefault="0007256C">
      <w:r>
        <w:separator/>
      </w:r>
    </w:p>
  </w:footnote>
  <w:footnote w:type="continuationSeparator" w:id="0">
    <w:p w14:paraId="6660D7BB" w14:textId="77777777" w:rsidR="0007256C" w:rsidRDefault="0007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427799273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2D0920E7" w14:textId="7DBCF796" w:rsidR="008611B0" w:rsidRDefault="00954F79" w:rsidP="00F22911">
        <w:pPr>
          <w:pStyle w:val="af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</w:instrText>
        </w:r>
        <w:r w:rsidR="0007256C"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27BD87A2" w14:textId="77777777" w:rsidR="008611B0" w:rsidRDefault="008611B0" w:rsidP="00B46501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773390205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34B7C157" w14:textId="47C1793F" w:rsidR="008611B0" w:rsidRDefault="00954F79" w:rsidP="00F22911">
        <w:pPr>
          <w:pStyle w:val="af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37C93288" w14:textId="1ACD8047" w:rsidR="008611B0" w:rsidRPr="00B46501" w:rsidRDefault="00954F79" w:rsidP="00B46501">
    <w:pPr>
      <w:pStyle w:val="af"/>
      <w:ind w:right="360"/>
      <w:jc w:val="right"/>
      <w:rPr>
        <w:sz w:val="21"/>
        <w:szCs w:val="21"/>
      </w:rPr>
    </w:pPr>
    <w:r w:rsidRPr="00B46501">
      <w:rPr>
        <w:sz w:val="21"/>
        <w:szCs w:val="21"/>
      </w:rPr>
      <w:t>Spastic paraplegia with an SPG11 mutation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BMC Neuro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5rdvd9lwrspxe2velv92p7wrd09v0s2wfp&quot;&gt;My EndNote Library&lt;record-ids&gt;&lt;item&gt;1260&lt;/item&gt;&lt;item&gt;1268&lt;/item&gt;&lt;item&gt;1275&lt;/item&gt;&lt;/record-ids&gt;&lt;/item&gt;&lt;/Libraries&gt;"/>
    <w:docVar w:name="MachineID" w:val="207|207|197|185|203|197|199|187|197|187|186|197|205|198|197|188|204|"/>
    <w:docVar w:name="Username" w:val="Senior Editor"/>
  </w:docVars>
  <w:rsids>
    <w:rsidRoot w:val="00947701"/>
    <w:rsid w:val="000451C7"/>
    <w:rsid w:val="00050AAA"/>
    <w:rsid w:val="0007256C"/>
    <w:rsid w:val="000757AA"/>
    <w:rsid w:val="00146881"/>
    <w:rsid w:val="001A50AF"/>
    <w:rsid w:val="001C033E"/>
    <w:rsid w:val="002E06E5"/>
    <w:rsid w:val="003B220E"/>
    <w:rsid w:val="00401EC4"/>
    <w:rsid w:val="00422CCD"/>
    <w:rsid w:val="004528E7"/>
    <w:rsid w:val="004E1191"/>
    <w:rsid w:val="00556D33"/>
    <w:rsid w:val="005A6341"/>
    <w:rsid w:val="00633976"/>
    <w:rsid w:val="00637725"/>
    <w:rsid w:val="00637A54"/>
    <w:rsid w:val="00640E6A"/>
    <w:rsid w:val="00677852"/>
    <w:rsid w:val="00684321"/>
    <w:rsid w:val="00685914"/>
    <w:rsid w:val="00691F97"/>
    <w:rsid w:val="006B5387"/>
    <w:rsid w:val="006D2CF0"/>
    <w:rsid w:val="00744A41"/>
    <w:rsid w:val="007A3F6A"/>
    <w:rsid w:val="007C7C93"/>
    <w:rsid w:val="007E048A"/>
    <w:rsid w:val="007F1660"/>
    <w:rsid w:val="0083306C"/>
    <w:rsid w:val="008611B0"/>
    <w:rsid w:val="00863D2F"/>
    <w:rsid w:val="00865CD1"/>
    <w:rsid w:val="008F2663"/>
    <w:rsid w:val="00941B3A"/>
    <w:rsid w:val="00947701"/>
    <w:rsid w:val="00954F79"/>
    <w:rsid w:val="009944D1"/>
    <w:rsid w:val="00995342"/>
    <w:rsid w:val="009D16E1"/>
    <w:rsid w:val="00AB07FE"/>
    <w:rsid w:val="00B46501"/>
    <w:rsid w:val="00B73DF2"/>
    <w:rsid w:val="00B97248"/>
    <w:rsid w:val="00BB773E"/>
    <w:rsid w:val="00C30E9A"/>
    <w:rsid w:val="00C921F5"/>
    <w:rsid w:val="00CB378F"/>
    <w:rsid w:val="00D17BCB"/>
    <w:rsid w:val="00D91AE4"/>
    <w:rsid w:val="00E471B5"/>
    <w:rsid w:val="00E90645"/>
    <w:rsid w:val="00EC5176"/>
    <w:rsid w:val="00F22911"/>
    <w:rsid w:val="00F30355"/>
    <w:rsid w:val="00FA321C"/>
    <w:rsid w:val="00FA62C7"/>
    <w:rsid w:val="00FA67F2"/>
    <w:rsid w:val="00FB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5EAA3"/>
  <w15:chartTrackingRefBased/>
  <w15:docId w15:val="{B3E478E8-BEDD-CB4D-9B7D-BA0B0B7E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701"/>
    <w:rPr>
      <w:rFonts w:ascii="Times New Roman" w:eastAsia="ＭＳ 明朝" w:hAnsi="Times New Roman" w:cs="Times New Roman"/>
      <w:kern w:val="0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rsid w:val="00D17BCB"/>
    <w:pPr>
      <w:jc w:val="center"/>
    </w:pPr>
  </w:style>
  <w:style w:type="paragraph" w:customStyle="1" w:styleId="EndNoteBibliography">
    <w:name w:val="EndNote Bibliography"/>
    <w:basedOn w:val="a"/>
    <w:rsid w:val="00D17BCB"/>
  </w:style>
  <w:style w:type="paragraph" w:styleId="a3">
    <w:name w:val="annotation text"/>
    <w:basedOn w:val="a"/>
    <w:link w:val="a4"/>
    <w:uiPriority w:val="99"/>
    <w:semiHidden/>
    <w:unhideWhenUsed/>
    <w:rsid w:val="00D91AE4"/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semiHidden/>
    <w:rsid w:val="00D91AE4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91AE4"/>
    <w:rPr>
      <w:b/>
      <w:bCs/>
    </w:rPr>
  </w:style>
  <w:style w:type="character" w:customStyle="1" w:styleId="a6">
    <w:name w:val="コメント内容 (文字)"/>
    <w:basedOn w:val="a4"/>
    <w:link w:val="a5"/>
    <w:uiPriority w:val="99"/>
    <w:semiHidden/>
    <w:rsid w:val="00D91AE4"/>
    <w:rPr>
      <w:rFonts w:ascii="Times New Roman" w:eastAsia="ＭＳ 明朝" w:hAnsi="Times New Roman" w:cs="Times New Roman"/>
      <w:b/>
      <w:bCs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1AE4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1AE4"/>
    <w:rPr>
      <w:rFonts w:ascii="Segoe UI" w:eastAsia="ＭＳ 明朝" w:hAnsi="Segoe UI" w:cs="Segoe UI"/>
      <w:kern w:val="0"/>
      <w:sz w:val="18"/>
      <w:szCs w:val="18"/>
    </w:rPr>
  </w:style>
  <w:style w:type="table" w:styleId="a9">
    <w:name w:val="Table Grid"/>
    <w:basedOn w:val="a1"/>
    <w:uiPriority w:val="39"/>
    <w:rsid w:val="0014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Theme"/>
    <w:basedOn w:val="a1"/>
    <w:uiPriority w:val="99"/>
    <w:rsid w:val="0014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40E6A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8611B0"/>
    <w:pPr>
      <w:tabs>
        <w:tab w:val="center" w:pos="4680"/>
        <w:tab w:val="right" w:pos="9360"/>
      </w:tabs>
    </w:pPr>
  </w:style>
  <w:style w:type="character" w:customStyle="1" w:styleId="ad">
    <w:name w:val="フッター (文字)"/>
    <w:basedOn w:val="a0"/>
    <w:link w:val="ac"/>
    <w:uiPriority w:val="99"/>
    <w:rsid w:val="008611B0"/>
    <w:rPr>
      <w:rFonts w:ascii="Times New Roman" w:eastAsia="ＭＳ 明朝" w:hAnsi="Times New Roman" w:cs="Times New Roman"/>
      <w:kern w:val="0"/>
      <w:sz w:val="24"/>
    </w:rPr>
  </w:style>
  <w:style w:type="character" w:styleId="ae">
    <w:name w:val="page number"/>
    <w:basedOn w:val="a0"/>
    <w:uiPriority w:val="99"/>
    <w:semiHidden/>
    <w:unhideWhenUsed/>
    <w:rsid w:val="008611B0"/>
  </w:style>
  <w:style w:type="paragraph" w:styleId="af">
    <w:name w:val="header"/>
    <w:basedOn w:val="a"/>
    <w:link w:val="af0"/>
    <w:uiPriority w:val="99"/>
    <w:unhideWhenUsed/>
    <w:rsid w:val="008611B0"/>
    <w:pPr>
      <w:tabs>
        <w:tab w:val="center" w:pos="4680"/>
        <w:tab w:val="right" w:pos="9360"/>
      </w:tabs>
    </w:pPr>
  </w:style>
  <w:style w:type="character" w:customStyle="1" w:styleId="af0">
    <w:name w:val="ヘッダー (文字)"/>
    <w:basedOn w:val="a0"/>
    <w:link w:val="af"/>
    <w:uiPriority w:val="99"/>
    <w:rsid w:val="008611B0"/>
    <w:rPr>
      <w:rFonts w:ascii="Times New Roman" w:eastAsia="ＭＳ 明朝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F6B619-4474-8342-9CCC-6C5348EB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ユーザー</dc:creator>
  <cp:lastModifiedBy>松原　知康</cp:lastModifiedBy>
  <cp:revision>2</cp:revision>
  <dcterms:created xsi:type="dcterms:W3CDTF">2021-11-14T14:38:00Z</dcterms:created>
  <dcterms:modified xsi:type="dcterms:W3CDTF">2021-11-14T14:38:00Z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190</vt:i4>
  </property>
  <property fmtid="{D5CDD505-2E9C-101B-9397-08002B2CF9AE}" pid="3" name="LastTick">
    <vt:r8>43564.6306944444</vt:r8>
  </property>
  <property fmtid="{D5CDD505-2E9C-101B-9397-08002B2CF9AE}" pid="4" name="LE1">
    <vt:filetime>2021-09-12T09:38:07Z</vt:filetime>
  </property>
  <property fmtid="{D5CDD505-2E9C-101B-9397-08002B2CF9AE}" pid="5" name="UseTimer">
    <vt:bool>true</vt:bool>
  </property>
</Properties>
</file>