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9BB2F" w14:textId="77777777" w:rsidR="00C62D50" w:rsidRDefault="00C62D50" w:rsidP="00175DF4">
      <w:pPr>
        <w:pStyle w:val="Date"/>
      </w:pPr>
    </w:p>
    <w:p w14:paraId="6563D967" w14:textId="447CC18A" w:rsidR="002D1E92" w:rsidRPr="00ED7E76" w:rsidRDefault="00536731" w:rsidP="00CC7B4D">
      <w:pPr>
        <w:pStyle w:val="Heading1"/>
        <w:spacing w:line="276" w:lineRule="auto"/>
        <w:jc w:val="both"/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</w:pPr>
      <w:r w:rsidRPr="006A49DC">
        <w:rPr>
          <w:rFonts w:asciiTheme="minorHAnsi" w:hAnsiTheme="minorHAnsi"/>
          <w:color w:val="000000" w:themeColor="text1"/>
        </w:rPr>
        <w:t>Background</w:t>
      </w:r>
      <w:r w:rsidR="002D1E92">
        <w:rPr>
          <w:rFonts w:asciiTheme="minorHAnsi" w:hAnsiTheme="minorHAnsi"/>
          <w:color w:val="000000" w:themeColor="text1"/>
        </w:rPr>
        <w:t xml:space="preserve">                                                                                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Cerebral palsy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(CP) 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is 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consisted of a g</w:t>
      </w:r>
      <w:r w:rsid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roup of developmental disabilities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in the field of motor function and is one of the major 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problems of pediatric neurology. Currently, 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there 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are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no standard curative medical or surgical treatment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s for CP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. Stem cell therapy is one of a new and hopeful therap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eutic methods of therapy for different neurological conditions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.</w:t>
      </w:r>
      <w:r w:rsid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</w:t>
      </w:r>
      <w:r w:rsidR="002D1E92" w:rsidRPr="002D1E92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Stem cells are defined as pluripotent cells with the ability of self-renewal and the capacity of differentiation into the other cell types.</w:t>
      </w:r>
      <w:r w:rsid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The release of </w:t>
      </w:r>
      <w:r w:rsidR="00ED7E76" w:rsidRP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neurotrophic factors, anti-oxidant molecules, angiogenic, anti-inflammatory, anti-fibrotic, and anti-apoptotic agents</w:t>
      </w:r>
      <w:r w:rsid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after stem cell transplantation can improve the tissue injury. Furthermore, the </w:t>
      </w:r>
      <w:r w:rsidR="00ED7E76" w:rsidRP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capacity of </w:t>
      </w:r>
      <w:r w:rsid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>these cells</w:t>
      </w:r>
      <w:r w:rsidR="00ED7E76" w:rsidRP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to regenerate and differentiate to new cells</w:t>
      </w:r>
      <w:r w:rsidR="00ED7E76">
        <w:rPr>
          <w:rFonts w:asciiTheme="minorHAnsi" w:hAnsiTheme="minorHAnsi"/>
          <w:caps w:val="0"/>
          <w:color w:val="000000" w:themeColor="text1"/>
          <w:spacing w:val="0"/>
          <w:sz w:val="22"/>
          <w:szCs w:val="22"/>
          <w:lang w:bidi="fa-IR"/>
        </w:rPr>
        <w:t xml:space="preserve"> is another proposed mechanism of action to repair damaged neurons.</w:t>
      </w:r>
    </w:p>
    <w:p w14:paraId="5826904F" w14:textId="374B78BE" w:rsidR="00C62D50" w:rsidRPr="002D1E92" w:rsidRDefault="00D81900" w:rsidP="002D1E92">
      <w:pPr>
        <w:pStyle w:val="Heading1"/>
        <w:rPr>
          <w:rFonts w:asciiTheme="minorHAnsi" w:hAnsiTheme="minorHAnsi"/>
          <w:color w:val="000000" w:themeColor="text1"/>
        </w:rPr>
      </w:pPr>
      <w:r w:rsidRPr="002D1E92">
        <w:rPr>
          <w:rFonts w:asciiTheme="minorHAnsi" w:hAnsiTheme="minorHAnsi"/>
          <w:color w:val="000000" w:themeColor="text1"/>
        </w:rPr>
        <w:t>Aim</w:t>
      </w:r>
    </w:p>
    <w:p w14:paraId="08391CAA" w14:textId="37E704F9" w:rsidR="00611EE6" w:rsidRPr="006A49DC" w:rsidRDefault="00E35245" w:rsidP="00CC7B4D">
      <w:pPr>
        <w:spacing w:line="276" w:lineRule="auto"/>
        <w:jc w:val="both"/>
        <w:rPr>
          <w:color w:val="000000" w:themeColor="text1"/>
        </w:rPr>
      </w:pPr>
      <w:r w:rsidRPr="006A49DC">
        <w:rPr>
          <w:color w:val="000000" w:themeColor="text1"/>
        </w:rPr>
        <w:t xml:space="preserve">This </w:t>
      </w:r>
      <w:r w:rsidR="006C3298">
        <w:rPr>
          <w:color w:val="000000" w:themeColor="text1"/>
        </w:rPr>
        <w:t xml:space="preserve">multi-center population-based </w:t>
      </w:r>
      <w:r w:rsidR="005760C4" w:rsidRPr="006A49DC">
        <w:rPr>
          <w:color w:val="000000" w:themeColor="text1"/>
        </w:rPr>
        <w:t xml:space="preserve">randomized double-blind </w:t>
      </w:r>
      <w:r w:rsidR="00DF5BD8" w:rsidRPr="006A49DC">
        <w:rPr>
          <w:color w:val="000000" w:themeColor="text1"/>
        </w:rPr>
        <w:t xml:space="preserve">trial </w:t>
      </w:r>
      <w:r w:rsidR="00872AA8" w:rsidRPr="006A49DC">
        <w:rPr>
          <w:color w:val="000000" w:themeColor="text1"/>
        </w:rPr>
        <w:t xml:space="preserve">will </w:t>
      </w:r>
      <w:r w:rsidR="00DF5BD8" w:rsidRPr="006A49DC">
        <w:rPr>
          <w:color w:val="000000" w:themeColor="text1"/>
        </w:rPr>
        <w:t xml:space="preserve">assess </w:t>
      </w:r>
      <w:r w:rsidRPr="006A49DC">
        <w:rPr>
          <w:color w:val="000000" w:themeColor="text1"/>
        </w:rPr>
        <w:t xml:space="preserve">the efficacy and safety of </w:t>
      </w:r>
      <w:r w:rsidR="006C3298">
        <w:rPr>
          <w:color w:val="000000" w:themeColor="text1"/>
        </w:rPr>
        <w:t>umbilical cord blood mononuclear cells (UCB-MNCs)</w:t>
      </w:r>
      <w:r w:rsidRPr="006A49DC">
        <w:rPr>
          <w:color w:val="000000" w:themeColor="text1"/>
        </w:rPr>
        <w:t xml:space="preserve"> in </w:t>
      </w:r>
      <w:r w:rsidR="006C3298">
        <w:rPr>
          <w:color w:val="000000" w:themeColor="text1"/>
        </w:rPr>
        <w:t>the treatment</w:t>
      </w:r>
      <w:r w:rsidRPr="006A49DC">
        <w:rPr>
          <w:color w:val="000000" w:themeColor="text1"/>
        </w:rPr>
        <w:t xml:space="preserve"> of </w:t>
      </w:r>
      <w:r w:rsidR="006C3298">
        <w:rPr>
          <w:color w:val="000000" w:themeColor="text1"/>
        </w:rPr>
        <w:t>CP</w:t>
      </w:r>
      <w:r w:rsidR="00D101D5" w:rsidRPr="006A49DC">
        <w:rPr>
          <w:color w:val="000000" w:themeColor="text1"/>
        </w:rPr>
        <w:t xml:space="preserve">, compared to </w:t>
      </w:r>
      <w:r w:rsidR="00D0145A" w:rsidRPr="006A49DC">
        <w:rPr>
          <w:color w:val="000000" w:themeColor="text1"/>
        </w:rPr>
        <w:t xml:space="preserve">the </w:t>
      </w:r>
      <w:r w:rsidR="006C3298">
        <w:rPr>
          <w:color w:val="000000" w:themeColor="text1"/>
        </w:rPr>
        <w:t>sham-procedure</w:t>
      </w:r>
      <w:r w:rsidR="00D0145A" w:rsidRPr="006A49DC">
        <w:rPr>
          <w:color w:val="000000" w:themeColor="text1"/>
        </w:rPr>
        <w:t>.</w:t>
      </w:r>
    </w:p>
    <w:p w14:paraId="23F94D61" w14:textId="506D7A8D" w:rsidR="00E77D33" w:rsidRPr="006A49DC" w:rsidRDefault="00611EE6" w:rsidP="00872AA8">
      <w:pPr>
        <w:pStyle w:val="Heading1"/>
        <w:rPr>
          <w:rFonts w:asciiTheme="minorHAnsi" w:hAnsiTheme="minorHAnsi"/>
          <w:color w:val="000000" w:themeColor="text1"/>
        </w:rPr>
      </w:pPr>
      <w:r w:rsidRPr="006A49DC">
        <w:rPr>
          <w:rFonts w:asciiTheme="minorHAnsi" w:hAnsiTheme="minorHAnsi"/>
          <w:color w:val="000000" w:themeColor="text1"/>
        </w:rPr>
        <w:t>Design</w:t>
      </w:r>
    </w:p>
    <w:p w14:paraId="13034892" w14:textId="4066F6FB" w:rsidR="00872AA8" w:rsidRPr="006A49DC" w:rsidRDefault="00E77D33" w:rsidP="00CC7B4D">
      <w:pPr>
        <w:spacing w:line="276" w:lineRule="auto"/>
        <w:jc w:val="both"/>
        <w:rPr>
          <w:color w:val="000000" w:themeColor="text1"/>
        </w:rPr>
      </w:pPr>
      <w:r w:rsidRPr="006A49DC">
        <w:rPr>
          <w:color w:val="000000" w:themeColor="text1"/>
        </w:rPr>
        <w:t xml:space="preserve">A randomized double-blind </w:t>
      </w:r>
      <w:r w:rsidR="00875BAA">
        <w:rPr>
          <w:color w:val="000000" w:themeColor="text1"/>
        </w:rPr>
        <w:t>sham</w:t>
      </w:r>
      <w:r w:rsidR="00816589" w:rsidRPr="006A49DC">
        <w:rPr>
          <w:color w:val="000000" w:themeColor="text1"/>
        </w:rPr>
        <w:t>-controlled trial will be conducted.</w:t>
      </w:r>
      <w:r w:rsidR="008246A7" w:rsidRPr="006A49DC">
        <w:rPr>
          <w:color w:val="000000" w:themeColor="text1"/>
        </w:rPr>
        <w:t xml:space="preserve"> </w:t>
      </w:r>
      <w:r w:rsidR="00875BAA">
        <w:rPr>
          <w:color w:val="000000" w:themeColor="text1"/>
        </w:rPr>
        <w:t>Children aged 4-14</w:t>
      </w:r>
      <w:r w:rsidR="000C14C7" w:rsidRPr="006A49DC">
        <w:rPr>
          <w:color w:val="000000" w:themeColor="text1"/>
        </w:rPr>
        <w:t xml:space="preserve"> years who meet the diagnostic criteria for</w:t>
      </w:r>
      <w:r w:rsidR="00875BAA">
        <w:rPr>
          <w:color w:val="000000" w:themeColor="text1"/>
        </w:rPr>
        <w:t xml:space="preserve"> spastic</w:t>
      </w:r>
      <w:r w:rsidR="000C14C7" w:rsidRPr="006A49DC">
        <w:rPr>
          <w:color w:val="000000" w:themeColor="text1"/>
        </w:rPr>
        <w:t xml:space="preserve"> </w:t>
      </w:r>
      <w:r w:rsidR="00875BAA">
        <w:rPr>
          <w:color w:val="000000" w:themeColor="text1"/>
        </w:rPr>
        <w:t>CP</w:t>
      </w:r>
      <w:r w:rsidR="000C14C7" w:rsidRPr="006A49DC">
        <w:rPr>
          <w:color w:val="000000" w:themeColor="text1"/>
        </w:rPr>
        <w:t xml:space="preserve"> will be enrolled. They </w:t>
      </w:r>
      <w:r w:rsidR="00044901" w:rsidRPr="006A49DC">
        <w:rPr>
          <w:color w:val="000000" w:themeColor="text1"/>
        </w:rPr>
        <w:t xml:space="preserve">have to have </w:t>
      </w:r>
      <w:r w:rsidR="00875BAA" w:rsidRPr="00875BAA">
        <w:rPr>
          <w:color w:val="000000" w:themeColor="text1"/>
        </w:rPr>
        <w:t>gross motor function classification system (GMFCS)</w:t>
      </w:r>
      <w:r w:rsidR="00875BAA">
        <w:rPr>
          <w:color w:val="000000" w:themeColor="text1"/>
        </w:rPr>
        <w:t xml:space="preserve"> of</w:t>
      </w:r>
      <w:r w:rsidR="00875BAA" w:rsidRPr="00875BAA">
        <w:rPr>
          <w:color w:val="000000" w:themeColor="text1"/>
        </w:rPr>
        <w:t xml:space="preserve"> level 2 to 5, and white matter lesions in the brain imaging.</w:t>
      </w:r>
      <w:r w:rsidR="00875BAA">
        <w:rPr>
          <w:color w:val="000000" w:themeColor="text1"/>
        </w:rPr>
        <w:t xml:space="preserve"> </w:t>
      </w:r>
      <w:r w:rsidR="00B15F1D" w:rsidRPr="006A49DC">
        <w:rPr>
          <w:color w:val="000000" w:themeColor="text1"/>
        </w:rPr>
        <w:t xml:space="preserve">Patients will </w:t>
      </w:r>
      <w:r w:rsidR="00875BAA">
        <w:rPr>
          <w:color w:val="000000" w:themeColor="text1"/>
        </w:rPr>
        <w:t xml:space="preserve">be </w:t>
      </w:r>
      <w:r w:rsidR="00B15F1D" w:rsidRPr="006A49DC">
        <w:rPr>
          <w:color w:val="000000" w:themeColor="text1"/>
        </w:rPr>
        <w:t>exclude</w:t>
      </w:r>
      <w:r w:rsidR="00875BAA">
        <w:rPr>
          <w:color w:val="000000" w:themeColor="text1"/>
        </w:rPr>
        <w:t>d</w:t>
      </w:r>
      <w:r w:rsidR="00B15F1D" w:rsidRPr="006A49DC">
        <w:rPr>
          <w:color w:val="000000" w:themeColor="text1"/>
        </w:rPr>
        <w:t xml:space="preserve"> if </w:t>
      </w:r>
      <w:r w:rsidR="00875BAA">
        <w:rPr>
          <w:color w:val="000000" w:themeColor="text1"/>
        </w:rPr>
        <w:t xml:space="preserve">they have other types of CP </w:t>
      </w:r>
      <w:r w:rsidR="00875BAA" w:rsidRPr="00875BAA">
        <w:rPr>
          <w:color w:val="000000" w:themeColor="text1"/>
        </w:rPr>
        <w:t>(e.g. athetoid, ataxic, or mixed CP)</w:t>
      </w:r>
      <w:r w:rsidR="00875BAA">
        <w:rPr>
          <w:color w:val="000000" w:themeColor="text1"/>
        </w:rPr>
        <w:t xml:space="preserve"> or history of co-morbid neurological conditions (e.g. epilepsy), malignancy, or renal failure. Congenital infections (e.g. TORCH), severe anemia, coagulation disorders, and prior cell infusion are other exclusion criteria.</w:t>
      </w:r>
    </w:p>
    <w:p w14:paraId="2CA9CD96" w14:textId="378ADBA8" w:rsidR="007E4794" w:rsidRPr="006A49DC" w:rsidRDefault="003654B2" w:rsidP="009B6ABB">
      <w:pPr>
        <w:pStyle w:val="Heading1"/>
        <w:rPr>
          <w:rFonts w:asciiTheme="minorHAnsi" w:hAnsiTheme="minorHAnsi"/>
          <w:color w:val="000000" w:themeColor="text1"/>
        </w:rPr>
      </w:pPr>
      <w:r w:rsidRPr="006A49DC">
        <w:rPr>
          <w:rFonts w:asciiTheme="minorHAnsi" w:hAnsiTheme="minorHAnsi"/>
          <w:color w:val="000000" w:themeColor="text1"/>
        </w:rPr>
        <w:t>Ra</w:t>
      </w:r>
      <w:r w:rsidR="009B6ABB" w:rsidRPr="006A49DC">
        <w:rPr>
          <w:rFonts w:asciiTheme="minorHAnsi" w:hAnsiTheme="minorHAnsi"/>
          <w:color w:val="000000" w:themeColor="text1"/>
        </w:rPr>
        <w:t>ndomization</w:t>
      </w:r>
    </w:p>
    <w:p w14:paraId="496E88C9" w14:textId="2A25C0AD" w:rsidR="00304264" w:rsidRPr="006A49DC" w:rsidRDefault="00D85C89" w:rsidP="00CC7B4D">
      <w:pPr>
        <w:spacing w:line="276" w:lineRule="auto"/>
        <w:jc w:val="both"/>
        <w:rPr>
          <w:rFonts w:eastAsia="Times New Roman"/>
          <w:color w:val="000000" w:themeColor="text1"/>
        </w:rPr>
      </w:pPr>
      <w:r w:rsidRPr="006A49DC">
        <w:rPr>
          <w:color w:val="000000" w:themeColor="text1"/>
          <w:lang w:bidi="fa-IR"/>
        </w:rPr>
        <w:t xml:space="preserve">Eligible participants will be randomly assigned </w:t>
      </w:r>
      <w:r w:rsidR="00875BAA">
        <w:rPr>
          <w:color w:val="000000" w:themeColor="text1"/>
          <w:lang w:bidi="fa-IR"/>
        </w:rPr>
        <w:t>in a 4</w:t>
      </w:r>
      <w:r w:rsidRPr="006A49DC">
        <w:rPr>
          <w:color w:val="000000" w:themeColor="text1"/>
          <w:lang w:bidi="fa-IR"/>
        </w:rPr>
        <w:t>:1 ratio by permuted block ran</w:t>
      </w:r>
      <w:r w:rsidR="00144F8A">
        <w:rPr>
          <w:color w:val="000000" w:themeColor="text1"/>
          <w:lang w:bidi="fa-IR"/>
        </w:rPr>
        <w:t>domization</w:t>
      </w:r>
      <w:r w:rsidRPr="006A49DC">
        <w:rPr>
          <w:color w:val="000000" w:themeColor="text1"/>
          <w:lang w:bidi="fa-IR"/>
        </w:rPr>
        <w:t xml:space="preserve"> via an interactive web response system.</w:t>
      </w:r>
      <w:r w:rsidRPr="006A49DC">
        <w:rPr>
          <w:rFonts w:eastAsia="Times New Roman"/>
          <w:color w:val="000000" w:themeColor="text1"/>
        </w:rPr>
        <w:t xml:space="preserve"> </w:t>
      </w:r>
      <w:r w:rsidR="00144F8A" w:rsidRPr="006A49DC">
        <w:rPr>
          <w:rFonts w:eastAsia="Times New Roman"/>
          <w:color w:val="000000" w:themeColor="text1"/>
        </w:rPr>
        <w:t>The responsible statistician will not be involved in study conduct or monitoring.</w:t>
      </w:r>
      <w:r w:rsidR="00144F8A">
        <w:rPr>
          <w:rFonts w:eastAsia="Times New Roman"/>
          <w:color w:val="000000" w:themeColor="text1"/>
        </w:rPr>
        <w:t xml:space="preserve"> </w:t>
      </w:r>
      <w:r w:rsidR="00144F8A" w:rsidRPr="00144F8A">
        <w:rPr>
          <w:rFonts w:eastAsia="Times New Roman"/>
          <w:color w:val="000000" w:themeColor="text1"/>
        </w:rPr>
        <w:t xml:space="preserve">The blood of individuals </w:t>
      </w:r>
      <w:r w:rsidR="00144F8A">
        <w:rPr>
          <w:rFonts w:eastAsia="Times New Roman"/>
          <w:color w:val="000000" w:themeColor="text1"/>
        </w:rPr>
        <w:t xml:space="preserve">who will be </w:t>
      </w:r>
      <w:r w:rsidR="00144F8A" w:rsidRPr="00144F8A">
        <w:rPr>
          <w:rFonts w:eastAsia="Times New Roman"/>
          <w:color w:val="000000" w:themeColor="text1"/>
        </w:rPr>
        <w:t xml:space="preserve">assigned in UCB-MNC group </w:t>
      </w:r>
      <w:r w:rsidR="00144F8A">
        <w:rPr>
          <w:rFonts w:eastAsia="Times New Roman"/>
          <w:color w:val="000000" w:themeColor="text1"/>
        </w:rPr>
        <w:t>will be</w:t>
      </w:r>
      <w:r w:rsidR="00144F8A" w:rsidRPr="00144F8A">
        <w:rPr>
          <w:rFonts w:eastAsia="Times New Roman"/>
          <w:color w:val="000000" w:themeColor="text1"/>
        </w:rPr>
        <w:t xml:space="preserve"> drawn and tested to figure out their human leukocyte antigen (HLA) type. The results </w:t>
      </w:r>
      <w:r w:rsidR="00144F8A">
        <w:rPr>
          <w:rFonts w:eastAsia="Times New Roman"/>
          <w:color w:val="000000" w:themeColor="text1"/>
        </w:rPr>
        <w:t>will be</w:t>
      </w:r>
      <w:r w:rsidR="00144F8A" w:rsidRPr="00144F8A">
        <w:rPr>
          <w:rFonts w:eastAsia="Times New Roman"/>
          <w:color w:val="000000" w:themeColor="text1"/>
        </w:rPr>
        <w:t xml:space="preserve"> compared to HLA types of umbilical cord blood cells. Subjects with 6/6 match at HLA-A, HLA-B, and HLA-DRB1 </w:t>
      </w:r>
      <w:r w:rsidR="00144F8A">
        <w:rPr>
          <w:rFonts w:eastAsia="Times New Roman"/>
          <w:color w:val="000000" w:themeColor="text1"/>
        </w:rPr>
        <w:t>will be</w:t>
      </w:r>
      <w:r w:rsidR="00144F8A" w:rsidRPr="00144F8A">
        <w:rPr>
          <w:rFonts w:eastAsia="Times New Roman"/>
          <w:color w:val="000000" w:themeColor="text1"/>
        </w:rPr>
        <w:t xml:space="preserve"> treated with UCB-MNCs.</w:t>
      </w:r>
      <w:r w:rsidR="00144F8A">
        <w:rPr>
          <w:rFonts w:eastAsia="Times New Roman"/>
          <w:color w:val="000000" w:themeColor="text1"/>
        </w:rPr>
        <w:t xml:space="preserve"> </w:t>
      </w:r>
    </w:p>
    <w:p w14:paraId="62C39405" w14:textId="301EA787" w:rsidR="007B5BC2" w:rsidRPr="006A49DC" w:rsidRDefault="007B5BC2" w:rsidP="007B5BC2">
      <w:pPr>
        <w:pStyle w:val="Heading1"/>
        <w:rPr>
          <w:rFonts w:asciiTheme="minorHAnsi" w:hAnsiTheme="minorHAnsi"/>
          <w:color w:val="000000" w:themeColor="text1"/>
        </w:rPr>
      </w:pPr>
      <w:r w:rsidRPr="006A49DC">
        <w:rPr>
          <w:rFonts w:asciiTheme="minorHAnsi" w:hAnsiTheme="minorHAnsi"/>
          <w:color w:val="000000" w:themeColor="text1"/>
        </w:rPr>
        <w:lastRenderedPageBreak/>
        <w:t>Blinding</w:t>
      </w:r>
    </w:p>
    <w:p w14:paraId="6F2BE51C" w14:textId="1703079F" w:rsidR="008568B3" w:rsidRDefault="00144F8A" w:rsidP="00CC7B4D">
      <w:pPr>
        <w:spacing w:line="276" w:lineRule="auto"/>
        <w:jc w:val="both"/>
        <w:rPr>
          <w:color w:val="000000" w:themeColor="text1"/>
          <w:lang w:bidi="fa-IR"/>
        </w:rPr>
      </w:pPr>
      <w:r w:rsidRPr="00144F8A">
        <w:rPr>
          <w:color w:val="000000" w:themeColor="text1"/>
          <w:lang w:bidi="fa-IR"/>
        </w:rPr>
        <w:t xml:space="preserve">Personnel staff responsible of cell preparations and HLA matching process </w:t>
      </w:r>
      <w:r>
        <w:rPr>
          <w:color w:val="000000" w:themeColor="text1"/>
          <w:lang w:bidi="fa-IR"/>
        </w:rPr>
        <w:t>will</w:t>
      </w:r>
      <w:r w:rsidRPr="00144F8A">
        <w:rPr>
          <w:color w:val="000000" w:themeColor="text1"/>
          <w:lang w:bidi="fa-IR"/>
        </w:rPr>
        <w:t xml:space="preserve"> not </w:t>
      </w:r>
      <w:r>
        <w:rPr>
          <w:color w:val="000000" w:themeColor="text1"/>
          <w:lang w:bidi="fa-IR"/>
        </w:rPr>
        <w:t xml:space="preserve">be </w:t>
      </w:r>
      <w:r w:rsidRPr="00144F8A">
        <w:rPr>
          <w:color w:val="000000" w:themeColor="text1"/>
          <w:lang w:bidi="fa-IR"/>
        </w:rPr>
        <w:t xml:space="preserve">blinded but they </w:t>
      </w:r>
      <w:r>
        <w:rPr>
          <w:color w:val="000000" w:themeColor="text1"/>
          <w:lang w:bidi="fa-IR"/>
        </w:rPr>
        <w:t>won’t have</w:t>
      </w:r>
      <w:r w:rsidRPr="00144F8A">
        <w:rPr>
          <w:color w:val="000000" w:themeColor="text1"/>
          <w:lang w:bidi="fa-IR"/>
        </w:rPr>
        <w:t xml:space="preserve"> contacts with patients, parents, or investigators and no information about the clinical and imaging characteristics of participants </w:t>
      </w:r>
      <w:r>
        <w:rPr>
          <w:color w:val="000000" w:themeColor="text1"/>
          <w:lang w:bidi="fa-IR"/>
        </w:rPr>
        <w:t xml:space="preserve">will be </w:t>
      </w:r>
      <w:r w:rsidRPr="00144F8A">
        <w:rPr>
          <w:color w:val="000000" w:themeColor="text1"/>
          <w:lang w:bidi="fa-IR"/>
        </w:rPr>
        <w:t>given to the unmasked staff.</w:t>
      </w:r>
      <w:r>
        <w:rPr>
          <w:color w:val="000000" w:themeColor="text1"/>
          <w:lang w:bidi="fa-IR"/>
        </w:rPr>
        <w:t xml:space="preserve"> </w:t>
      </w:r>
      <w:r w:rsidRPr="00144F8A">
        <w:rPr>
          <w:color w:val="000000" w:themeColor="text1"/>
          <w:lang w:bidi="fa-IR"/>
        </w:rPr>
        <w:t>All participants, their parents, investigators, and the responsible statistician were masked during the study.</w:t>
      </w:r>
      <w:r w:rsidR="00907355">
        <w:rPr>
          <w:color w:val="000000" w:themeColor="text1"/>
          <w:lang w:bidi="fa-IR"/>
        </w:rPr>
        <w:t xml:space="preserve"> </w:t>
      </w:r>
      <w:r w:rsidR="00907355" w:rsidRPr="00907355">
        <w:rPr>
          <w:color w:val="000000" w:themeColor="text1"/>
          <w:lang w:bidi="fa-IR"/>
        </w:rPr>
        <w:t xml:space="preserve">All participants </w:t>
      </w:r>
      <w:r w:rsidR="00907355">
        <w:rPr>
          <w:color w:val="000000" w:themeColor="text1"/>
          <w:lang w:bidi="fa-IR"/>
        </w:rPr>
        <w:t>will be</w:t>
      </w:r>
      <w:r w:rsidR="00907355" w:rsidRPr="00907355">
        <w:rPr>
          <w:color w:val="000000" w:themeColor="text1"/>
          <w:lang w:bidi="fa-IR"/>
        </w:rPr>
        <w:t xml:space="preserve"> sedate</w:t>
      </w:r>
      <w:r w:rsidR="00907355">
        <w:rPr>
          <w:color w:val="000000" w:themeColor="text1"/>
          <w:lang w:bidi="fa-IR"/>
        </w:rPr>
        <w:t>d to prevent awareness.</w:t>
      </w:r>
    </w:p>
    <w:p w14:paraId="4A24FD97" w14:textId="28C6CC22" w:rsidR="00907355" w:rsidRPr="00907355" w:rsidRDefault="00907355" w:rsidP="00907355">
      <w:pPr>
        <w:pStyle w:val="Heading1"/>
        <w:rPr>
          <w:lang w:bidi="fa-IR"/>
        </w:rPr>
      </w:pPr>
      <w:r>
        <w:rPr>
          <w:lang w:bidi="fa-IR"/>
        </w:rPr>
        <w:t>cell preparation and injection</w:t>
      </w:r>
    </w:p>
    <w:p w14:paraId="13F7E3C4" w14:textId="77777777" w:rsidR="009D0467" w:rsidRPr="00CC7B4D" w:rsidRDefault="00907355" w:rsidP="007F6BAD">
      <w:pPr>
        <w:pStyle w:val="Heading2"/>
        <w:numPr>
          <w:ilvl w:val="0"/>
          <w:numId w:val="0"/>
        </w:numPr>
        <w:spacing w:line="276" w:lineRule="auto"/>
        <w:ind w:left="360"/>
        <w:jc w:val="both"/>
        <w:rPr>
          <w:color w:val="auto"/>
        </w:rPr>
      </w:pPr>
      <w:r w:rsidRPr="00CC7B4D">
        <w:rPr>
          <w:color w:val="auto"/>
        </w:rPr>
        <w:t xml:space="preserve">The allogenic UCB-MNCs </w:t>
      </w:r>
      <w:r w:rsidR="009D0467" w:rsidRPr="00CC7B4D">
        <w:rPr>
          <w:color w:val="auto"/>
        </w:rPr>
        <w:t>are</w:t>
      </w:r>
      <w:r w:rsidRPr="00CC7B4D">
        <w:rPr>
          <w:color w:val="auto"/>
        </w:rPr>
        <w:t xml:space="preserve"> obtained from umbilical cord blood units collected in Royan Cord Blood Bank. </w:t>
      </w:r>
      <w:r w:rsidR="009D0467" w:rsidRPr="00CC7B4D">
        <w:rPr>
          <w:color w:val="auto"/>
        </w:rPr>
        <w:t xml:space="preserve">The donors are selected from full-term healthy mothers who had normal vaginal delivery without complication. The blood samples of donors will be collected and tested for reactive transmissible infectious agents including human immunodeficiency virus, hepatitis B virus, hepatitis C virus, and cytomegalovirus. </w:t>
      </w:r>
      <w:r w:rsidRPr="00CC7B4D">
        <w:rPr>
          <w:color w:val="auto"/>
        </w:rPr>
        <w:t xml:space="preserve">Each frozen cord blood unit (-196°C) </w:t>
      </w:r>
      <w:r w:rsidR="009D0467" w:rsidRPr="00CC7B4D">
        <w:rPr>
          <w:color w:val="auto"/>
        </w:rPr>
        <w:t>will be</w:t>
      </w:r>
      <w:r w:rsidRPr="00CC7B4D">
        <w:rPr>
          <w:color w:val="auto"/>
        </w:rPr>
        <w:t xml:space="preserve"> thawed at 37°C and washed to reduce dimethyl sulfoxide concentration. The UCB-MNCs </w:t>
      </w:r>
      <w:r w:rsidR="009D0467" w:rsidRPr="00CC7B4D">
        <w:rPr>
          <w:color w:val="auto"/>
        </w:rPr>
        <w:t>will be</w:t>
      </w:r>
      <w:r w:rsidRPr="00CC7B4D">
        <w:rPr>
          <w:color w:val="auto"/>
        </w:rPr>
        <w:t xml:space="preserve"> isolated using 6% hydroxyethyl starch (HES) followed by LymphoprepTM (Stem cell Technology Inc., Canada) density gradient centrifugation. The cells </w:t>
      </w:r>
      <w:r w:rsidR="009D0467" w:rsidRPr="00CC7B4D">
        <w:rPr>
          <w:color w:val="auto"/>
        </w:rPr>
        <w:t>will</w:t>
      </w:r>
      <w:r w:rsidRPr="00CC7B4D">
        <w:rPr>
          <w:color w:val="auto"/>
        </w:rPr>
        <w:t>, then, suspended in animal product-free CO2-independent media and shipped to the hospitals at 15°C.</w:t>
      </w:r>
      <w:r w:rsidR="009D0467" w:rsidRPr="00CC7B4D">
        <w:rPr>
          <w:color w:val="auto"/>
        </w:rPr>
        <w:t xml:space="preserve"> </w:t>
      </w:r>
    </w:p>
    <w:p w14:paraId="48C927E8" w14:textId="648890B3" w:rsidR="00907355" w:rsidRPr="00CC7B4D" w:rsidRDefault="009D0467" w:rsidP="007F6BAD">
      <w:pPr>
        <w:pStyle w:val="Heading2"/>
        <w:numPr>
          <w:ilvl w:val="0"/>
          <w:numId w:val="0"/>
        </w:numPr>
        <w:spacing w:line="276" w:lineRule="auto"/>
        <w:ind w:left="360"/>
        <w:jc w:val="both"/>
        <w:rPr>
          <w:color w:val="auto"/>
        </w:rPr>
      </w:pPr>
      <w:r w:rsidRPr="00CC7B4D">
        <w:rPr>
          <w:color w:val="auto"/>
        </w:rPr>
        <w:t>All included cases will be asked to lie down in lateral decubitus position with their knees drawn up to the chest.</w:t>
      </w:r>
      <w:r w:rsidR="00555307" w:rsidRPr="00CC7B4D">
        <w:rPr>
          <w:color w:val="auto"/>
        </w:rPr>
        <w:t xml:space="preserve"> A single dose of 5 x 10</w:t>
      </w:r>
      <w:r w:rsidR="00555307" w:rsidRPr="00CC7B4D">
        <w:rPr>
          <w:color w:val="auto"/>
          <w:vertAlign w:val="superscript"/>
        </w:rPr>
        <w:t>6</w:t>
      </w:r>
      <w:r w:rsidR="00555307" w:rsidRPr="00CC7B4D">
        <w:rPr>
          <w:color w:val="auto"/>
        </w:rPr>
        <w:t xml:space="preserve"> /kg body weight UCB-MNCs will be transplanted via intrathecal route within 2 minutes in the experimental group. The sham procedure will be a small needle prick on the lower back skin of the sedated individuals in control group. The puncture site will be covered in all cases.</w:t>
      </w:r>
    </w:p>
    <w:p w14:paraId="3F7EA658" w14:textId="08D87C70" w:rsidR="00730075" w:rsidRPr="008568B3" w:rsidRDefault="005079D0" w:rsidP="008568B3">
      <w:pPr>
        <w:pStyle w:val="Heading1"/>
      </w:pPr>
      <w:r w:rsidRPr="006A49DC">
        <w:t>Endpoints</w:t>
      </w:r>
    </w:p>
    <w:p w14:paraId="0B48DE33" w14:textId="1B8CD1AD" w:rsidR="00CC7B4D" w:rsidRDefault="00CC7B4D" w:rsidP="00CC7B4D">
      <w:pPr>
        <w:spacing w:line="360" w:lineRule="auto"/>
        <w:jc w:val="both"/>
        <w:rPr>
          <w:rFonts w:eastAsia="Times New Roman"/>
          <w:color w:val="auto"/>
        </w:rPr>
      </w:pPr>
      <w:r w:rsidRPr="00CC7B4D">
        <w:rPr>
          <w:rFonts w:eastAsia="Times New Roman"/>
          <w:color w:val="auto"/>
        </w:rPr>
        <w:t xml:space="preserve">The primary endpoints </w:t>
      </w:r>
      <w:r>
        <w:rPr>
          <w:rFonts w:eastAsia="Times New Roman"/>
          <w:color w:val="auto"/>
        </w:rPr>
        <w:t>will be</w:t>
      </w:r>
      <w:r w:rsidRPr="00CC7B4D">
        <w:rPr>
          <w:rFonts w:eastAsia="Times New Roman"/>
          <w:color w:val="auto"/>
        </w:rPr>
        <w:t xml:space="preserve"> the mean changes in the </w:t>
      </w:r>
      <w:r w:rsidRPr="00CC7B4D">
        <w:rPr>
          <w:rFonts w:eastAsia="Times New Roman"/>
          <w:color w:val="auto"/>
        </w:rPr>
        <w:t>gross motor function measure (GMFM)-66</w:t>
      </w:r>
      <w:r w:rsidRPr="00CC7B4D">
        <w:rPr>
          <w:rFonts w:eastAsia="Times New Roman"/>
          <w:color w:val="auto"/>
        </w:rPr>
        <w:t xml:space="preserve">, </w:t>
      </w:r>
      <w:r>
        <w:rPr>
          <w:rFonts w:eastAsia="Times New Roman"/>
          <w:color w:val="auto"/>
        </w:rPr>
        <w:t>modified ashworth scale (</w:t>
      </w:r>
      <w:r w:rsidRPr="00CC7B4D">
        <w:rPr>
          <w:rFonts w:eastAsia="Times New Roman"/>
          <w:color w:val="auto"/>
        </w:rPr>
        <w:t>MAS</w:t>
      </w:r>
      <w:r>
        <w:rPr>
          <w:rFonts w:eastAsia="Times New Roman"/>
          <w:color w:val="auto"/>
        </w:rPr>
        <w:t>)</w:t>
      </w:r>
      <w:r w:rsidRPr="00CC7B4D">
        <w:rPr>
          <w:rFonts w:eastAsia="Times New Roman"/>
          <w:color w:val="auto"/>
        </w:rPr>
        <w:t xml:space="preserve">, </w:t>
      </w:r>
      <w:r w:rsidRPr="00CC7B4D">
        <w:rPr>
          <w:rFonts w:eastAsia="Times New Roman"/>
          <w:color w:val="auto"/>
        </w:rPr>
        <w:t>pediatric evaluation of disability inventory (PEDI)</w:t>
      </w:r>
      <w:r>
        <w:rPr>
          <w:rFonts w:eastAsia="Times New Roman"/>
          <w:color w:val="auto"/>
        </w:rPr>
        <w:t>,</w:t>
      </w:r>
      <w:r w:rsidRPr="00CC7B4D">
        <w:rPr>
          <w:rFonts w:eastAsia="Times New Roman"/>
          <w:color w:val="auto"/>
        </w:rPr>
        <w:t xml:space="preserve"> and CP quality of life (CP-QoL) </w:t>
      </w:r>
      <w:r w:rsidRPr="00CC7B4D">
        <w:rPr>
          <w:rFonts w:eastAsia="Times New Roman"/>
          <w:color w:val="auto"/>
        </w:rPr>
        <w:t xml:space="preserve">scores from baseline to 12 months after intervention. </w:t>
      </w:r>
      <w:r>
        <w:rPr>
          <w:rFonts w:eastAsia="Times New Roman"/>
          <w:color w:val="auto"/>
        </w:rPr>
        <w:t xml:space="preserve">The quantitative diffusion tensor imaging </w:t>
      </w:r>
      <w:r w:rsidR="00D23C15">
        <w:rPr>
          <w:rFonts w:eastAsia="Times New Roman"/>
          <w:color w:val="auto"/>
        </w:rPr>
        <w:t xml:space="preserve">(DTI) </w:t>
      </w:r>
      <w:r>
        <w:rPr>
          <w:rFonts w:eastAsia="Times New Roman"/>
          <w:color w:val="auto"/>
        </w:rPr>
        <w:t xml:space="preserve">will also be performed to assess the alteration in white matter integrity. </w:t>
      </w:r>
      <w:r w:rsidRPr="00CC7B4D">
        <w:rPr>
          <w:rFonts w:eastAsia="Times New Roman"/>
          <w:color w:val="auto"/>
        </w:rPr>
        <w:t xml:space="preserve">The secondary endpoints </w:t>
      </w:r>
      <w:r>
        <w:rPr>
          <w:rFonts w:eastAsia="Times New Roman"/>
          <w:color w:val="auto"/>
        </w:rPr>
        <w:t>will be</w:t>
      </w:r>
      <w:r w:rsidRPr="00CC7B4D">
        <w:rPr>
          <w:rFonts w:eastAsia="Times New Roman"/>
          <w:color w:val="auto"/>
        </w:rPr>
        <w:t xml:space="preserve"> the mean changes in </w:t>
      </w:r>
      <w:r>
        <w:rPr>
          <w:rFonts w:eastAsia="Times New Roman"/>
          <w:color w:val="auto"/>
        </w:rPr>
        <w:t>fractional anisotropy (</w:t>
      </w:r>
      <w:r w:rsidRPr="00CC7B4D">
        <w:rPr>
          <w:rFonts w:eastAsia="Times New Roman"/>
          <w:color w:val="auto"/>
        </w:rPr>
        <w:t>FA</w:t>
      </w:r>
      <w:r>
        <w:rPr>
          <w:rFonts w:eastAsia="Times New Roman"/>
          <w:color w:val="auto"/>
        </w:rPr>
        <w:t>)</w:t>
      </w:r>
      <w:r w:rsidRPr="00CC7B4D">
        <w:rPr>
          <w:rFonts w:eastAsia="Times New Roman"/>
          <w:color w:val="auto"/>
        </w:rPr>
        <w:t xml:space="preserve"> and </w:t>
      </w:r>
      <w:r>
        <w:rPr>
          <w:rFonts w:eastAsia="Times New Roman"/>
          <w:color w:val="auto"/>
        </w:rPr>
        <w:t>mean diffusivity (</w:t>
      </w:r>
      <w:r w:rsidRPr="00CC7B4D">
        <w:rPr>
          <w:rFonts w:eastAsia="Times New Roman"/>
          <w:color w:val="auto"/>
        </w:rPr>
        <w:t>MD</w:t>
      </w:r>
      <w:r>
        <w:rPr>
          <w:rFonts w:eastAsia="Times New Roman"/>
          <w:color w:val="auto"/>
        </w:rPr>
        <w:t>)</w:t>
      </w:r>
      <w:r w:rsidRPr="00CC7B4D">
        <w:rPr>
          <w:rFonts w:eastAsia="Times New Roman"/>
          <w:color w:val="auto"/>
        </w:rPr>
        <w:t xml:space="preserve"> of </w:t>
      </w:r>
      <w:r>
        <w:rPr>
          <w:rFonts w:eastAsia="Times New Roman"/>
          <w:color w:val="auto"/>
        </w:rPr>
        <w:t>corticospinal tract (</w:t>
      </w:r>
      <w:r w:rsidRPr="00CC7B4D">
        <w:rPr>
          <w:rFonts w:eastAsia="Times New Roman"/>
          <w:color w:val="auto"/>
        </w:rPr>
        <w:t>CST</w:t>
      </w:r>
      <w:r>
        <w:rPr>
          <w:rFonts w:eastAsia="Times New Roman"/>
          <w:color w:val="auto"/>
        </w:rPr>
        <w:t>)</w:t>
      </w:r>
      <w:r w:rsidRPr="00CC7B4D">
        <w:rPr>
          <w:rFonts w:eastAsia="Times New Roman"/>
          <w:color w:val="auto"/>
        </w:rPr>
        <w:t xml:space="preserve"> and </w:t>
      </w:r>
      <w:r>
        <w:rPr>
          <w:rFonts w:eastAsia="Times New Roman"/>
          <w:color w:val="auto"/>
        </w:rPr>
        <w:t>posterior thalamic radiate (</w:t>
      </w:r>
      <w:r w:rsidRPr="00CC7B4D">
        <w:rPr>
          <w:rFonts w:eastAsia="Times New Roman"/>
          <w:color w:val="auto"/>
        </w:rPr>
        <w:t>PTR</w:t>
      </w:r>
      <w:r>
        <w:rPr>
          <w:rFonts w:eastAsia="Times New Roman"/>
          <w:color w:val="auto"/>
        </w:rPr>
        <w:t>)</w:t>
      </w:r>
      <w:r w:rsidRPr="00CC7B4D">
        <w:rPr>
          <w:rFonts w:eastAsia="Times New Roman"/>
          <w:color w:val="auto"/>
        </w:rPr>
        <w:t xml:space="preserve"> from baseline to 12 months after i</w:t>
      </w:r>
      <w:r>
        <w:rPr>
          <w:rFonts w:eastAsia="Times New Roman"/>
          <w:color w:val="auto"/>
        </w:rPr>
        <w:t xml:space="preserve">ntervention. </w:t>
      </w:r>
      <w:r w:rsidRPr="00CC7B4D">
        <w:rPr>
          <w:rFonts w:eastAsia="Times New Roman"/>
          <w:color w:val="auto"/>
        </w:rPr>
        <w:t>Adverse events were recorded to assess the safety endpoint.</w:t>
      </w:r>
    </w:p>
    <w:p w14:paraId="14C574C1" w14:textId="77777777" w:rsidR="007F6BAD" w:rsidRPr="00CC7B4D" w:rsidRDefault="007F6BAD" w:rsidP="00CC7B4D">
      <w:pPr>
        <w:spacing w:line="360" w:lineRule="auto"/>
        <w:jc w:val="both"/>
        <w:rPr>
          <w:rFonts w:eastAsia="Times New Roman"/>
          <w:color w:val="auto"/>
        </w:rPr>
      </w:pPr>
    </w:p>
    <w:p w14:paraId="5B02C65C" w14:textId="77777777" w:rsidR="004138F5" w:rsidRDefault="004138F5" w:rsidP="008B7423">
      <w:pPr>
        <w:pStyle w:val="Heading1"/>
      </w:pPr>
      <w:r>
        <w:lastRenderedPageBreak/>
        <w:t>Sample Size</w:t>
      </w:r>
    </w:p>
    <w:p w14:paraId="7398EBE5" w14:textId="6667AA66" w:rsidR="002A197F" w:rsidRDefault="007F6BAD" w:rsidP="007F6BAD">
      <w:pPr>
        <w:spacing w:line="276" w:lineRule="auto"/>
        <w:jc w:val="both"/>
        <w:rPr>
          <w:rFonts w:eastAsia="Times New Roman"/>
          <w:iCs/>
          <w:color w:val="000000" w:themeColor="text1"/>
        </w:rPr>
      </w:pPr>
      <w:r w:rsidRPr="007F6BAD">
        <w:rPr>
          <w:rFonts w:eastAsia="Times New Roman"/>
          <w:iCs/>
          <w:color w:val="000000" w:themeColor="text1"/>
        </w:rPr>
        <w:t>The mean changes in GMFM-66 scores were used to estimate the sample size. It was calculated using repeated measures analysis of variance (ANOVA) by G*Power 3.1 software (University of Kiel, Germany). To achieve at least 80% power, the effect size of 0.25, two-sided α (the probability of type I error) of 0.05, and β (the probability of type II error) of 0.20 were considered and total sample size of 72 individuals (36 participants in each group) was estimated.</w:t>
      </w:r>
    </w:p>
    <w:p w14:paraId="67266952" w14:textId="7C5841AA" w:rsidR="008B7423" w:rsidRPr="002A197F" w:rsidRDefault="008B7423" w:rsidP="002A197F">
      <w:pPr>
        <w:pStyle w:val="Heading1"/>
        <w:rPr>
          <w:rFonts w:eastAsia="Times New Roman"/>
          <w:iCs/>
          <w:color w:val="000000" w:themeColor="text1"/>
        </w:rPr>
      </w:pPr>
      <w:r>
        <w:t>Statistical Analysis</w:t>
      </w:r>
    </w:p>
    <w:p w14:paraId="4D059E4F" w14:textId="218DB038" w:rsidR="00730075" w:rsidRDefault="008B7423" w:rsidP="007F6BAD">
      <w:pPr>
        <w:spacing w:line="276" w:lineRule="auto"/>
        <w:jc w:val="both"/>
        <w:rPr>
          <w:rFonts w:eastAsia="Times New Roman"/>
          <w:iCs/>
          <w:color w:val="000000" w:themeColor="text1"/>
        </w:rPr>
      </w:pPr>
      <w:r w:rsidRPr="002D4D82">
        <w:rPr>
          <w:color w:val="000000" w:themeColor="text1"/>
        </w:rPr>
        <w:t xml:space="preserve">Statistical analysis </w:t>
      </w:r>
      <w:r w:rsidR="000006C5" w:rsidRPr="002D4D82">
        <w:rPr>
          <w:color w:val="000000" w:themeColor="text1"/>
        </w:rPr>
        <w:t>will be</w:t>
      </w:r>
      <w:r w:rsidRPr="002D4D82">
        <w:rPr>
          <w:color w:val="000000" w:themeColor="text1"/>
        </w:rPr>
        <w:t xml:space="preserve"> performed by the statistician who </w:t>
      </w:r>
      <w:r w:rsidR="000006C5" w:rsidRPr="002D4D82">
        <w:rPr>
          <w:color w:val="000000" w:themeColor="text1"/>
        </w:rPr>
        <w:t>is</w:t>
      </w:r>
      <w:r w:rsidRPr="002D4D82">
        <w:rPr>
          <w:color w:val="000000" w:themeColor="text1"/>
        </w:rPr>
        <w:t xml:space="preserve"> masked to the study arms. Continuous variables </w:t>
      </w:r>
      <w:r w:rsidR="00D236E2" w:rsidRPr="002D4D82">
        <w:rPr>
          <w:color w:val="000000" w:themeColor="text1"/>
        </w:rPr>
        <w:t>will be</w:t>
      </w:r>
      <w:r w:rsidRPr="002D4D82">
        <w:rPr>
          <w:color w:val="000000" w:themeColor="text1"/>
        </w:rPr>
        <w:t xml:space="preserve"> reported as mea</w:t>
      </w:r>
      <w:r w:rsidR="008E5038">
        <w:rPr>
          <w:color w:val="000000" w:themeColor="text1"/>
        </w:rPr>
        <w:t>ns and standard error mean</w:t>
      </w:r>
      <w:r w:rsidR="00D26EC4">
        <w:rPr>
          <w:color w:val="000000" w:themeColor="text1"/>
        </w:rPr>
        <w:t xml:space="preserve">, </w:t>
      </w:r>
      <w:r w:rsidR="00EA648E" w:rsidRPr="002D4D82">
        <w:rPr>
          <w:color w:val="000000" w:themeColor="text1"/>
        </w:rPr>
        <w:t>95% confidence interval (CI)</w:t>
      </w:r>
      <w:r w:rsidR="007F6BAD">
        <w:rPr>
          <w:color w:val="000000" w:themeColor="text1"/>
        </w:rPr>
        <w:t xml:space="preserve"> or standard deviation</w:t>
      </w:r>
      <w:r w:rsidR="003A7D44" w:rsidRPr="002D4D82">
        <w:rPr>
          <w:color w:val="000000" w:themeColor="text1"/>
        </w:rPr>
        <w:t xml:space="preserve">. </w:t>
      </w:r>
      <w:r w:rsidR="007F6BAD" w:rsidRPr="002D4D82">
        <w:rPr>
          <w:rFonts w:eastAsia="Times New Roman"/>
          <w:iCs/>
          <w:color w:val="000000" w:themeColor="text1"/>
        </w:rPr>
        <w:t>Categor</w:t>
      </w:r>
      <w:r w:rsidR="007F6BAD">
        <w:rPr>
          <w:rFonts w:eastAsia="Times New Roman"/>
          <w:iCs/>
          <w:color w:val="000000" w:themeColor="text1"/>
        </w:rPr>
        <w:t>i</w:t>
      </w:r>
      <w:r w:rsidR="007F6BAD" w:rsidRPr="002D4D82">
        <w:rPr>
          <w:rFonts w:eastAsia="Times New Roman"/>
          <w:iCs/>
          <w:color w:val="000000" w:themeColor="text1"/>
        </w:rPr>
        <w:t>cal</w:t>
      </w:r>
      <w:r w:rsidR="00CD22A6" w:rsidRPr="002D4D82">
        <w:rPr>
          <w:rFonts w:eastAsia="Times New Roman"/>
          <w:iCs/>
          <w:color w:val="000000" w:themeColor="text1"/>
        </w:rPr>
        <w:t xml:space="preserve"> variables will be described using percentage. Analyses of between-group differences will be performed according to the intention to treat (ITT) approach. All randomized patients who will </w:t>
      </w:r>
      <w:r w:rsidR="007F6BAD">
        <w:rPr>
          <w:rFonts w:eastAsia="Times New Roman"/>
          <w:iCs/>
          <w:color w:val="000000" w:themeColor="text1"/>
        </w:rPr>
        <w:t xml:space="preserve">receive </w:t>
      </w:r>
      <w:r w:rsidR="00CD22A6" w:rsidRPr="002D4D82">
        <w:rPr>
          <w:rFonts w:eastAsia="Times New Roman"/>
          <w:iCs/>
          <w:color w:val="000000" w:themeColor="text1"/>
        </w:rPr>
        <w:t xml:space="preserve">study drug </w:t>
      </w:r>
      <w:r w:rsidR="007F6BAD">
        <w:rPr>
          <w:rFonts w:eastAsia="Times New Roman"/>
          <w:iCs/>
          <w:color w:val="000000" w:themeColor="text1"/>
        </w:rPr>
        <w:t xml:space="preserve">or sham procedure </w:t>
      </w:r>
      <w:r w:rsidR="00CD22A6" w:rsidRPr="002D4D82">
        <w:rPr>
          <w:rFonts w:eastAsia="Times New Roman"/>
          <w:iCs/>
          <w:color w:val="000000" w:themeColor="text1"/>
        </w:rPr>
        <w:t>will be included. Missing data will be handled by multiple imputation</w:t>
      </w:r>
      <w:r w:rsidR="007F6BAD">
        <w:rPr>
          <w:rFonts w:eastAsia="Times New Roman"/>
          <w:iCs/>
          <w:color w:val="000000" w:themeColor="text1"/>
        </w:rPr>
        <w:t>.</w:t>
      </w:r>
    </w:p>
    <w:p w14:paraId="0EAEBC29" w14:textId="02BE5766" w:rsidR="002A197F" w:rsidRPr="007F6BAD" w:rsidRDefault="007F6BAD" w:rsidP="00D23C15">
      <w:pPr>
        <w:spacing w:line="276" w:lineRule="auto"/>
        <w:jc w:val="both"/>
        <w:rPr>
          <w:rFonts w:eastAsia="Times New Roman"/>
          <w:iCs/>
          <w:color w:val="000000" w:themeColor="text1"/>
        </w:rPr>
      </w:pPr>
      <w:r w:rsidRPr="007F6BAD">
        <w:rPr>
          <w:rFonts w:eastAsia="Times New Roman"/>
          <w:iCs/>
          <w:color w:val="000000" w:themeColor="text1"/>
        </w:rPr>
        <w:t xml:space="preserve">Generalized estimating equations (GEE) model </w:t>
      </w:r>
      <w:r>
        <w:rPr>
          <w:rFonts w:eastAsia="Times New Roman"/>
          <w:iCs/>
          <w:color w:val="000000" w:themeColor="text1"/>
        </w:rPr>
        <w:t>will be</w:t>
      </w:r>
      <w:r w:rsidRPr="007F6BAD">
        <w:rPr>
          <w:rFonts w:eastAsia="Times New Roman"/>
          <w:iCs/>
          <w:color w:val="000000" w:themeColor="text1"/>
        </w:rPr>
        <w:t xml:space="preserve"> used to compare GMFM-66, MAS, PEDI, and CP-QoL</w:t>
      </w:r>
      <w:r>
        <w:rPr>
          <w:rFonts w:eastAsia="Times New Roman"/>
          <w:iCs/>
          <w:color w:val="000000" w:themeColor="text1"/>
        </w:rPr>
        <w:t xml:space="preserve"> mean scores between groups</w:t>
      </w:r>
      <w:r w:rsidRPr="007F6BAD">
        <w:rPr>
          <w:rFonts w:eastAsia="Times New Roman"/>
          <w:iCs/>
          <w:color w:val="000000" w:themeColor="text1"/>
        </w:rPr>
        <w:t xml:space="preserve">. It </w:t>
      </w:r>
      <w:r>
        <w:rPr>
          <w:rFonts w:eastAsia="Times New Roman"/>
          <w:iCs/>
          <w:color w:val="000000" w:themeColor="text1"/>
        </w:rPr>
        <w:t>will</w:t>
      </w:r>
      <w:r w:rsidR="00D23C15">
        <w:rPr>
          <w:rFonts w:eastAsia="Times New Roman"/>
          <w:iCs/>
          <w:color w:val="000000" w:themeColor="text1"/>
        </w:rPr>
        <w:t xml:space="preserve"> assume</w:t>
      </w:r>
      <w:r w:rsidRPr="007F6BAD">
        <w:rPr>
          <w:rFonts w:eastAsia="Times New Roman"/>
          <w:iCs/>
          <w:color w:val="000000" w:themeColor="text1"/>
        </w:rPr>
        <w:t xml:space="preserve"> that the interaction </w:t>
      </w:r>
      <w:r w:rsidR="00D23C15">
        <w:rPr>
          <w:rFonts w:eastAsia="Times New Roman"/>
          <w:iCs/>
          <w:color w:val="000000" w:themeColor="text1"/>
        </w:rPr>
        <w:t>will be</w:t>
      </w:r>
      <w:r w:rsidRPr="007F6BAD">
        <w:rPr>
          <w:rFonts w:eastAsia="Times New Roman"/>
          <w:iCs/>
          <w:color w:val="000000" w:themeColor="text1"/>
        </w:rPr>
        <w:t xml:space="preserve"> between the intervention groups and time measurements. Exchangeable structure </w:t>
      </w:r>
      <w:r w:rsidR="00D23C15">
        <w:rPr>
          <w:rFonts w:eastAsia="Times New Roman"/>
          <w:iCs/>
          <w:color w:val="000000" w:themeColor="text1"/>
        </w:rPr>
        <w:t>will be</w:t>
      </w:r>
      <w:r w:rsidRPr="007F6BAD">
        <w:rPr>
          <w:rFonts w:eastAsia="Times New Roman"/>
          <w:iCs/>
          <w:color w:val="000000" w:themeColor="text1"/>
        </w:rPr>
        <w:t xml:space="preserve"> considered for working correlation matrix and linear model </w:t>
      </w:r>
      <w:r w:rsidR="00D23C15">
        <w:rPr>
          <w:rFonts w:eastAsia="Times New Roman"/>
          <w:iCs/>
          <w:color w:val="000000" w:themeColor="text1"/>
        </w:rPr>
        <w:t>will be</w:t>
      </w:r>
      <w:r w:rsidRPr="007F6BAD">
        <w:rPr>
          <w:rFonts w:eastAsia="Times New Roman"/>
          <w:iCs/>
          <w:color w:val="000000" w:themeColor="text1"/>
        </w:rPr>
        <w:t xml:space="preserve"> used. The model </w:t>
      </w:r>
      <w:r w:rsidR="00D23C15">
        <w:rPr>
          <w:rFonts w:eastAsia="Times New Roman"/>
          <w:iCs/>
          <w:color w:val="000000" w:themeColor="text1"/>
        </w:rPr>
        <w:t>will be</w:t>
      </w:r>
      <w:r w:rsidRPr="007F6BAD">
        <w:rPr>
          <w:rFonts w:eastAsia="Times New Roman"/>
          <w:iCs/>
          <w:color w:val="000000" w:themeColor="text1"/>
        </w:rPr>
        <w:t xml:space="preserve"> adjusted to covariates including type of CP, GMFCS, gender, age, and weight of participants. Independent sample t-test </w:t>
      </w:r>
      <w:r w:rsidR="00D23C15">
        <w:rPr>
          <w:rFonts w:eastAsia="Times New Roman"/>
          <w:iCs/>
          <w:color w:val="000000" w:themeColor="text1"/>
        </w:rPr>
        <w:t>will be</w:t>
      </w:r>
      <w:r w:rsidRPr="007F6BAD">
        <w:rPr>
          <w:rFonts w:eastAsia="Times New Roman"/>
          <w:iCs/>
          <w:color w:val="000000" w:themeColor="text1"/>
        </w:rPr>
        <w:t xml:space="preserve"> conducted to compare numeric variables in baseli</w:t>
      </w:r>
      <w:r w:rsidR="00D23C15">
        <w:rPr>
          <w:rFonts w:eastAsia="Times New Roman"/>
          <w:iCs/>
          <w:color w:val="000000" w:themeColor="text1"/>
        </w:rPr>
        <w:t>ne and DTI data between groups.</w:t>
      </w:r>
    </w:p>
    <w:p w14:paraId="7B9444FA" w14:textId="5ABD5D2D" w:rsidR="00256AD8" w:rsidRDefault="00256AD8" w:rsidP="00256AD8">
      <w:pPr>
        <w:pStyle w:val="Heading1"/>
      </w:pPr>
      <w:r>
        <w:t>Ethics</w:t>
      </w:r>
    </w:p>
    <w:p w14:paraId="6A70A910" w14:textId="1C46698C" w:rsidR="00154731" w:rsidRPr="00D23C15" w:rsidRDefault="00E512A1" w:rsidP="00D23C15">
      <w:pPr>
        <w:pStyle w:val="Heading2"/>
        <w:numPr>
          <w:ilvl w:val="0"/>
          <w:numId w:val="0"/>
        </w:numPr>
        <w:ind w:left="360"/>
        <w:jc w:val="both"/>
        <w:rPr>
          <w:rFonts w:eastAsia="Times New Roman"/>
        </w:rPr>
      </w:pPr>
      <w:r w:rsidRPr="004D71BE">
        <w:rPr>
          <w:rFonts w:asciiTheme="minorHAnsi" w:eastAsia="Times New Roman" w:hAnsiTheme="minorHAnsi"/>
        </w:rPr>
        <w:t>The ethics committee of the Tehran University of Medical Sciences approved the final protocol</w:t>
      </w:r>
      <w:bookmarkStart w:id="0" w:name="_GoBack"/>
      <w:bookmarkEnd w:id="0"/>
      <w:r w:rsidRPr="004D71BE">
        <w:rPr>
          <w:rFonts w:asciiTheme="minorHAnsi" w:eastAsia="Times New Roman" w:hAnsiTheme="minorHAnsi"/>
        </w:rPr>
        <w:t xml:space="preserve"> of the study </w:t>
      </w:r>
      <w:r w:rsidR="00D23C15" w:rsidRPr="00D23C15">
        <w:rPr>
          <w:rFonts w:asciiTheme="minorHAnsi" w:eastAsia="Times New Roman" w:hAnsiTheme="minorHAnsi"/>
        </w:rPr>
        <w:t xml:space="preserve">(Number: IR.TUMS.VCRREC.1996.2506). The study </w:t>
      </w:r>
      <w:r w:rsidR="00D23C15">
        <w:rPr>
          <w:rFonts w:asciiTheme="minorHAnsi" w:eastAsia="Times New Roman" w:hAnsiTheme="minorHAnsi"/>
        </w:rPr>
        <w:t>will be</w:t>
      </w:r>
      <w:r w:rsidR="00D23C15" w:rsidRPr="00D23C15">
        <w:rPr>
          <w:rFonts w:asciiTheme="minorHAnsi" w:eastAsia="Times New Roman" w:hAnsiTheme="minorHAnsi"/>
        </w:rPr>
        <w:t xml:space="preserve"> performed in accordance with t</w:t>
      </w:r>
      <w:r w:rsidR="00D23C15">
        <w:rPr>
          <w:rFonts w:asciiTheme="minorHAnsi" w:eastAsia="Times New Roman" w:hAnsiTheme="minorHAnsi"/>
        </w:rPr>
        <w:t xml:space="preserve">he Declaration of Helsinki </w:t>
      </w:r>
      <w:r w:rsidR="00D23C15" w:rsidRPr="00D23C15">
        <w:rPr>
          <w:rFonts w:asciiTheme="minorHAnsi" w:eastAsia="Times New Roman" w:hAnsiTheme="minorHAnsi"/>
        </w:rPr>
        <w:t xml:space="preserve">and Good Clinical Practice guidelines. All information </w:t>
      </w:r>
      <w:r w:rsidR="00D23C15">
        <w:rPr>
          <w:rFonts w:asciiTheme="minorHAnsi" w:eastAsia="Times New Roman" w:hAnsiTheme="minorHAnsi"/>
        </w:rPr>
        <w:t>will be</w:t>
      </w:r>
      <w:r w:rsidR="00D23C15" w:rsidRPr="00D23C15">
        <w:rPr>
          <w:rFonts w:asciiTheme="minorHAnsi" w:eastAsia="Times New Roman" w:hAnsiTheme="minorHAnsi"/>
        </w:rPr>
        <w:t xml:space="preserve"> explained to the parents of our participants and they </w:t>
      </w:r>
      <w:r w:rsidR="00D23C15">
        <w:rPr>
          <w:rFonts w:asciiTheme="minorHAnsi" w:eastAsia="Times New Roman" w:hAnsiTheme="minorHAnsi"/>
        </w:rPr>
        <w:t>will be</w:t>
      </w:r>
      <w:r w:rsidR="00D23C15" w:rsidRPr="00D23C15">
        <w:rPr>
          <w:rFonts w:asciiTheme="minorHAnsi" w:eastAsia="Times New Roman" w:hAnsiTheme="minorHAnsi"/>
        </w:rPr>
        <w:t xml:space="preserve"> given a printed protocol of the study. It </w:t>
      </w:r>
      <w:r w:rsidR="00D23C15">
        <w:rPr>
          <w:rFonts w:asciiTheme="minorHAnsi" w:eastAsia="Times New Roman" w:hAnsiTheme="minorHAnsi"/>
        </w:rPr>
        <w:t>will be</w:t>
      </w:r>
      <w:r w:rsidR="00D23C15" w:rsidRPr="00D23C15">
        <w:rPr>
          <w:rFonts w:asciiTheme="minorHAnsi" w:eastAsia="Times New Roman" w:hAnsiTheme="minorHAnsi"/>
        </w:rPr>
        <w:t xml:space="preserve"> explained that participation </w:t>
      </w:r>
      <w:r w:rsidR="00D23C15">
        <w:rPr>
          <w:rFonts w:asciiTheme="minorHAnsi" w:eastAsia="Times New Roman" w:hAnsiTheme="minorHAnsi"/>
        </w:rPr>
        <w:t>is</w:t>
      </w:r>
      <w:r w:rsidR="00D23C15" w:rsidRPr="00D23C15">
        <w:rPr>
          <w:rFonts w:asciiTheme="minorHAnsi" w:eastAsia="Times New Roman" w:hAnsiTheme="minorHAnsi"/>
        </w:rPr>
        <w:t xml:space="preserve"> optional and withdrawal </w:t>
      </w:r>
      <w:r w:rsidR="00D23C15">
        <w:rPr>
          <w:rFonts w:asciiTheme="minorHAnsi" w:eastAsia="Times New Roman" w:hAnsiTheme="minorHAnsi"/>
        </w:rPr>
        <w:t>is</w:t>
      </w:r>
      <w:r w:rsidR="00D23C15" w:rsidRPr="00D23C15">
        <w:rPr>
          <w:rFonts w:asciiTheme="minorHAnsi" w:eastAsia="Times New Roman" w:hAnsiTheme="minorHAnsi"/>
        </w:rPr>
        <w:t xml:space="preserve"> </w:t>
      </w:r>
      <w:r w:rsidR="00D23C15">
        <w:rPr>
          <w:rFonts w:asciiTheme="minorHAnsi" w:eastAsia="Times New Roman" w:hAnsiTheme="minorHAnsi"/>
        </w:rPr>
        <w:t>possible whenever they request</w:t>
      </w:r>
      <w:r w:rsidR="00D23C15" w:rsidRPr="00D23C15">
        <w:rPr>
          <w:rFonts w:asciiTheme="minorHAnsi" w:eastAsia="Times New Roman" w:hAnsiTheme="minorHAnsi"/>
        </w:rPr>
        <w:t xml:space="preserve">. The written informed consent </w:t>
      </w:r>
      <w:r w:rsidR="00D23C15">
        <w:rPr>
          <w:rFonts w:asciiTheme="minorHAnsi" w:eastAsia="Times New Roman" w:hAnsiTheme="minorHAnsi"/>
        </w:rPr>
        <w:t>will be</w:t>
      </w:r>
      <w:r w:rsidR="00D23C15" w:rsidRPr="00D23C15">
        <w:rPr>
          <w:rFonts w:asciiTheme="minorHAnsi" w:eastAsia="Times New Roman" w:hAnsiTheme="minorHAnsi"/>
        </w:rPr>
        <w:t xml:space="preserve"> obtained from parents before the initiation of study procedures. We also </w:t>
      </w:r>
      <w:r w:rsidR="00D23C15">
        <w:rPr>
          <w:rFonts w:asciiTheme="minorHAnsi" w:eastAsia="Times New Roman" w:hAnsiTheme="minorHAnsi"/>
        </w:rPr>
        <w:t>will explain</w:t>
      </w:r>
      <w:r w:rsidR="00D23C15" w:rsidRPr="00D23C15">
        <w:rPr>
          <w:rFonts w:asciiTheme="minorHAnsi" w:eastAsia="Times New Roman" w:hAnsiTheme="minorHAnsi"/>
        </w:rPr>
        <w:t xml:space="preserve"> the protocol to children and assent </w:t>
      </w:r>
      <w:r w:rsidR="00D23C15">
        <w:rPr>
          <w:rFonts w:asciiTheme="minorHAnsi" w:eastAsia="Times New Roman" w:hAnsiTheme="minorHAnsi"/>
        </w:rPr>
        <w:t>will be</w:t>
      </w:r>
      <w:r w:rsidR="00D23C15" w:rsidRPr="00D23C15">
        <w:rPr>
          <w:rFonts w:asciiTheme="minorHAnsi" w:eastAsia="Times New Roman" w:hAnsiTheme="minorHAnsi"/>
        </w:rPr>
        <w:t xml:space="preserve"> achieved. </w:t>
      </w:r>
      <w:r w:rsidR="00A832C8" w:rsidRPr="00A832C8">
        <w:rPr>
          <w:rFonts w:eastAsia="Times New Roman"/>
        </w:rPr>
        <w:t>The study is registered with Iranian Registry of Clinical Trials; IRC</w:t>
      </w:r>
      <w:r w:rsidR="00D23C15">
        <w:rPr>
          <w:rFonts w:eastAsia="Times New Roman"/>
        </w:rPr>
        <w:t>T.ir, num</w:t>
      </w:r>
      <w:r w:rsidR="00D23C15" w:rsidRPr="00D23C15">
        <w:rPr>
          <w:rFonts w:asciiTheme="minorHAnsi" w:eastAsia="Times New Roman" w:hAnsiTheme="minorHAnsi"/>
        </w:rPr>
        <w:t xml:space="preserve">ber IRCT201706176907N13 </w:t>
      </w:r>
      <w:r w:rsidR="00D23C15" w:rsidRPr="00D23C15">
        <w:rPr>
          <w:rFonts w:asciiTheme="minorHAnsi" w:hAnsiTheme="minorHAnsi"/>
        </w:rPr>
        <w:t xml:space="preserve">on 12/07/2017 </w:t>
      </w:r>
      <w:r w:rsidR="00D23C15" w:rsidRPr="00D23C15">
        <w:rPr>
          <w:rFonts w:asciiTheme="minorHAnsi" w:hAnsiTheme="minorHAnsi"/>
        </w:rPr>
        <w:t xml:space="preserve">and </w:t>
      </w:r>
      <w:r w:rsidR="00D23C15" w:rsidRPr="00D23C15">
        <w:rPr>
          <w:rFonts w:asciiTheme="minorHAnsi" w:eastAsia="Times New Roman" w:hAnsiTheme="minorHAnsi"/>
        </w:rPr>
        <w:t xml:space="preserve">ClinicalTrials.gov (NCT03795974) </w:t>
      </w:r>
      <w:r w:rsidR="00D23C15" w:rsidRPr="00D23C15">
        <w:rPr>
          <w:rFonts w:asciiTheme="minorHAnsi" w:hAnsiTheme="minorHAnsi"/>
        </w:rPr>
        <w:t>on 08/01/2019</w:t>
      </w:r>
      <w:r w:rsidR="00D23C15" w:rsidRPr="00D23C15">
        <w:rPr>
          <w:rFonts w:asciiTheme="minorHAnsi" w:eastAsia="Times New Roman" w:hAnsiTheme="minorHAnsi"/>
        </w:rPr>
        <w:t>.</w:t>
      </w:r>
    </w:p>
    <w:p w14:paraId="5A7521FE" w14:textId="2ADAFDC4" w:rsidR="00F9616D" w:rsidRDefault="00F9616D" w:rsidP="00F9616D">
      <w:pPr>
        <w:pStyle w:val="Heading1"/>
      </w:pPr>
      <w:r>
        <w:t>Sponsor</w:t>
      </w:r>
    </w:p>
    <w:p w14:paraId="2E461DEC" w14:textId="5E1BA686" w:rsidR="00F9616D" w:rsidRDefault="00F9616D" w:rsidP="00F9616D">
      <w:pPr>
        <w:rPr>
          <w:color w:val="000000" w:themeColor="text1"/>
        </w:rPr>
      </w:pPr>
      <w:r w:rsidRPr="00E24A29">
        <w:rPr>
          <w:color w:val="000000" w:themeColor="text1"/>
        </w:rPr>
        <w:t>Tehran University of Medical Sciences</w:t>
      </w:r>
    </w:p>
    <w:p w14:paraId="740502D5" w14:textId="5CBED79E" w:rsidR="005A1E6A" w:rsidRDefault="00A37D90" w:rsidP="005A1E6A">
      <w:pPr>
        <w:pStyle w:val="Heading1"/>
      </w:pPr>
      <w:r>
        <w:lastRenderedPageBreak/>
        <w:t xml:space="preserve">Date trial </w:t>
      </w:r>
      <w:r w:rsidR="005346B2">
        <w:t>started</w:t>
      </w:r>
    </w:p>
    <w:p w14:paraId="24F5566C" w14:textId="70BFB92A" w:rsidR="005A1E6A" w:rsidRPr="00F54204" w:rsidRDefault="002A2E0B" w:rsidP="002A2E0B">
      <w:pPr>
        <w:tabs>
          <w:tab w:val="left" w:pos="1428"/>
        </w:tabs>
        <w:rPr>
          <w:color w:val="000000" w:themeColor="text1"/>
        </w:rPr>
      </w:pPr>
      <w:r>
        <w:rPr>
          <w:rFonts w:asciiTheme="minorBidi" w:eastAsia="Times New Roman" w:hAnsiTheme="minorBidi"/>
          <w:color w:val="000000" w:themeColor="text1"/>
        </w:rPr>
        <w:t>July 23, 2017</w:t>
      </w:r>
    </w:p>
    <w:sectPr w:rsidR="005A1E6A" w:rsidRPr="00F54204">
      <w:footerReference w:type="default" r:id="rId7"/>
      <w:headerReference w:type="first" r:id="rId8"/>
      <w:pgSz w:w="12240" w:h="15840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93FCE" w14:textId="77777777" w:rsidR="006A021E" w:rsidRDefault="006A021E">
      <w:pPr>
        <w:spacing w:after="0" w:line="240" w:lineRule="auto"/>
      </w:pPr>
      <w:r>
        <w:separator/>
      </w:r>
    </w:p>
    <w:p w14:paraId="1101C50A" w14:textId="77777777" w:rsidR="006A021E" w:rsidRDefault="006A021E"/>
  </w:endnote>
  <w:endnote w:type="continuationSeparator" w:id="0">
    <w:p w14:paraId="2EF0B439" w14:textId="77777777" w:rsidR="006A021E" w:rsidRDefault="006A021E">
      <w:pPr>
        <w:spacing w:after="0" w:line="240" w:lineRule="auto"/>
      </w:pPr>
      <w:r>
        <w:continuationSeparator/>
      </w:r>
    </w:p>
    <w:p w14:paraId="633EC7CC" w14:textId="77777777" w:rsidR="006A021E" w:rsidRDefault="006A0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F1392" w14:textId="7D783011" w:rsidR="00C62D50" w:rsidRDefault="00AA721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A2E0B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45196" w14:textId="77777777" w:rsidR="006A021E" w:rsidRDefault="006A021E">
      <w:pPr>
        <w:spacing w:after="0" w:line="240" w:lineRule="auto"/>
      </w:pPr>
      <w:r>
        <w:separator/>
      </w:r>
    </w:p>
    <w:p w14:paraId="3DDAC8AD" w14:textId="77777777" w:rsidR="006A021E" w:rsidRDefault="006A021E"/>
  </w:footnote>
  <w:footnote w:type="continuationSeparator" w:id="0">
    <w:p w14:paraId="09241B33" w14:textId="77777777" w:rsidR="006A021E" w:rsidRDefault="006A021E">
      <w:pPr>
        <w:spacing w:after="0" w:line="240" w:lineRule="auto"/>
      </w:pPr>
      <w:r>
        <w:continuationSeparator/>
      </w:r>
    </w:p>
    <w:p w14:paraId="49341A91" w14:textId="77777777" w:rsidR="006A021E" w:rsidRDefault="006A021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D611" w14:textId="7DC94167" w:rsidR="00DF1C75" w:rsidRPr="00DF1C75" w:rsidRDefault="00DF1C75" w:rsidP="00DF1C75">
    <w:pPr>
      <w:pStyle w:val="Header"/>
      <w:jc w:val="center"/>
      <w:rPr>
        <w:b/>
        <w:bCs/>
      </w:rPr>
    </w:pPr>
    <w:r>
      <w:rPr>
        <w:b/>
        <w:bCs/>
      </w:rPr>
      <w:t>Protocol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1" w15:restartNumberingAfterBreak="0">
    <w:nsid w:val="748B5B75"/>
    <w:multiLevelType w:val="hybridMultilevel"/>
    <w:tmpl w:val="AA44930E"/>
    <w:lvl w:ilvl="0" w:tplc="70C4AC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F4"/>
    <w:rsid w:val="000006C5"/>
    <w:rsid w:val="000276B7"/>
    <w:rsid w:val="00030539"/>
    <w:rsid w:val="00043281"/>
    <w:rsid w:val="00044901"/>
    <w:rsid w:val="00055697"/>
    <w:rsid w:val="000C14C7"/>
    <w:rsid w:val="000C25BF"/>
    <w:rsid w:val="000F597E"/>
    <w:rsid w:val="001423B6"/>
    <w:rsid w:val="00144F8A"/>
    <w:rsid w:val="00154731"/>
    <w:rsid w:val="0017436A"/>
    <w:rsid w:val="00175DF4"/>
    <w:rsid w:val="00194388"/>
    <w:rsid w:val="001A1FFD"/>
    <w:rsid w:val="001A4009"/>
    <w:rsid w:val="001A4822"/>
    <w:rsid w:val="001B2420"/>
    <w:rsid w:val="0020337C"/>
    <w:rsid w:val="00221183"/>
    <w:rsid w:val="00247317"/>
    <w:rsid w:val="00250580"/>
    <w:rsid w:val="00256AD8"/>
    <w:rsid w:val="00285A0A"/>
    <w:rsid w:val="002A197F"/>
    <w:rsid w:val="002A2E0B"/>
    <w:rsid w:val="002D1E92"/>
    <w:rsid w:val="002D4D82"/>
    <w:rsid w:val="00304264"/>
    <w:rsid w:val="00313A42"/>
    <w:rsid w:val="00342070"/>
    <w:rsid w:val="003654B2"/>
    <w:rsid w:val="003A7D44"/>
    <w:rsid w:val="003D4928"/>
    <w:rsid w:val="003F43DA"/>
    <w:rsid w:val="004138F5"/>
    <w:rsid w:val="00414C2E"/>
    <w:rsid w:val="004911FF"/>
    <w:rsid w:val="004913C3"/>
    <w:rsid w:val="004C619E"/>
    <w:rsid w:val="004D71BE"/>
    <w:rsid w:val="005079D0"/>
    <w:rsid w:val="005346B2"/>
    <w:rsid w:val="00536731"/>
    <w:rsid w:val="00555307"/>
    <w:rsid w:val="00563D6B"/>
    <w:rsid w:val="005760C4"/>
    <w:rsid w:val="00587A3E"/>
    <w:rsid w:val="005A1E6A"/>
    <w:rsid w:val="005D1CC2"/>
    <w:rsid w:val="005F74D0"/>
    <w:rsid w:val="00602ADC"/>
    <w:rsid w:val="00611EE6"/>
    <w:rsid w:val="00637AFB"/>
    <w:rsid w:val="00656E93"/>
    <w:rsid w:val="00657E48"/>
    <w:rsid w:val="0066411D"/>
    <w:rsid w:val="006749D2"/>
    <w:rsid w:val="00675ACC"/>
    <w:rsid w:val="006A021E"/>
    <w:rsid w:val="006A49DC"/>
    <w:rsid w:val="006B30D0"/>
    <w:rsid w:val="006C3298"/>
    <w:rsid w:val="00703FAF"/>
    <w:rsid w:val="00730075"/>
    <w:rsid w:val="0074473F"/>
    <w:rsid w:val="007448BC"/>
    <w:rsid w:val="007B5BC2"/>
    <w:rsid w:val="007E4794"/>
    <w:rsid w:val="007F2E16"/>
    <w:rsid w:val="007F6BAD"/>
    <w:rsid w:val="00816589"/>
    <w:rsid w:val="008246A7"/>
    <w:rsid w:val="008568B3"/>
    <w:rsid w:val="00870000"/>
    <w:rsid w:val="00872AA8"/>
    <w:rsid w:val="00875BAA"/>
    <w:rsid w:val="00883AC6"/>
    <w:rsid w:val="00896663"/>
    <w:rsid w:val="008B7423"/>
    <w:rsid w:val="008B7E38"/>
    <w:rsid w:val="008C4331"/>
    <w:rsid w:val="008D5A67"/>
    <w:rsid w:val="008E5038"/>
    <w:rsid w:val="00907355"/>
    <w:rsid w:val="009255DF"/>
    <w:rsid w:val="00926CFF"/>
    <w:rsid w:val="00953F64"/>
    <w:rsid w:val="0096498F"/>
    <w:rsid w:val="00993E3C"/>
    <w:rsid w:val="009B6ABB"/>
    <w:rsid w:val="009D0467"/>
    <w:rsid w:val="009E2ABA"/>
    <w:rsid w:val="009F77D5"/>
    <w:rsid w:val="00A02DF9"/>
    <w:rsid w:val="00A05316"/>
    <w:rsid w:val="00A22199"/>
    <w:rsid w:val="00A37D90"/>
    <w:rsid w:val="00A548C6"/>
    <w:rsid w:val="00A63DC4"/>
    <w:rsid w:val="00A832C8"/>
    <w:rsid w:val="00AA721D"/>
    <w:rsid w:val="00AF2C64"/>
    <w:rsid w:val="00B15F1D"/>
    <w:rsid w:val="00B5446C"/>
    <w:rsid w:val="00B90975"/>
    <w:rsid w:val="00B95578"/>
    <w:rsid w:val="00BB1921"/>
    <w:rsid w:val="00BC655E"/>
    <w:rsid w:val="00BE0DF7"/>
    <w:rsid w:val="00BF04ED"/>
    <w:rsid w:val="00BF6F15"/>
    <w:rsid w:val="00C01BA9"/>
    <w:rsid w:val="00C33C78"/>
    <w:rsid w:val="00C450A3"/>
    <w:rsid w:val="00C62D50"/>
    <w:rsid w:val="00CC7B4D"/>
    <w:rsid w:val="00CD22A6"/>
    <w:rsid w:val="00CD75D4"/>
    <w:rsid w:val="00D0145A"/>
    <w:rsid w:val="00D047E7"/>
    <w:rsid w:val="00D101D5"/>
    <w:rsid w:val="00D236E2"/>
    <w:rsid w:val="00D23C15"/>
    <w:rsid w:val="00D26EC4"/>
    <w:rsid w:val="00D806BD"/>
    <w:rsid w:val="00D81900"/>
    <w:rsid w:val="00D85C89"/>
    <w:rsid w:val="00DA6CE8"/>
    <w:rsid w:val="00DC5D9E"/>
    <w:rsid w:val="00DF1C75"/>
    <w:rsid w:val="00DF5BD8"/>
    <w:rsid w:val="00E24A29"/>
    <w:rsid w:val="00E35245"/>
    <w:rsid w:val="00E42B9A"/>
    <w:rsid w:val="00E512A1"/>
    <w:rsid w:val="00E5161B"/>
    <w:rsid w:val="00E571FA"/>
    <w:rsid w:val="00E612B3"/>
    <w:rsid w:val="00E77D33"/>
    <w:rsid w:val="00EA3118"/>
    <w:rsid w:val="00EA648E"/>
    <w:rsid w:val="00EA6CAA"/>
    <w:rsid w:val="00EB4674"/>
    <w:rsid w:val="00EC0467"/>
    <w:rsid w:val="00EC1592"/>
    <w:rsid w:val="00EC2643"/>
    <w:rsid w:val="00ED7E76"/>
    <w:rsid w:val="00EF71B2"/>
    <w:rsid w:val="00F54204"/>
    <w:rsid w:val="00F831AB"/>
    <w:rsid w:val="00F9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040B"/>
  <w15:docId w15:val="{2157FA82-6963-4606-BAEB-2A41380E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6"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manoochehr amanat</dc:creator>
  <cp:keywords/>
  <dc:description/>
  <cp:lastModifiedBy>ASUS</cp:lastModifiedBy>
  <cp:revision>111</cp:revision>
  <dcterms:created xsi:type="dcterms:W3CDTF">2019-01-22T16:43:00Z</dcterms:created>
  <dcterms:modified xsi:type="dcterms:W3CDTF">2021-07-27T12:18:00Z</dcterms:modified>
</cp:coreProperties>
</file>