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6191" w:rsidRDefault="00F46CA0">
      <w:pPr>
        <w:rPr>
          <w:rFonts w:asciiTheme="minorBidi" w:hAnsiTheme="minorBidi"/>
          <w:b/>
          <w:bCs/>
          <w:sz w:val="24"/>
          <w:szCs w:val="24"/>
        </w:rPr>
      </w:pPr>
      <w:r>
        <w:rPr>
          <w:rFonts w:asciiTheme="minorBidi" w:hAnsiTheme="minorBidi"/>
          <w:b/>
          <w:bCs/>
          <w:sz w:val="24"/>
          <w:szCs w:val="24"/>
        </w:rPr>
        <w:t>Gross motor function measure (GMFM)-66</w:t>
      </w:r>
    </w:p>
    <w:p w:rsidR="00F46CA0" w:rsidRDefault="00F46CA0" w:rsidP="00F46CA0">
      <w:pPr>
        <w:spacing w:line="360" w:lineRule="auto"/>
        <w:jc w:val="both"/>
        <w:rPr>
          <w:rFonts w:asciiTheme="minorBidi" w:eastAsia="Times New Roman" w:hAnsiTheme="minorBidi"/>
        </w:rPr>
      </w:pPr>
      <w:r w:rsidRPr="00B40CAE">
        <w:rPr>
          <w:rFonts w:asciiTheme="minorBidi" w:eastAsia="Times New Roman" w:hAnsiTheme="minorBidi"/>
        </w:rPr>
        <w:t>The GMFM-66</w:t>
      </w:r>
      <w:r>
        <w:rPr>
          <w:rFonts w:asciiTheme="minorBidi" w:eastAsia="Times New Roman" w:hAnsiTheme="minorBidi"/>
        </w:rPr>
        <w:t xml:space="preserve"> was found through Rasch analysis </w:t>
      </w:r>
      <w:r w:rsidRPr="00B40CAE">
        <w:rPr>
          <w:rFonts w:asciiTheme="minorBidi" w:eastAsia="Times New Roman" w:hAnsiTheme="minorBidi"/>
        </w:rPr>
        <w:t>to best describe the gross motor fun</w:t>
      </w:r>
      <w:r>
        <w:rPr>
          <w:rFonts w:asciiTheme="minorBidi" w:eastAsia="Times New Roman" w:hAnsiTheme="minorBidi"/>
        </w:rPr>
        <w:t xml:space="preserve">ction of children with CP </w:t>
      </w:r>
      <w:r w:rsidRPr="00B40CAE">
        <w:rPr>
          <w:rFonts w:asciiTheme="minorBidi" w:eastAsia="Times New Roman" w:hAnsiTheme="minorBidi"/>
        </w:rPr>
        <w:t>of varying abilit</w:t>
      </w:r>
      <w:r>
        <w:rPr>
          <w:rFonts w:asciiTheme="minorBidi" w:eastAsia="Times New Roman" w:hAnsiTheme="minorBidi"/>
        </w:rPr>
        <w:t xml:space="preserve">ies and </w:t>
      </w:r>
      <w:r w:rsidRPr="00B40CAE">
        <w:rPr>
          <w:rFonts w:asciiTheme="minorBidi" w:eastAsia="Times New Roman" w:hAnsiTheme="minorBidi"/>
        </w:rPr>
        <w:t xml:space="preserve">is a 66 item </w:t>
      </w:r>
      <w:r>
        <w:rPr>
          <w:rFonts w:asciiTheme="minorBidi" w:eastAsia="Times New Roman" w:hAnsiTheme="minorBidi"/>
        </w:rPr>
        <w:t>subset of the original 88 items</w:t>
      </w:r>
      <w:r w:rsidR="005478DF">
        <w:rPr>
          <w:rFonts w:asciiTheme="minorBidi" w:eastAsia="Times New Roman" w:hAnsiTheme="minorBidi"/>
        </w:rPr>
        <w:t xml:space="preserve"> (</w:t>
      </w:r>
      <w:r>
        <w:rPr>
          <w:rFonts w:asciiTheme="minorBidi" w:eastAsia="Times New Roman" w:hAnsiTheme="minorBidi"/>
        </w:rPr>
        <w:t xml:space="preserve">1). </w:t>
      </w:r>
      <w:r w:rsidRPr="00B40CAE">
        <w:rPr>
          <w:rFonts w:asciiTheme="minorBidi" w:eastAsia="Times New Roman" w:hAnsiTheme="minorBidi"/>
        </w:rPr>
        <w:t>It has a unidimensional scale providing interval scaling rather than the ordinal scaling of the GMFM-88.</w:t>
      </w:r>
      <w:r>
        <w:rPr>
          <w:rFonts w:asciiTheme="minorBidi" w:eastAsia="Times New Roman" w:hAnsiTheme="minorBidi"/>
        </w:rPr>
        <w:t xml:space="preserve"> It was shown that i</w:t>
      </w:r>
      <w:r w:rsidRPr="00CE3A36">
        <w:rPr>
          <w:rFonts w:asciiTheme="minorBidi" w:eastAsia="Times New Roman" w:hAnsiTheme="minorBidi"/>
        </w:rPr>
        <w:t xml:space="preserve">nter-rater reliability </w:t>
      </w:r>
      <w:r>
        <w:rPr>
          <w:rFonts w:asciiTheme="minorBidi" w:eastAsia="Times New Roman" w:hAnsiTheme="minorBidi"/>
        </w:rPr>
        <w:t xml:space="preserve">of Farsi version of this scale </w:t>
      </w:r>
      <w:r w:rsidRPr="00CE3A36">
        <w:rPr>
          <w:rFonts w:asciiTheme="minorBidi" w:eastAsia="Times New Roman" w:hAnsiTheme="minorBidi"/>
        </w:rPr>
        <w:t>for all dimensi</w:t>
      </w:r>
      <w:r>
        <w:rPr>
          <w:rFonts w:asciiTheme="minorBidi" w:eastAsia="Times New Roman" w:hAnsiTheme="minorBidi"/>
        </w:rPr>
        <w:t>ons was 0.97 to 0.99 and the</w:t>
      </w:r>
      <w:r w:rsidRPr="00CE3A36">
        <w:rPr>
          <w:rFonts w:asciiTheme="minorBidi" w:eastAsia="Times New Roman" w:hAnsiTheme="minorBidi"/>
        </w:rPr>
        <w:t xml:space="preserve"> </w:t>
      </w:r>
      <w:r>
        <w:rPr>
          <w:rFonts w:asciiTheme="minorBidi" w:eastAsia="Times New Roman" w:hAnsiTheme="minorBidi"/>
        </w:rPr>
        <w:t xml:space="preserve">intra-rater reliability </w:t>
      </w:r>
      <w:r w:rsidRPr="00CE3A36">
        <w:rPr>
          <w:rFonts w:asciiTheme="minorBidi" w:eastAsia="Times New Roman" w:hAnsiTheme="minorBidi"/>
        </w:rPr>
        <w:t>was 0.99</w:t>
      </w:r>
      <w:r w:rsidR="005478DF">
        <w:rPr>
          <w:rFonts w:asciiTheme="minorBidi" w:eastAsia="Times New Roman" w:hAnsiTheme="minorBidi"/>
        </w:rPr>
        <w:t xml:space="preserve"> (</w:t>
      </w:r>
      <w:r>
        <w:rPr>
          <w:rFonts w:asciiTheme="minorBidi" w:eastAsia="Times New Roman" w:hAnsiTheme="minorBidi"/>
        </w:rPr>
        <w:t xml:space="preserve">2). </w:t>
      </w:r>
      <w:r w:rsidRPr="00450449">
        <w:rPr>
          <w:rFonts w:asciiTheme="minorBidi" w:eastAsia="Times New Roman" w:hAnsiTheme="minorBidi"/>
        </w:rPr>
        <w:t>Cronbach's alpha coe</w:t>
      </w:r>
      <w:r>
        <w:rPr>
          <w:rFonts w:asciiTheme="minorBidi" w:eastAsia="Times New Roman" w:hAnsiTheme="minorBidi"/>
        </w:rPr>
        <w:t>fficient for all dimensions was</w:t>
      </w:r>
      <w:r w:rsidRPr="00450449">
        <w:rPr>
          <w:rFonts w:asciiTheme="minorBidi" w:eastAsia="Times New Roman" w:hAnsiTheme="minorBidi"/>
        </w:rPr>
        <w:t xml:space="preserve"> 0.78</w:t>
      </w:r>
      <w:r>
        <w:rPr>
          <w:rFonts w:asciiTheme="minorBidi" w:eastAsia="Times New Roman" w:hAnsiTheme="minorBidi"/>
        </w:rPr>
        <w:t xml:space="preserve"> to 0.94 (2).</w:t>
      </w:r>
    </w:p>
    <w:p w:rsidR="00F46CA0" w:rsidRDefault="00F46CA0" w:rsidP="00F46CA0">
      <w:pPr>
        <w:spacing w:line="360" w:lineRule="auto"/>
        <w:jc w:val="both"/>
        <w:rPr>
          <w:rFonts w:asciiTheme="minorBidi" w:eastAsia="Times New Roman" w:hAnsiTheme="minorBidi"/>
        </w:rPr>
      </w:pPr>
    </w:p>
    <w:p w:rsidR="00F46CA0" w:rsidRDefault="00F46CA0" w:rsidP="005478DF">
      <w:pPr>
        <w:rPr>
          <w:rFonts w:asciiTheme="minorBidi" w:eastAsia="Times New Roman" w:hAnsiTheme="minorBidi"/>
          <w:b/>
          <w:bCs/>
          <w:sz w:val="24"/>
          <w:szCs w:val="24"/>
        </w:rPr>
      </w:pPr>
      <w:r>
        <w:rPr>
          <w:rFonts w:asciiTheme="minorBidi" w:eastAsia="Times New Roman" w:hAnsiTheme="minorBidi"/>
          <w:b/>
          <w:bCs/>
          <w:sz w:val="24"/>
          <w:szCs w:val="24"/>
        </w:rPr>
        <w:t>Modified ashworth scale (MAS)</w:t>
      </w:r>
    </w:p>
    <w:p w:rsidR="00F46CA0" w:rsidRPr="005478DF" w:rsidRDefault="00F46CA0" w:rsidP="00F46CA0">
      <w:pPr>
        <w:spacing w:line="360" w:lineRule="auto"/>
        <w:jc w:val="both"/>
        <w:rPr>
          <w:rFonts w:asciiTheme="minorBidi" w:eastAsia="Times New Roman" w:hAnsiTheme="minorBidi"/>
        </w:rPr>
      </w:pPr>
      <w:r w:rsidRPr="005478DF">
        <w:rPr>
          <w:rFonts w:asciiTheme="minorBidi" w:eastAsia="Times New Roman" w:hAnsiTheme="minorBidi"/>
        </w:rPr>
        <w:t>The scale was designed to assess the muscle tone:</w:t>
      </w:r>
    </w:p>
    <w:tbl>
      <w:tblPr>
        <w:tblW w:w="9855" w:type="dxa"/>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855"/>
      </w:tblGrid>
      <w:tr w:rsidR="005478DF" w:rsidTr="005478DF">
        <w:trPr>
          <w:trHeight w:val="445"/>
        </w:trPr>
        <w:tc>
          <w:tcPr>
            <w:tcW w:w="9855" w:type="dxa"/>
          </w:tcPr>
          <w:p w:rsidR="005478DF" w:rsidRDefault="005478DF" w:rsidP="005478DF">
            <w:pPr>
              <w:spacing w:line="360" w:lineRule="auto"/>
              <w:ind w:left="138"/>
              <w:jc w:val="both"/>
              <w:rPr>
                <w:rFonts w:asciiTheme="minorBidi" w:eastAsia="Times New Roman" w:hAnsiTheme="minorBidi"/>
                <w:b/>
                <w:bCs/>
              </w:rPr>
            </w:pPr>
            <w:r w:rsidRPr="005478DF">
              <w:rPr>
                <w:rFonts w:asciiTheme="minorBidi" w:eastAsia="Times New Roman" w:hAnsiTheme="minorBidi"/>
                <w:b/>
                <w:bCs/>
              </w:rPr>
              <w:t>0</w:t>
            </w:r>
            <w:r w:rsidRPr="005478DF">
              <w:rPr>
                <w:rFonts w:asciiTheme="minorBidi" w:eastAsia="Times New Roman" w:hAnsiTheme="minorBidi"/>
              </w:rPr>
              <w:t>: No increase in muscle tone (normal)</w:t>
            </w:r>
          </w:p>
        </w:tc>
      </w:tr>
      <w:tr w:rsidR="005478DF" w:rsidTr="005478DF">
        <w:trPr>
          <w:trHeight w:val="813"/>
        </w:trPr>
        <w:tc>
          <w:tcPr>
            <w:tcW w:w="9855" w:type="dxa"/>
          </w:tcPr>
          <w:p w:rsidR="005478DF" w:rsidRPr="005478DF" w:rsidRDefault="005478DF" w:rsidP="005478DF">
            <w:pPr>
              <w:spacing w:line="360" w:lineRule="auto"/>
              <w:ind w:left="138"/>
              <w:jc w:val="both"/>
              <w:rPr>
                <w:rFonts w:asciiTheme="minorBidi" w:eastAsia="Times New Roman" w:hAnsiTheme="minorBidi"/>
                <w:b/>
                <w:bCs/>
              </w:rPr>
            </w:pPr>
            <w:r w:rsidRPr="005478DF">
              <w:rPr>
                <w:rFonts w:asciiTheme="minorBidi" w:eastAsia="Times New Roman" w:hAnsiTheme="minorBidi"/>
                <w:b/>
                <w:bCs/>
              </w:rPr>
              <w:t>1</w:t>
            </w:r>
            <w:r w:rsidRPr="005478DF">
              <w:rPr>
                <w:rFonts w:asciiTheme="minorBidi" w:eastAsia="Times New Roman" w:hAnsiTheme="minorBidi"/>
              </w:rPr>
              <w:t>: Slight increase in muscle tone, manifested by a catch and release or by minimal resistance at the end of the range of motion when the affected part(s) is moved in flexion or extension</w:t>
            </w:r>
          </w:p>
        </w:tc>
      </w:tr>
      <w:tr w:rsidR="005478DF" w:rsidTr="005478DF">
        <w:trPr>
          <w:trHeight w:val="864"/>
        </w:trPr>
        <w:tc>
          <w:tcPr>
            <w:tcW w:w="9855" w:type="dxa"/>
          </w:tcPr>
          <w:p w:rsidR="005478DF" w:rsidRPr="005478DF" w:rsidRDefault="005478DF" w:rsidP="005478DF">
            <w:pPr>
              <w:spacing w:line="360" w:lineRule="auto"/>
              <w:ind w:left="138"/>
              <w:jc w:val="both"/>
              <w:rPr>
                <w:rFonts w:asciiTheme="minorBidi" w:eastAsia="Times New Roman" w:hAnsiTheme="minorBidi"/>
                <w:b/>
                <w:bCs/>
              </w:rPr>
            </w:pPr>
            <w:r w:rsidRPr="005478DF">
              <w:rPr>
                <w:rFonts w:asciiTheme="minorBidi" w:eastAsia="Times New Roman" w:hAnsiTheme="minorBidi"/>
                <w:b/>
                <w:bCs/>
              </w:rPr>
              <w:t>1+ (2)</w:t>
            </w:r>
            <w:r w:rsidRPr="005478DF">
              <w:rPr>
                <w:rFonts w:asciiTheme="minorBidi" w:eastAsia="Times New Roman" w:hAnsiTheme="minorBidi"/>
              </w:rPr>
              <w:t>: Increase in muscle tone, manifested by a catch, followed by minimal resistance throughout the remainder (less than half) of the range of motion</w:t>
            </w:r>
          </w:p>
        </w:tc>
      </w:tr>
      <w:tr w:rsidR="005478DF" w:rsidTr="005478DF">
        <w:trPr>
          <w:trHeight w:val="889"/>
        </w:trPr>
        <w:tc>
          <w:tcPr>
            <w:tcW w:w="9855" w:type="dxa"/>
          </w:tcPr>
          <w:p w:rsidR="005478DF" w:rsidRPr="005478DF" w:rsidRDefault="005478DF" w:rsidP="005478DF">
            <w:pPr>
              <w:spacing w:line="360" w:lineRule="auto"/>
              <w:ind w:left="138"/>
              <w:jc w:val="both"/>
              <w:rPr>
                <w:rFonts w:asciiTheme="minorBidi" w:eastAsia="Times New Roman" w:hAnsiTheme="minorBidi"/>
                <w:b/>
                <w:bCs/>
              </w:rPr>
            </w:pPr>
            <w:r w:rsidRPr="005478DF">
              <w:rPr>
                <w:rFonts w:asciiTheme="minorBidi" w:eastAsia="Times New Roman" w:hAnsiTheme="minorBidi"/>
                <w:b/>
                <w:bCs/>
              </w:rPr>
              <w:t>3</w:t>
            </w:r>
            <w:r w:rsidRPr="005478DF">
              <w:rPr>
                <w:rFonts w:asciiTheme="minorBidi" w:eastAsia="Times New Roman" w:hAnsiTheme="minorBidi"/>
              </w:rPr>
              <w:t>: More marked increase in muscle tone through most of the range of motion, but affected part(s) easily moved</w:t>
            </w:r>
          </w:p>
        </w:tc>
      </w:tr>
      <w:tr w:rsidR="005478DF" w:rsidTr="005478DF">
        <w:trPr>
          <w:trHeight w:val="476"/>
        </w:trPr>
        <w:tc>
          <w:tcPr>
            <w:tcW w:w="9855" w:type="dxa"/>
          </w:tcPr>
          <w:p w:rsidR="005478DF" w:rsidRPr="005478DF" w:rsidRDefault="005478DF" w:rsidP="005478DF">
            <w:pPr>
              <w:spacing w:line="360" w:lineRule="auto"/>
              <w:ind w:left="138"/>
              <w:jc w:val="both"/>
              <w:rPr>
                <w:rFonts w:asciiTheme="minorBidi" w:eastAsia="Times New Roman" w:hAnsiTheme="minorBidi"/>
                <w:b/>
                <w:bCs/>
              </w:rPr>
            </w:pPr>
            <w:r w:rsidRPr="005478DF">
              <w:rPr>
                <w:rFonts w:asciiTheme="minorBidi" w:eastAsia="Times New Roman" w:hAnsiTheme="minorBidi"/>
                <w:b/>
                <w:bCs/>
              </w:rPr>
              <w:t>4</w:t>
            </w:r>
            <w:r w:rsidRPr="005478DF">
              <w:rPr>
                <w:rFonts w:asciiTheme="minorBidi" w:eastAsia="Times New Roman" w:hAnsiTheme="minorBidi"/>
              </w:rPr>
              <w:t>: Considerable increase in muscle tone, passive movement difficult</w:t>
            </w:r>
          </w:p>
        </w:tc>
      </w:tr>
      <w:tr w:rsidR="005478DF" w:rsidTr="005478DF">
        <w:trPr>
          <w:trHeight w:val="1064"/>
        </w:trPr>
        <w:tc>
          <w:tcPr>
            <w:tcW w:w="9855" w:type="dxa"/>
          </w:tcPr>
          <w:p w:rsidR="005478DF" w:rsidRPr="005478DF" w:rsidRDefault="005478DF" w:rsidP="005478DF">
            <w:pPr>
              <w:spacing w:line="360" w:lineRule="auto"/>
              <w:ind w:left="138"/>
              <w:jc w:val="both"/>
              <w:rPr>
                <w:rFonts w:asciiTheme="minorBidi" w:eastAsia="Times New Roman" w:hAnsiTheme="minorBidi"/>
                <w:b/>
                <w:bCs/>
              </w:rPr>
            </w:pPr>
            <w:r w:rsidRPr="005478DF">
              <w:rPr>
                <w:rFonts w:asciiTheme="minorBidi" w:eastAsia="Times New Roman" w:hAnsiTheme="minorBidi"/>
                <w:b/>
                <w:bCs/>
              </w:rPr>
              <w:t>5</w:t>
            </w:r>
            <w:r w:rsidRPr="005478DF">
              <w:rPr>
                <w:rFonts w:asciiTheme="minorBidi" w:eastAsia="Times New Roman" w:hAnsiTheme="minorBidi"/>
              </w:rPr>
              <w:t>: Affected part(s) rigid in flexion or extension</w:t>
            </w:r>
            <w:r>
              <w:rPr>
                <w:rFonts w:asciiTheme="minorBidi" w:eastAsia="Times New Roman" w:hAnsiTheme="minorBidi"/>
                <w:b/>
                <w:bCs/>
                <w:sz w:val="24"/>
                <w:szCs w:val="24"/>
              </w:rPr>
              <w:t xml:space="preserve"> </w:t>
            </w:r>
          </w:p>
        </w:tc>
      </w:tr>
    </w:tbl>
    <w:p w:rsidR="005478DF" w:rsidRDefault="005478DF" w:rsidP="005478DF">
      <w:pPr>
        <w:spacing w:line="360" w:lineRule="auto"/>
        <w:jc w:val="both"/>
        <w:rPr>
          <w:rFonts w:asciiTheme="minorBidi" w:eastAsia="Times New Roman" w:hAnsiTheme="minorBidi"/>
        </w:rPr>
      </w:pPr>
    </w:p>
    <w:p w:rsidR="005478DF" w:rsidRDefault="005478DF" w:rsidP="005478DF">
      <w:pPr>
        <w:spacing w:line="360" w:lineRule="auto"/>
        <w:jc w:val="both"/>
        <w:rPr>
          <w:rFonts w:asciiTheme="minorBidi" w:eastAsia="Times New Roman" w:hAnsiTheme="minorBidi"/>
        </w:rPr>
      </w:pPr>
      <w:r>
        <w:rPr>
          <w:rFonts w:asciiTheme="minorBidi" w:eastAsia="Times New Roman" w:hAnsiTheme="minorBidi"/>
        </w:rPr>
        <w:t>Elbow flexor, wrist flexor, knee extensor, hip adductor, and ankle plantar flexor were examined on the spastic side(s) and the mean MAS score was recorded in each individual. Participants were in sitting position to examine hip adductor and supine position to test other muscles.</w:t>
      </w:r>
    </w:p>
    <w:p w:rsidR="005478DF" w:rsidRPr="005478DF" w:rsidRDefault="005478DF" w:rsidP="005478DF">
      <w:pPr>
        <w:rPr>
          <w:rFonts w:asciiTheme="minorBidi" w:eastAsia="Times New Roman" w:hAnsiTheme="minorBidi"/>
        </w:rPr>
      </w:pPr>
      <w:r>
        <w:rPr>
          <w:rFonts w:asciiTheme="minorBidi" w:eastAsia="Times New Roman" w:hAnsiTheme="minorBidi"/>
        </w:rPr>
        <w:br w:type="page"/>
      </w:r>
      <w:r>
        <w:rPr>
          <w:rFonts w:asciiTheme="minorBidi" w:eastAsia="Times New Roman" w:hAnsiTheme="minorBidi"/>
          <w:b/>
          <w:bCs/>
          <w:sz w:val="24"/>
          <w:szCs w:val="24"/>
        </w:rPr>
        <w:lastRenderedPageBreak/>
        <w:t>The pediatric evaluation of disability inventory (PEDI)</w:t>
      </w:r>
    </w:p>
    <w:p w:rsidR="005478DF" w:rsidRDefault="005478DF" w:rsidP="005478DF">
      <w:pPr>
        <w:spacing w:line="360" w:lineRule="auto"/>
        <w:jc w:val="both"/>
        <w:rPr>
          <w:rFonts w:asciiTheme="minorBidi" w:eastAsia="Times New Roman" w:hAnsiTheme="minorBidi"/>
        </w:rPr>
      </w:pPr>
      <w:r>
        <w:rPr>
          <w:rFonts w:asciiTheme="minorBidi" w:eastAsia="Times New Roman" w:hAnsiTheme="minorBidi"/>
        </w:rPr>
        <w:t>It was developed to assess the performances of children with disabilities in 3 dimensions including self-care, mobility, and social function. The Farsi version of PEDI in children with CP was reported to have high internal consistency (</w:t>
      </w:r>
      <w:r w:rsidRPr="00450449">
        <w:rPr>
          <w:rFonts w:asciiTheme="minorBidi" w:eastAsia="Times New Roman" w:hAnsiTheme="minorBidi"/>
        </w:rPr>
        <w:t>Cronbach's alpha</w:t>
      </w:r>
      <w:r>
        <w:rPr>
          <w:rFonts w:asciiTheme="minorBidi" w:eastAsia="Times New Roman" w:hAnsiTheme="minorBidi"/>
        </w:rPr>
        <w:t>: 0.94 to 0.98). The results of test-retest reliability were excellent in self-care (0.99) and social performance (1); and good in mobility dimension (0.66) (3).</w:t>
      </w:r>
    </w:p>
    <w:p w:rsidR="005478DF" w:rsidRDefault="005478DF" w:rsidP="005478DF">
      <w:pPr>
        <w:spacing w:line="360" w:lineRule="auto"/>
        <w:jc w:val="both"/>
        <w:rPr>
          <w:rFonts w:asciiTheme="minorBidi" w:eastAsia="Times New Roman" w:hAnsiTheme="minorBidi"/>
        </w:rPr>
      </w:pPr>
    </w:p>
    <w:p w:rsidR="005478DF" w:rsidRPr="005478DF" w:rsidRDefault="005478DF" w:rsidP="005478DF">
      <w:pPr>
        <w:rPr>
          <w:rFonts w:asciiTheme="minorBidi" w:eastAsia="Times New Roman" w:hAnsiTheme="minorBidi"/>
        </w:rPr>
      </w:pPr>
      <w:r>
        <w:rPr>
          <w:rFonts w:asciiTheme="minorBidi" w:eastAsia="Times New Roman" w:hAnsiTheme="minorBidi"/>
          <w:b/>
          <w:bCs/>
          <w:sz w:val="24"/>
          <w:szCs w:val="24"/>
        </w:rPr>
        <w:t>Cerebral palsy quality of life (CP-Q</w:t>
      </w:r>
      <w:r w:rsidR="00966B29">
        <w:rPr>
          <w:rFonts w:asciiTheme="minorBidi" w:eastAsia="Times New Roman" w:hAnsiTheme="minorBidi"/>
          <w:b/>
          <w:bCs/>
          <w:sz w:val="24"/>
          <w:szCs w:val="24"/>
        </w:rPr>
        <w:t>o</w:t>
      </w:r>
      <w:r>
        <w:rPr>
          <w:rFonts w:asciiTheme="minorBidi" w:eastAsia="Times New Roman" w:hAnsiTheme="minorBidi"/>
          <w:b/>
          <w:bCs/>
          <w:sz w:val="24"/>
          <w:szCs w:val="24"/>
        </w:rPr>
        <w:t xml:space="preserve">L) </w:t>
      </w:r>
    </w:p>
    <w:p w:rsidR="005478DF" w:rsidRDefault="005478DF" w:rsidP="005478DF">
      <w:pPr>
        <w:spacing w:line="360" w:lineRule="auto"/>
        <w:jc w:val="both"/>
        <w:rPr>
          <w:rFonts w:asciiTheme="minorBidi" w:eastAsia="Times New Roman" w:hAnsiTheme="minorBidi"/>
        </w:rPr>
      </w:pPr>
      <w:r>
        <w:rPr>
          <w:rFonts w:asciiTheme="minorBidi" w:eastAsia="Times New Roman" w:hAnsiTheme="minorBidi"/>
        </w:rPr>
        <w:t>The questionnaire was developed to evaluate the well-being across different domains of life in children an</w:t>
      </w:r>
      <w:r w:rsidR="00966B29">
        <w:rPr>
          <w:rFonts w:asciiTheme="minorBidi" w:eastAsia="Times New Roman" w:hAnsiTheme="minorBidi"/>
        </w:rPr>
        <w:t>d adolescents with CP. The CP-Qo</w:t>
      </w:r>
      <w:bookmarkStart w:id="0" w:name="_GoBack"/>
      <w:bookmarkEnd w:id="0"/>
      <w:r>
        <w:rPr>
          <w:rFonts w:asciiTheme="minorBidi" w:eastAsia="Times New Roman" w:hAnsiTheme="minorBidi"/>
        </w:rPr>
        <w:t>L-child form with primary caregiver proxy report was used in this trial. The domains included family and friends, participation in activities, communication, physical health, special equipment, pain and bother, access to services, and family health. Good internal consistency (</w:t>
      </w:r>
      <w:r w:rsidRPr="00450449">
        <w:rPr>
          <w:rFonts w:asciiTheme="minorBidi" w:eastAsia="Times New Roman" w:hAnsiTheme="minorBidi"/>
        </w:rPr>
        <w:t>Cronbach's alpha</w:t>
      </w:r>
      <w:r>
        <w:rPr>
          <w:rFonts w:asciiTheme="minorBidi" w:eastAsia="Times New Roman" w:hAnsiTheme="minorBidi"/>
        </w:rPr>
        <w:t>: 0.61 to 0.87) and moderate to good test-retest reliability (0.47 to 0.84) in all domains were reprted in the Farsi version of questionnaire (4).</w:t>
      </w:r>
    </w:p>
    <w:p w:rsidR="005478DF" w:rsidRDefault="005478DF">
      <w:pPr>
        <w:rPr>
          <w:rFonts w:asciiTheme="minorBidi" w:eastAsia="Times New Roman" w:hAnsiTheme="minorBidi"/>
        </w:rPr>
      </w:pPr>
      <w:r>
        <w:rPr>
          <w:rFonts w:asciiTheme="minorBidi" w:eastAsia="Times New Roman" w:hAnsiTheme="minorBidi"/>
        </w:rPr>
        <w:br w:type="page"/>
      </w:r>
    </w:p>
    <w:p w:rsidR="005478DF" w:rsidRDefault="005478DF" w:rsidP="005478DF">
      <w:pPr>
        <w:spacing w:line="360" w:lineRule="auto"/>
        <w:jc w:val="both"/>
        <w:rPr>
          <w:rFonts w:asciiTheme="minorBidi" w:eastAsia="Times New Roman" w:hAnsiTheme="minorBidi"/>
          <w:b/>
          <w:bCs/>
        </w:rPr>
      </w:pPr>
      <w:r>
        <w:rPr>
          <w:rFonts w:asciiTheme="minorBidi" w:eastAsia="Times New Roman" w:hAnsiTheme="minorBidi"/>
          <w:b/>
          <w:bCs/>
        </w:rPr>
        <w:lastRenderedPageBreak/>
        <w:t>References</w:t>
      </w:r>
    </w:p>
    <w:p w:rsidR="005478DF" w:rsidRPr="005478DF" w:rsidRDefault="005478DF" w:rsidP="005478DF">
      <w:pPr>
        <w:pStyle w:val="ListParagraph"/>
        <w:numPr>
          <w:ilvl w:val="0"/>
          <w:numId w:val="1"/>
        </w:numPr>
        <w:spacing w:line="360" w:lineRule="auto"/>
        <w:jc w:val="both"/>
        <w:rPr>
          <w:rFonts w:asciiTheme="minorBidi" w:eastAsia="Times New Roman" w:hAnsiTheme="minorBidi"/>
        </w:rPr>
      </w:pPr>
      <w:r w:rsidRPr="005478DF">
        <w:rPr>
          <w:rFonts w:asciiTheme="minorBidi" w:eastAsia="Times New Roman" w:hAnsiTheme="minorBidi"/>
        </w:rPr>
        <w:t>Russell DJ, Rosenbaum PL, Wright M, Avery LM. Gross Motor Function Measure (GMFM-66 &amp; GMFM-88) User's Manual. 2013. London: Mac Keith Press.</w:t>
      </w:r>
    </w:p>
    <w:p w:rsidR="005478DF" w:rsidRPr="005478DF" w:rsidRDefault="005478DF" w:rsidP="005478DF">
      <w:pPr>
        <w:pStyle w:val="ListParagraph"/>
        <w:numPr>
          <w:ilvl w:val="0"/>
          <w:numId w:val="1"/>
        </w:numPr>
        <w:spacing w:line="360" w:lineRule="auto"/>
        <w:jc w:val="both"/>
        <w:rPr>
          <w:rFonts w:asciiTheme="minorBidi" w:eastAsia="Times New Roman" w:hAnsiTheme="minorBidi"/>
        </w:rPr>
      </w:pPr>
      <w:r w:rsidRPr="005478DF">
        <w:rPr>
          <w:rFonts w:asciiTheme="minorBidi" w:eastAsia="Times New Roman" w:hAnsiTheme="minorBidi"/>
        </w:rPr>
        <w:t>Salehi R, Keshavarz A, Negahban H, Saeedi A, Shiravi A, Ghorbani S, Taghizade G, Azizi R. Development of the Persian version of gross motor function measure-88 (GMFM-88): A study of reliability. Trends in Medical Research. 2015;10(3):69-74.</w:t>
      </w:r>
    </w:p>
    <w:p w:rsidR="005478DF" w:rsidRPr="005478DF" w:rsidRDefault="005478DF" w:rsidP="005478DF">
      <w:pPr>
        <w:pStyle w:val="ListParagraph"/>
        <w:numPr>
          <w:ilvl w:val="0"/>
          <w:numId w:val="1"/>
        </w:numPr>
        <w:spacing w:line="360" w:lineRule="auto"/>
        <w:jc w:val="both"/>
        <w:rPr>
          <w:rFonts w:asciiTheme="minorBidi" w:eastAsia="Times New Roman" w:hAnsiTheme="minorBidi"/>
        </w:rPr>
      </w:pPr>
      <w:r w:rsidRPr="005478DF">
        <w:rPr>
          <w:rFonts w:asciiTheme="minorBidi" w:eastAsia="Times New Roman" w:hAnsiTheme="minorBidi"/>
        </w:rPr>
        <w:t>Moradi Abbasabadi M, Akbarfahimi N, Hosseini SA, Rezasoltani P. Reliability of the Persian Version of the pediatric evaluation of disability inventory in 3 to 9-year old children with cerebral palsy. Journal of Mazandaran University of Medical Sciences. 2015;25(130):129-37.</w:t>
      </w:r>
    </w:p>
    <w:p w:rsidR="005478DF" w:rsidRPr="005478DF" w:rsidRDefault="005478DF" w:rsidP="005478DF">
      <w:pPr>
        <w:pStyle w:val="ListParagraph"/>
        <w:numPr>
          <w:ilvl w:val="0"/>
          <w:numId w:val="1"/>
        </w:numPr>
        <w:spacing w:line="360" w:lineRule="auto"/>
        <w:jc w:val="both"/>
        <w:rPr>
          <w:rFonts w:asciiTheme="minorBidi" w:eastAsia="Times New Roman" w:hAnsiTheme="minorBidi"/>
        </w:rPr>
      </w:pPr>
      <w:r w:rsidRPr="005478DF">
        <w:rPr>
          <w:rFonts w:asciiTheme="minorBidi" w:eastAsia="Times New Roman" w:hAnsiTheme="minorBidi"/>
        </w:rPr>
        <w:t>Soleimani F, Vameghi R, Kazemnejad A, Fahimi NA, Nobakht Z, Rassafiani M. Psychometric properties of the persian version of cerebral palsy quality of life questionnaire for children. Iranian journal of child neurology. 2015;9(1):76-86.</w:t>
      </w:r>
    </w:p>
    <w:p w:rsidR="005478DF" w:rsidRPr="005478DF" w:rsidRDefault="005478DF" w:rsidP="005478DF">
      <w:pPr>
        <w:pStyle w:val="ListParagraph"/>
        <w:spacing w:line="360" w:lineRule="auto"/>
        <w:jc w:val="both"/>
        <w:rPr>
          <w:rFonts w:asciiTheme="minorBidi" w:eastAsia="Times New Roman" w:hAnsiTheme="minorBidi"/>
        </w:rPr>
      </w:pPr>
    </w:p>
    <w:p w:rsidR="00F46CA0" w:rsidRPr="00F46CA0" w:rsidRDefault="00F46CA0">
      <w:pPr>
        <w:rPr>
          <w:rFonts w:asciiTheme="minorBidi" w:hAnsiTheme="minorBidi"/>
          <w:sz w:val="24"/>
          <w:szCs w:val="24"/>
        </w:rPr>
      </w:pPr>
    </w:p>
    <w:sectPr w:rsidR="00F46CA0" w:rsidRPr="00F46CA0">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4496D" w:rsidRDefault="0014496D" w:rsidP="005478DF">
      <w:pPr>
        <w:spacing w:after="0" w:line="240" w:lineRule="auto"/>
      </w:pPr>
      <w:r>
        <w:separator/>
      </w:r>
    </w:p>
  </w:endnote>
  <w:endnote w:type="continuationSeparator" w:id="0">
    <w:p w:rsidR="0014496D" w:rsidRDefault="0014496D" w:rsidP="005478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63036136"/>
      <w:docPartObj>
        <w:docPartGallery w:val="Page Numbers (Bottom of Page)"/>
        <w:docPartUnique/>
      </w:docPartObj>
    </w:sdtPr>
    <w:sdtEndPr>
      <w:rPr>
        <w:noProof/>
      </w:rPr>
    </w:sdtEndPr>
    <w:sdtContent>
      <w:p w:rsidR="005478DF" w:rsidRDefault="005478DF">
        <w:pPr>
          <w:pStyle w:val="Footer"/>
          <w:jc w:val="center"/>
        </w:pPr>
        <w:r>
          <w:fldChar w:fldCharType="begin"/>
        </w:r>
        <w:r>
          <w:instrText xml:space="preserve"> PAGE   \* MERGEFORMAT </w:instrText>
        </w:r>
        <w:r>
          <w:fldChar w:fldCharType="separate"/>
        </w:r>
        <w:r w:rsidR="00966B29">
          <w:rPr>
            <w:noProof/>
          </w:rPr>
          <w:t>2</w:t>
        </w:r>
        <w:r>
          <w:rPr>
            <w:noProof/>
          </w:rPr>
          <w:fldChar w:fldCharType="end"/>
        </w:r>
      </w:p>
    </w:sdtContent>
  </w:sdt>
  <w:p w:rsidR="005478DF" w:rsidRDefault="005478DF">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4496D" w:rsidRDefault="0014496D" w:rsidP="005478DF">
      <w:pPr>
        <w:spacing w:after="0" w:line="240" w:lineRule="auto"/>
      </w:pPr>
      <w:r>
        <w:separator/>
      </w:r>
    </w:p>
  </w:footnote>
  <w:footnote w:type="continuationSeparator" w:id="0">
    <w:p w:rsidR="0014496D" w:rsidRDefault="0014496D" w:rsidP="005478D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A27731A"/>
    <w:multiLevelType w:val="hybridMultilevel"/>
    <w:tmpl w:val="3DEE26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9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5879"/>
    <w:rsid w:val="0014496D"/>
    <w:rsid w:val="00341FA4"/>
    <w:rsid w:val="005478DF"/>
    <w:rsid w:val="0061031F"/>
    <w:rsid w:val="00935879"/>
    <w:rsid w:val="00966B29"/>
    <w:rsid w:val="00F46CA0"/>
    <w:rsid w:val="00FE619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CE6565"/>
  <w15:docId w15:val="{D4558623-FA0F-4BB4-92BC-BE0D2F9F53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78DF"/>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78DF"/>
  </w:style>
  <w:style w:type="paragraph" w:styleId="Footer">
    <w:name w:val="footer"/>
    <w:basedOn w:val="Normal"/>
    <w:link w:val="FooterChar"/>
    <w:uiPriority w:val="99"/>
    <w:unhideWhenUsed/>
    <w:rsid w:val="005478DF"/>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78DF"/>
  </w:style>
  <w:style w:type="paragraph" w:styleId="ListParagraph">
    <w:name w:val="List Paragraph"/>
    <w:basedOn w:val="Normal"/>
    <w:uiPriority w:val="34"/>
    <w:qFormat/>
    <w:rsid w:val="005478D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672B92-22A1-4211-9695-5FF74F0861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Pages>
  <Words>526</Words>
  <Characters>2999</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SONY</dc:creator>
  <cp:keywords/>
  <dc:description/>
  <cp:lastModifiedBy>ASUS</cp:lastModifiedBy>
  <cp:revision>3</cp:revision>
  <dcterms:created xsi:type="dcterms:W3CDTF">2021-03-14T15:34:00Z</dcterms:created>
  <dcterms:modified xsi:type="dcterms:W3CDTF">2021-07-15T15:33:00Z</dcterms:modified>
</cp:coreProperties>
</file>