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 w:val="0"/>
        <w:spacing w:before="156" w:beforeLines="50" w:after="156" w:afterLines="50"/>
        <w:rPr>
          <w:rFonts w:hint="default" w:eastAsiaTheme="minorEastAsia"/>
          <w:lang w:val="en-US" w:eastAsia="zh-CN"/>
        </w:rPr>
      </w:pPr>
      <w:r>
        <w:rPr>
          <w:rFonts w:ascii="Times New Roman" w:hAnsi="Times New Roman" w:eastAsia="华文新魏"/>
          <w:b/>
          <w:bCs/>
          <w:color w:val="000000"/>
          <w:kern w:val="0"/>
        </w:rPr>
        <w:t xml:space="preserve">Table </w:t>
      </w:r>
      <w:r>
        <w:rPr>
          <w:rFonts w:hint="eastAsia" w:ascii="Times New Roman" w:hAnsi="Times New Roman" w:eastAsia="华文新魏"/>
          <w:b/>
          <w:bCs/>
          <w:color w:val="000000"/>
          <w:kern w:val="0"/>
          <w:lang w:val="en-US" w:eastAsia="zh-CN"/>
        </w:rPr>
        <w:t xml:space="preserve">S1 </w:t>
      </w:r>
      <w:r>
        <w:rPr>
          <w:rFonts w:hint="eastAsia" w:ascii="Times New Roman" w:hAnsi="Times New Roman" w:eastAsia="华文新魏"/>
          <w:color w:val="000000"/>
          <w:kern w:val="0"/>
          <w:lang w:val="en-US" w:eastAsia="zh-CN"/>
        </w:rPr>
        <w:t>Number of FoG patients identified by MDS-UPDRS2 or MDS-UPDRS3.</w:t>
      </w:r>
    </w:p>
    <w:tbl>
      <w:tblPr>
        <w:tblStyle w:val="2"/>
        <w:tblW w:w="8982" w:type="dxa"/>
        <w:tblInd w:w="-3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1136"/>
        <w:gridCol w:w="1104"/>
        <w:gridCol w:w="996"/>
        <w:gridCol w:w="1591"/>
        <w:gridCol w:w="1628"/>
        <w:gridCol w:w="15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3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Visit Year</w:t>
            </w:r>
          </w:p>
        </w:tc>
        <w:tc>
          <w:tcPr>
            <w:tcW w:w="1136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1" w:firstLineChars="100"/>
              <w:jc w:val="left"/>
              <w:textAlignment w:val="center"/>
              <w:rPr>
                <w:rFonts w:hint="default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(MDS-UPDRS2)</w:t>
            </w:r>
          </w:p>
        </w:tc>
        <w:tc>
          <w:tcPr>
            <w:tcW w:w="1104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1" w:firstLineChars="100"/>
              <w:jc w:val="left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(MDS-UPDRS3)</w:t>
            </w:r>
          </w:p>
        </w:tc>
        <w:tc>
          <w:tcPr>
            <w:tcW w:w="996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1" w:firstLineChars="100"/>
              <w:jc w:val="left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(BOTH)</w:t>
            </w:r>
          </w:p>
        </w:tc>
        <w:tc>
          <w:tcPr>
            <w:tcW w:w="1591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(MDS-UPDRS3 DOSE ON)</w:t>
            </w:r>
          </w:p>
        </w:tc>
        <w:tc>
          <w:tcPr>
            <w:tcW w:w="1628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n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(MDS-UPDRS3 DOSE OFF)</w:t>
            </w:r>
          </w:p>
        </w:tc>
        <w:tc>
          <w:tcPr>
            <w:tcW w:w="1554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1" w:firstLineChars="100"/>
              <w:jc w:val="left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</w:p>
          <w:p>
            <w:pPr>
              <w:widowControl/>
              <w:ind w:firstLine="181" w:firstLineChars="100"/>
              <w:jc w:val="left"/>
              <w:textAlignment w:val="center"/>
              <w:rPr>
                <w:rFonts w:hint="default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(IN TOTAL)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3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1" w:firstLineChars="100"/>
              <w:jc w:val="left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136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104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96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591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628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1554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1" w:firstLineChars="100"/>
              <w:jc w:val="left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1" w:firstLineChars="100"/>
              <w:jc w:val="left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1" w:firstLineChars="100"/>
              <w:jc w:val="left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3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1" w:firstLineChars="100"/>
              <w:jc w:val="left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1628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68</w:t>
            </w:r>
          </w:p>
        </w:tc>
      </w:tr>
    </w:tbl>
    <w:p>
      <w:pPr>
        <w:widowControl/>
        <w:autoSpaceDE w:val="0"/>
        <w:spacing w:before="156" w:beforeLines="50" w:after="156" w:afterLines="50"/>
      </w:pPr>
      <w:r>
        <w:rPr>
          <w:rFonts w:hint="eastAsia" w:ascii="Times New Roman" w:hAnsi="Times New Roman" w:eastAsia="华文新魏"/>
          <w:b/>
          <w:bCs/>
          <w:color w:val="000000"/>
          <w:kern w:val="0"/>
          <w:lang w:val="en-US" w:eastAsia="zh-CN"/>
        </w:rPr>
        <w:t xml:space="preserve">Figure S1 </w:t>
      </w:r>
      <w:r>
        <w:rPr>
          <w:rFonts w:hint="eastAsia" w:ascii="Times New Roman" w:hAnsi="Times New Roman" w:eastAsia="华文新魏"/>
          <w:color w:val="000000"/>
          <w:kern w:val="0"/>
          <w:lang w:val="en-US" w:eastAsia="zh-CN"/>
        </w:rPr>
        <w:t>Number of FoG patients identified by MDS-UPDRS2 or MDS-UPDRS3.</w:t>
      </w:r>
    </w:p>
    <w:p>
      <w:r>
        <w:drawing>
          <wp:inline distT="0" distB="0" distL="114300" distR="114300">
            <wp:extent cx="4829810" cy="3059430"/>
            <wp:effectExtent l="0" t="0" r="889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9810" cy="305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/>
    <w:p>
      <w:pPr>
        <w:rPr>
          <w:rFonts w:hint="default" w:ascii="Times New Roman" w:hAnsi="Times New Roman" w:eastAsia="华文新魏"/>
          <w:color w:val="000000"/>
          <w:kern w:val="0"/>
          <w:sz w:val="24"/>
          <w:szCs w:val="22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val="en-US" w:eastAsia="zh-CN"/>
        </w:rPr>
        <w:t>Table S2</w:t>
      </w:r>
      <w:r>
        <w:rPr>
          <w:rFonts w:hint="eastAsia" w:ascii="Times New Roman" w:hAnsi="Times New Roman" w:cs="Times New Roman" w:eastAsiaTheme="minorEastAsia"/>
          <w:b w:val="0"/>
          <w:bCs w:val="0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lang w:val="en-US" w:eastAsia="zh-CN"/>
        </w:rPr>
        <w:t>Baseline characteristics of TD, PIGD and indeterminate patients.</w:t>
      </w:r>
    </w:p>
    <w:tbl>
      <w:tblPr>
        <w:tblStyle w:val="2"/>
        <w:tblW w:w="13851" w:type="dxa"/>
        <w:tblInd w:w="-14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7"/>
        <w:gridCol w:w="1807"/>
        <w:gridCol w:w="1939"/>
        <w:gridCol w:w="1884"/>
        <w:gridCol w:w="362"/>
        <w:gridCol w:w="977"/>
        <w:gridCol w:w="1181"/>
        <w:gridCol w:w="357"/>
        <w:gridCol w:w="74"/>
        <w:gridCol w:w="1649"/>
        <w:gridCol w:w="7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13" w:hRule="atLeast"/>
        </w:trPr>
        <w:tc>
          <w:tcPr>
            <w:tcW w:w="3547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807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TD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=127)</w:t>
            </w:r>
          </w:p>
        </w:tc>
        <w:tc>
          <w:tcPr>
            <w:tcW w:w="1939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PIGD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=33)</w:t>
            </w:r>
          </w:p>
        </w:tc>
        <w:tc>
          <w:tcPr>
            <w:tcW w:w="1884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Indeterminate</w:t>
            </w:r>
          </w:p>
          <w:p>
            <w:pPr>
              <w:widowControl/>
              <w:jc w:val="center"/>
              <w:textAlignment w:val="center"/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=23)</w:t>
            </w:r>
          </w:p>
        </w:tc>
        <w:tc>
          <w:tcPr>
            <w:tcW w:w="1339" w:type="dxa"/>
            <w:gridSpan w:val="2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jc w:val="center"/>
              <w:textAlignment w:val="center"/>
              <w:rPr>
                <w:rFonts w:hint="eastAsia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  <w:t>P</w:t>
            </w:r>
          </w:p>
          <w:p>
            <w:pPr>
              <w:widowControl/>
              <w:numPr>
                <w:ilvl w:val="0"/>
                <w:numId w:val="0"/>
              </w:numPr>
              <w:jc w:val="center"/>
              <w:textAlignment w:val="center"/>
              <w:rPr>
                <w:rFonts w:hint="default" w:ascii="Times New Roman" w:hAnsi="Times New Roman" w:eastAsia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i w:val="0"/>
                <w:iCs w:val="0"/>
                <w:color w:val="000000"/>
                <w:sz w:val="18"/>
                <w:szCs w:val="18"/>
                <w:lang w:val="en-US" w:eastAsia="zh-CN"/>
              </w:rPr>
              <w:t>(TD VS PIGD)</w:t>
            </w:r>
          </w:p>
        </w:tc>
        <w:tc>
          <w:tcPr>
            <w:tcW w:w="1538" w:type="dxa"/>
            <w:gridSpan w:val="2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Overall</w:t>
            </w:r>
          </w:p>
        </w:tc>
        <w:tc>
          <w:tcPr>
            <w:tcW w:w="1723" w:type="dxa"/>
            <w:gridSpan w:val="2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jc w:val="both"/>
              <w:textAlignment w:val="center"/>
              <w:rPr>
                <w:rFonts w:hint="default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  <w:t>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111" w:hRule="atLeast"/>
        </w:trPr>
        <w:tc>
          <w:tcPr>
            <w:tcW w:w="3547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Demographic information</w:t>
            </w:r>
          </w:p>
        </w:tc>
        <w:tc>
          <w:tcPr>
            <w:tcW w:w="1807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939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84" w:type="dxa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gridSpan w:val="2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38" w:type="dxa"/>
            <w:gridSpan w:val="2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23" w:type="dxa"/>
            <w:gridSpan w:val="2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Age (years)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62.0 [54.7;68.9]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61.4 [53.1;68.5]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59.6 [51.2;69.7]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0.868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0.632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Age at Symptom Onset (years)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60.3 [52.6;66.4]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60.1 [52.0;66.8]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58.6 [49.3;69.2]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0.994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0.958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Duration of Disease since Diagnosis (Months)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4.23 [2.18;7.70]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3.30 [2.30;5.67]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4.80 [2.77;6.17]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0.469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0.319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Gender, female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38 (29.9%)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9 (27.3%)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6 (26.1%)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0.907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0.934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Years of education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16.0 [15.0;18.0]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14.0 [12.0;18.0]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16.0 [14.0;17.5]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0.033*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0.015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Categorical Education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0.002*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&lt;13 yrs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13 (10.2%)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12 (36.4%)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4 (17.4%)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13-23 yrs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113 (89.0%)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20 (60.6%)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19 (82.6%)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&gt;23 yrs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(0.79%)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(3.03%)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Family members with PD (any)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27 (21.3%)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12 (36.4%)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7 (30.4%)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0.168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0.116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105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Disease characteristics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Side most affected at PD onset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0.411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0.331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Left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55 (43.3%)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16 (48.5%)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11 (47.8%)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Right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71 (55.9%)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16 (48.5%)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11 (47.8%)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Symmetric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(0.79%)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(3.03%)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(4.35%)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105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SPECT-DAT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Mean caudate DAT uptake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2.10 (0.51)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1.93 (0.56)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1.90 (0.44)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0.096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0.126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Mean putamen DAT uptake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0.84 [0.69;0.99]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0.74 [0.62;1.00]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0.72 [0.59;0.84]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0.179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0.334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Mean striatum DAT uptake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1.47 (0.36)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1.37 (0.40)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1.35 (0.38)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0.185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0.182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105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CSF biomarkers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Abeta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893 [692;1140]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961 [695;1251]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898 [658;1174]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0.814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0.569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bookmarkStart w:id="0" w:name="OLE_LINK2"/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aSyn</w:t>
            </w:r>
            <w:bookmarkEnd w:id="0"/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1468 [1121;1798]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1459 [1160;1866]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1310 [1049;1539]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0.415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0.918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Tau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161 [138;209]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172 [142;210]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160 [128;182]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0.541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0.795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pTau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13.6 [11.2;17.2]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14.2 [11.4;17.7]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12.9 [10.7;15.5]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0.588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0.711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105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Genetic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Pattern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APOE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0.434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0.520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APOE Genotype - number of e4 alleles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0.31 (0.51)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0.15 (0.36)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0.43 (0.59)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0.100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0.040*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SNCA_rs356181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0.276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0.081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SNCA_rs3910105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0.072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0.079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MAPT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0.113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0.403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105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Motor assessments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Categorical Hoehn &amp; Yahr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0.149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0.236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Stage 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61 (48.0%)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16 (48.5%)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7 (30.4%)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Stage 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66 (52.0%)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16 (48.5%)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16 (69.6%)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Stages 3-5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(3.03%)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Total Rigidity Score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3.00 [2.00;5.00]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4.00 [2.00;5.00]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4.00 [2.50;5.00]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0.694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0.488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Tremor Score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5.00 [3.00;7.00]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0.00 [0.00;1.00]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1.00 [1.00;3.50]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&lt;0.001*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Modified Schwab &amp; England ADL Score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95.0 [90.0;100]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90.0 [90.0;100]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90.0 [90.0;100]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0.471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0.778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MDS-UPDRS Part II Score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4.00 [2.00;7.00]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6.00 [3.00;9.00]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7.00 [4.00;11.5]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0.013*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0.145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MDS-UPDRS Part III Score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20.0 [14.0;24.5]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20.0 [14.0;26.0]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19.0 [11.5;24.5]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0.778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0.798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MDS-UPDRS Total Score 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29.0 [22.0;37.5]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30.0 [21.0;38.0]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31.0 [21.0;41.5]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0.825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0.775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105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Non-motor assessments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MDS-UPDRS Part I Score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5.00 [2.00;7.00]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5.00 [2.00;7.00]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6.00 [3.00;7.00]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0.667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0.835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105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left="178" w:leftChars="85" w:firstLine="0" w:firstLineChars="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MDS-UPDRS Part I Features of Dopamine Dysregulation Syndrome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0.757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0.057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123 (96.9%)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33 (100%)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23 (100%)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4 (3.15%)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MDS-UPDRS Part I Fatigue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0.044*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0.175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72 (56.7%)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15 (45.5%)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8 (34.8%)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48 (37.8%)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15 (45.5%)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10 (43.5%)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6 (4.72%)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(3.03%)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4 (17.4%)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(0.79%)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 (6.06%)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(4.35%)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MDS-UPDRS Part I Anxious Mood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0.822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0.892  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81 (63.8%)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23 (69.7%)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13 (56.5%)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41 (32.3%)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9 (27.3%)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10 (43.5%)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4 (3.15%)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(3.03%)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(0.79%)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MDS-UPDRS Part I Apathy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0.048*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0.385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112 (88.2%)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27 (81.8%)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16 (69.6%)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15 (11.8%)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6 (18.2%)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6 (26.1%)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105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(4.35%)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MDS-UPDRS Part I Depressed Mood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0.066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0.057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100 (78.7%)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20 (60.6%)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17 (73.9%)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25 (19.7%)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11 (33.3%)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4 (17.4%)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 (1.57%)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 (6.06%)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 (8.70%)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MDS-UPDRS Part I Cognitive Impairment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0.203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0.178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97 (76.4%)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24 (72.7%)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15 (65.2%)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29 (22.8%)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7 (21.2%)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8 (34.8%)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(0.79%)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 (6.06%)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0 (0.00%)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MDS-UPDRS Part I Hallucinations and Psychosis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1.000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1.000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121 (95.3%)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32 (97.0%)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22 (95.7%)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306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6 (4.72%)    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(3.03%)    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1 (4.35%)    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7" w:hRule="atLeast"/>
        </w:trPr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MOCA Score (adjusted for education)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28.0 [26.0;29.0]  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28.0 [26.0;28.0] 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28.0 [27.0;29.0]  </w:t>
            </w:r>
          </w:p>
        </w:tc>
        <w:tc>
          <w:tcPr>
            <w:tcW w:w="13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0.889  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0.778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top w:w="10" w:type="dxa"/>
              <w:left w:w="10" w:type="dxa"/>
              <w:right w:w="10" w:type="dxa"/>
            </w:tcMar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tcBorders>
              <w:top w:val="nil"/>
            </w:tcBorders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UPSIT Score</w:t>
            </w:r>
          </w:p>
        </w:tc>
        <w:tc>
          <w:tcPr>
            <w:tcW w:w="1807" w:type="dxa"/>
            <w:tcBorders>
              <w:top w:val="nil"/>
            </w:tcBorders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22.0 [15.0;27.0]  </w:t>
            </w:r>
          </w:p>
        </w:tc>
        <w:tc>
          <w:tcPr>
            <w:tcW w:w="1939" w:type="dxa"/>
            <w:tcBorders>
              <w:top w:val="nil"/>
            </w:tcBorders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23.0 [17.0;31.0]  </w:t>
            </w:r>
          </w:p>
        </w:tc>
        <w:tc>
          <w:tcPr>
            <w:tcW w:w="1884" w:type="dxa"/>
            <w:tcBorders>
              <w:top w:val="nil"/>
            </w:tcBorders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22.0 [15.0;28.5]  </w:t>
            </w:r>
          </w:p>
        </w:tc>
        <w:tc>
          <w:tcPr>
            <w:tcW w:w="1339" w:type="dxa"/>
            <w:gridSpan w:val="2"/>
            <w:tcBorders>
              <w:top w:val="nil"/>
            </w:tcBorders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0.660  </w:t>
            </w:r>
          </w:p>
        </w:tc>
        <w:tc>
          <w:tcPr>
            <w:tcW w:w="1538" w:type="dxa"/>
            <w:gridSpan w:val="2"/>
            <w:tcBorders>
              <w:top w:val="nil"/>
            </w:tcBorders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0.446</w:t>
            </w:r>
          </w:p>
        </w:tc>
        <w:tc>
          <w:tcPr>
            <w:tcW w:w="1723" w:type="dxa"/>
            <w:gridSpan w:val="2"/>
            <w:tcBorders>
              <w:top w:val="nil"/>
            </w:tcBorders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Benton Judgement of Line Orientation Score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14.0 [13.0;15.0]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13.0 [12.0;14.0]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14.0 [13.0;15.0]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0.158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0.084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Epworth Sleepiness Scale Score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5.00 [3.00;7.00]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6.00 [4.00;9.00]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8.00 [4.00;8.50]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0.074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0.098 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REM Sleep Behavior Disorder Questionnaire Score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3.00 [2.00;5.00]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3.00 [2.00;6.00]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3.00 [2.00;5.00]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0.825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0.556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Geriatric Depression Scale Score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1.00 [1.00;2.00]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3.00 [2.00;3.00]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2.00 [1.00;3.50]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0.006*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0.002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*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STAI Total Score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58.0 [50.0;71.5]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65.0 [52.0;78.0]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68.0 [60.0;79.0]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0.119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0.243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2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Any QUIP disorder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720" w:firstLineChars="4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31(24.4%)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720" w:firstLineChars="4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4(12.1%)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720" w:firstLineChars="4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5(21.7%)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0.651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0.412 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SDMT Score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42.0 [34.0;48.0]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42.0 [32.0;46.0]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43.0 [36.0;49.5]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0.653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0.734 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HVLT Immediate/Total Recall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25.0 [21.0;28.5]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25.0 [21.0;28.0]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25.0 [22.5;27.5]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0.955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0.848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HVLT Discrimination Recognition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10.0 [9.00;11.0]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10.0 [9.00;11.0]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10.0 [9.50;11.0]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0.701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0.447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bookmarkStart w:id="1" w:name="OLE_LINK1"/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HVLT Retention</w:t>
            </w:r>
            <w:bookmarkEnd w:id="1"/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0.90 [0.79;1.00]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0.80 [0.67;1.00]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0.83 [0.73;1.00]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0.022*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0.009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*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SCOPA-AUT Total Score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7.00 [5.00;11.0]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6.00 [5.00;12.0]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8.00 [7.50;14.0]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0.181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0.604 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404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Semantic Fluency Total Score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48.0 [42.0;57.5]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49.0 [44.0;62.0]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49.0 [45.0;58.0]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0.638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0.530 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4" w:type="dxa"/>
          <w:trHeight w:val="202" w:hRule="atLeast"/>
        </w:trPr>
        <w:tc>
          <w:tcPr>
            <w:tcW w:w="3547" w:type="dxa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Letter Number Sequencing Score</w:t>
            </w:r>
          </w:p>
        </w:tc>
        <w:tc>
          <w:tcPr>
            <w:tcW w:w="1807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11.0 [9.00;13.0]  </w:t>
            </w:r>
          </w:p>
        </w:tc>
        <w:tc>
          <w:tcPr>
            <w:tcW w:w="1939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11.0 [9.00;13.0]  </w:t>
            </w:r>
          </w:p>
        </w:tc>
        <w:tc>
          <w:tcPr>
            <w:tcW w:w="1884" w:type="dxa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11.0 [9.00;12.0]  </w:t>
            </w:r>
          </w:p>
        </w:tc>
        <w:tc>
          <w:tcPr>
            <w:tcW w:w="1339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0.892  </w:t>
            </w:r>
          </w:p>
        </w:tc>
        <w:tc>
          <w:tcPr>
            <w:tcW w:w="1538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0.914 </w:t>
            </w:r>
          </w:p>
        </w:tc>
        <w:tc>
          <w:tcPr>
            <w:tcW w:w="1723" w:type="dxa"/>
            <w:gridSpan w:val="2"/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547" w:type="dxa"/>
            <w:tcBorders>
              <w:bottom w:val="single" w:color="70AD47" w:sz="8" w:space="0"/>
            </w:tcBorders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ascii="Times New Roman" w:hAnsi="Times New Roman" w:eastAsiaTheme="minorEastAsia" w:cstheme="minorBidi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MCI test score (= 1)</w:t>
            </w:r>
          </w:p>
        </w:tc>
        <w:tc>
          <w:tcPr>
            <w:tcW w:w="1807" w:type="dxa"/>
            <w:tcBorders>
              <w:bottom w:val="single" w:color="70AD47" w:sz="8" w:space="0"/>
            </w:tcBorders>
            <w:vAlign w:val="bottom"/>
          </w:tcPr>
          <w:p>
            <w:pPr>
              <w:widowControl/>
              <w:ind w:firstLine="540" w:firstLineChars="3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0.12 (0.32)     </w:t>
            </w:r>
          </w:p>
        </w:tc>
        <w:tc>
          <w:tcPr>
            <w:tcW w:w="1939" w:type="dxa"/>
            <w:tcBorders>
              <w:bottom w:val="single" w:color="70AD47" w:sz="8" w:space="0"/>
            </w:tcBorders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0.18 (0.39)     </w:t>
            </w:r>
          </w:p>
        </w:tc>
        <w:tc>
          <w:tcPr>
            <w:tcW w:w="1884" w:type="dxa"/>
            <w:tcBorders>
              <w:bottom w:val="single" w:color="70AD47" w:sz="8" w:space="0"/>
            </w:tcBorders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0.13 (0.34)     </w:t>
            </w:r>
          </w:p>
        </w:tc>
        <w:tc>
          <w:tcPr>
            <w:tcW w:w="362" w:type="dxa"/>
            <w:tcBorders>
              <w:bottom w:val="single" w:color="70AD47" w:sz="8" w:space="0"/>
            </w:tcBorders>
            <w:vAlign w:val="bottom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</w:t>
            </w:r>
          </w:p>
        </w:tc>
        <w:tc>
          <w:tcPr>
            <w:tcW w:w="977" w:type="dxa"/>
            <w:tcBorders>
              <w:bottom w:val="single" w:color="70AD47" w:sz="8" w:space="0"/>
            </w:tcBorders>
            <w:vAlign w:val="bottom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0.631</w:t>
            </w:r>
          </w:p>
        </w:tc>
        <w:tc>
          <w:tcPr>
            <w:tcW w:w="1181" w:type="dxa"/>
            <w:tcBorders>
              <w:bottom w:val="single" w:color="70AD47" w:sz="8" w:space="0"/>
            </w:tcBorders>
            <w:vAlign w:val="bottom"/>
          </w:tcPr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0.394</w:t>
            </w:r>
          </w:p>
        </w:tc>
        <w:tc>
          <w:tcPr>
            <w:tcW w:w="431" w:type="dxa"/>
            <w:gridSpan w:val="2"/>
            <w:tcBorders>
              <w:bottom w:val="single" w:color="70AD47" w:sz="8" w:space="0"/>
            </w:tcBorders>
            <w:vAlign w:val="bottom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723" w:type="dxa"/>
            <w:gridSpan w:val="2"/>
            <w:tcBorders>
              <w:bottom w:val="single" w:color="70AD47" w:sz="8" w:space="0"/>
            </w:tcBorders>
            <w:vAlign w:val="bottom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</w:tbl>
    <w:p/>
    <w:p>
      <w:pPr>
        <w:rPr>
          <w:rFonts w:hint="eastAsia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val="en-US" w:eastAsia="zh-CN"/>
        </w:rPr>
        <w:br w:type="page"/>
      </w:r>
    </w:p>
    <w:p>
      <w:pPr>
        <w:rPr>
          <w:rFonts w:hint="eastAsia" w:ascii="Times New Roman" w:hAnsi="Times New Roman" w:cs="Times New Roman" w:eastAsiaTheme="minorEastAsia"/>
          <w:b w:val="0"/>
          <w:bCs w:val="0"/>
          <w:color w:val="auto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lang w:val="en-US" w:eastAsia="zh-CN"/>
        </w:rPr>
        <w:t>Table S3</w:t>
      </w: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lang w:val="en-US" w:eastAsia="zh-CN"/>
        </w:rPr>
        <w:t xml:space="preserve"> Correlations</w:t>
      </w: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highlight w:val="none"/>
          <w:lang w:val="en-US" w:eastAsia="zh-CN"/>
        </w:rPr>
        <w:t xml:space="preserve"> of PIGD score,</w:t>
      </w: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lang w:val="en-US" w:eastAsia="zh-CN"/>
        </w:rPr>
        <w:t xml:space="preserve"> SDMT score, fatigue and CSF Abeta in PD patients.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31"/>
        <w:gridCol w:w="1495"/>
        <w:gridCol w:w="1393"/>
        <w:gridCol w:w="1348"/>
        <w:gridCol w:w="13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40" w:type="pct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81" w:type="pct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77" w:type="pct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PIGD score</w:t>
            </w:r>
          </w:p>
        </w:tc>
        <w:tc>
          <w:tcPr>
            <w:tcW w:w="817" w:type="pct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Fatigue</w:t>
            </w:r>
          </w:p>
        </w:tc>
        <w:tc>
          <w:tcPr>
            <w:tcW w:w="791" w:type="pct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SDMT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score</w:t>
            </w:r>
          </w:p>
        </w:tc>
        <w:tc>
          <w:tcPr>
            <w:tcW w:w="791" w:type="pct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beta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40" w:type="pct"/>
            <w:vMerge w:val="restart"/>
            <w:tcBorders>
              <w:top w:val="single" w:color="70AD47" w:sz="8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PIGD score</w:t>
            </w:r>
          </w:p>
        </w:tc>
        <w:tc>
          <w:tcPr>
            <w:tcW w:w="781" w:type="pct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Pearson's r</w:t>
            </w:r>
          </w:p>
        </w:tc>
        <w:tc>
          <w:tcPr>
            <w:tcW w:w="877" w:type="pct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817" w:type="pct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0.221</w:t>
            </w:r>
          </w:p>
        </w:tc>
        <w:tc>
          <w:tcPr>
            <w:tcW w:w="791" w:type="pct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-0.201</w:t>
            </w:r>
          </w:p>
        </w:tc>
        <w:tc>
          <w:tcPr>
            <w:tcW w:w="791" w:type="pct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0.041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40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0.003*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0.006*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0.580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4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Fatigue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Pearson's 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0.221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0.019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0.077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40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0.003*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0.795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4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SDMT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score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Pearson's 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-0.201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0.019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40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0.006*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0.795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4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beta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Pearson's r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-0.018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0.077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0.016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40" w:type="pct"/>
            <w:vMerge w:val="continue"/>
            <w:tcBorders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</w:p>
        </w:tc>
        <w:tc>
          <w:tcPr>
            <w:tcW w:w="877" w:type="pct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0.808</w:t>
            </w:r>
          </w:p>
        </w:tc>
        <w:tc>
          <w:tcPr>
            <w:tcW w:w="817" w:type="pct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0.299</w:t>
            </w:r>
          </w:p>
        </w:tc>
        <w:tc>
          <w:tcPr>
            <w:tcW w:w="791" w:type="pct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0.826</w:t>
            </w:r>
          </w:p>
        </w:tc>
        <w:tc>
          <w:tcPr>
            <w:tcW w:w="791" w:type="pct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</w:tr>
    </w:tbl>
    <w:p>
      <w:pPr>
        <w:widowControl/>
        <w:jc w:val="left"/>
        <w:textAlignment w:val="center"/>
        <w:rPr>
          <w:rFonts w:hint="default" w:ascii="Times New Roman" w:hAnsi="Times New Roman" w:eastAsia="华文新魏"/>
          <w:color w:val="000000"/>
          <w:kern w:val="0"/>
          <w:sz w:val="24"/>
          <w:szCs w:val="22"/>
          <w:lang w:val="en-US" w:eastAsia="zh-CN"/>
        </w:rPr>
      </w:pPr>
    </w:p>
    <w:p/>
    <w:p/>
    <w:p>
      <w:pPr>
        <w:rPr>
          <w:rFonts w:hint="eastAsia" w:ascii="Times New Roman" w:hAnsi="Times New Roman" w:cs="Times New Roman" w:eastAsiaTheme="minorEastAsia"/>
          <w:b w:val="0"/>
          <w:bCs w:val="0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val="en-US" w:eastAsia="zh-CN"/>
        </w:rPr>
        <w:t xml:space="preserve">Table S4 </w:t>
      </w:r>
      <w:r>
        <w:rPr>
          <w:rFonts w:hint="eastAsia" w:ascii="Times New Roman" w:hAnsi="Times New Roman" w:cs="Times New Roman" w:eastAsiaTheme="minorEastAsia"/>
          <w:b w:val="0"/>
          <w:bCs w:val="0"/>
          <w:lang w:val="en-US" w:eastAsia="zh-CN"/>
        </w:rPr>
        <w:t>Percentage of missing data</w:t>
      </w:r>
    </w:p>
    <w:tbl>
      <w:tblPr>
        <w:tblStyle w:val="2"/>
        <w:tblW w:w="874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5"/>
        <w:gridCol w:w="883"/>
        <w:gridCol w:w="1000"/>
        <w:gridCol w:w="18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83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Total Number</w:t>
            </w:r>
          </w:p>
        </w:tc>
        <w:tc>
          <w:tcPr>
            <w:tcW w:w="1000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Missing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Number</w:t>
            </w:r>
          </w:p>
        </w:tc>
        <w:tc>
          <w:tcPr>
            <w:tcW w:w="1853" w:type="dxa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Percentage（%)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bjlot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fampd_new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hvlt_immediaterecall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hvlt_discrimination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hvlt_retention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lns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scopa_gi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scopa_sex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scopa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VLTANIM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VLTVEG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VLTFRUIT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sft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SDMTOTAL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abeta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asyn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tau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ptau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mean_caudate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mean_putamen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mean_striatum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APOE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SNCA_rs356181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SNCA_rs3910105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APOE_e4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5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MAPT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853" w:type="dxa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9.1</w:t>
            </w: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center"/>
      </w:pPr>
    </w:p>
    <w:p>
      <w:pPr>
        <w:rPr>
          <w:rFonts w:hint="eastAsia" w:ascii="Times New Roman" w:hAnsi="Times New Roman" w:eastAsia="华文新魏"/>
          <w:color w:val="auto"/>
          <w:kern w:val="0"/>
          <w:lang w:val="en-US" w:eastAsia="zh-CN" w:bidi="ar"/>
        </w:rPr>
      </w:pPr>
      <w:r>
        <w:rPr>
          <w:rFonts w:ascii="Times New Roman" w:hAnsi="Times New Roman" w:eastAsia="华文新魏"/>
          <w:b/>
          <w:bCs/>
          <w:color w:val="auto"/>
          <w:kern w:val="0"/>
        </w:rPr>
        <w:t>Table</w:t>
      </w:r>
      <w:r>
        <w:rPr>
          <w:rFonts w:hint="eastAsia" w:ascii="Times New Roman" w:hAnsi="Times New Roman" w:eastAsia="华文新魏"/>
          <w:b/>
          <w:bCs/>
          <w:color w:val="auto"/>
          <w:kern w:val="0"/>
        </w:rPr>
        <w:t xml:space="preserve"> </w:t>
      </w:r>
      <w:r>
        <w:rPr>
          <w:rFonts w:hint="eastAsia" w:ascii="Times New Roman" w:hAnsi="Times New Roman" w:eastAsia="华文新魏"/>
          <w:b/>
          <w:bCs/>
          <w:color w:val="auto"/>
          <w:kern w:val="0"/>
          <w:lang w:val="en-US" w:eastAsia="zh-CN"/>
        </w:rPr>
        <w:t>S5</w:t>
      </w:r>
      <w:r>
        <w:rPr>
          <w:rFonts w:hint="eastAsia" w:ascii="Times New Roman" w:hAnsi="Times New Roman" w:eastAsia="华文新魏"/>
          <w:b/>
          <w:bCs/>
          <w:color w:val="auto"/>
          <w:kern w:val="0"/>
        </w:rPr>
        <w:t xml:space="preserve"> </w:t>
      </w:r>
      <w:r>
        <w:rPr>
          <w:rFonts w:hint="eastAsia" w:ascii="Times New Roman" w:hAnsi="Times New Roman" w:eastAsia="华文新魏"/>
          <w:color w:val="auto"/>
          <w:kern w:val="0"/>
          <w:lang w:val="en-US" w:eastAsia="zh-CN" w:bidi="ar"/>
        </w:rPr>
        <w:t>Multivariate analysis adjusted for age, disease duration and gender for the onset of FoG during the 5-year follow up.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56"/>
        <w:gridCol w:w="804"/>
        <w:gridCol w:w="804"/>
        <w:gridCol w:w="804"/>
        <w:gridCol w:w="14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676" w:type="pct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</w:rPr>
              <w:t>Index</w:t>
            </w:r>
          </w:p>
        </w:tc>
        <w:tc>
          <w:tcPr>
            <w:tcW w:w="483" w:type="pct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OR</w:t>
            </w:r>
          </w:p>
        </w:tc>
        <w:tc>
          <w:tcPr>
            <w:tcW w:w="965" w:type="pct"/>
            <w:gridSpan w:val="2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95% CI:</w:t>
            </w:r>
          </w:p>
        </w:tc>
        <w:tc>
          <w:tcPr>
            <w:tcW w:w="876" w:type="pct"/>
            <w:tcBorders>
              <w:top w:val="single" w:color="70AD47" w:sz="8" w:space="0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bidi="ar"/>
              </w:rPr>
              <w:t>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2676" w:type="pct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PIGD score</w:t>
            </w:r>
          </w:p>
        </w:tc>
        <w:tc>
          <w:tcPr>
            <w:tcW w:w="483" w:type="pct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1.83</w:t>
            </w:r>
          </w:p>
        </w:tc>
        <w:tc>
          <w:tcPr>
            <w:tcW w:w="483" w:type="pct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1.38</w:t>
            </w:r>
          </w:p>
        </w:tc>
        <w:tc>
          <w:tcPr>
            <w:tcW w:w="483" w:type="pct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2.48</w:t>
            </w:r>
          </w:p>
        </w:tc>
        <w:tc>
          <w:tcPr>
            <w:tcW w:w="876" w:type="pct"/>
            <w:tcBorders>
              <w:top w:val="single" w:color="70AD47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&lt;0.001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MDS-UPDRS Part I Fatigue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1.99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1.2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3.4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0.0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SDMT score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0.9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0.9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0.98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0.00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Abeta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1.00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1.00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1.00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0.0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08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*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Age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0.99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0.95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Theme="minorEastAsia"/>
                <w:color w:val="auto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1.0</w:t>
            </w: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520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Duration of Disease since Diagnosis (Months)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0.9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Theme="minorEastAsia"/>
                <w:color w:val="auto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0.9</w:t>
            </w: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528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676" w:type="pct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1.50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68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Theme="minorEastAsia"/>
                <w:color w:val="auto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3.3</w:t>
            </w: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876" w:type="pct"/>
            <w:tcBorders>
              <w:top w:val="nil"/>
              <w:left w:val="nil"/>
              <w:bottom w:val="single" w:color="70AD47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320</w:t>
            </w:r>
          </w:p>
        </w:tc>
      </w:tr>
    </w:tbl>
    <w:p>
      <w:pPr>
        <w:widowControl/>
        <w:jc w:val="left"/>
        <w:textAlignment w:val="center"/>
        <w:rPr>
          <w:rFonts w:ascii="Times New Roman" w:hAnsi="Times New Roman" w:eastAsia="华文新魏"/>
          <w:color w:val="auto"/>
          <w:kern w:val="0"/>
          <w:sz w:val="16"/>
          <w:szCs w:val="15"/>
        </w:rPr>
      </w:pPr>
      <w:r>
        <w:rPr>
          <w:rFonts w:hint="eastAsia" w:ascii="Times New Roman" w:hAnsi="Times New Roman"/>
          <w:color w:val="auto"/>
          <w:kern w:val="0"/>
          <w:sz w:val="18"/>
          <w:szCs w:val="18"/>
          <w:lang w:bidi="ar"/>
        </w:rPr>
        <w:t>Abeta: OR 0.999, 95% CI: 0.998-1.000.</w:t>
      </w:r>
      <w:r>
        <w:rPr>
          <w:rFonts w:hint="eastAsia" w:ascii="Times New Roman" w:hAnsi="Times New Roman"/>
          <w:color w:val="auto"/>
          <w:kern w:val="0"/>
          <w:sz w:val="18"/>
          <w:szCs w:val="18"/>
          <w:lang w:bidi="ar"/>
        </w:rPr>
        <w:br w:type="textWrapping"/>
      </w:r>
      <w:r>
        <w:rPr>
          <w:rFonts w:hint="eastAsia" w:ascii="Times New Roman" w:hAnsi="Times New Roman" w:eastAsia="华文新魏"/>
          <w:i/>
          <w:iCs/>
          <w:color w:val="auto"/>
          <w:kern w:val="0"/>
          <w:sz w:val="16"/>
          <w:szCs w:val="15"/>
        </w:rPr>
        <w:t>R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  <w:vertAlign w:val="superscript"/>
        </w:rPr>
        <w:t xml:space="preserve">2 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</w:rPr>
        <w:t>= 0.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  <w:lang w:val="en-US" w:eastAsia="zh-CN"/>
        </w:rPr>
        <w:t>234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</w:rPr>
        <w:t xml:space="preserve"> (Cox &amp; Snell), </w:t>
      </w:r>
      <w:r>
        <w:rPr>
          <w:rFonts w:hint="eastAsia" w:ascii="Times New Roman" w:hAnsi="Times New Roman" w:eastAsia="华文新魏"/>
          <w:i/>
          <w:iCs/>
          <w:color w:val="auto"/>
          <w:kern w:val="0"/>
          <w:sz w:val="16"/>
          <w:szCs w:val="15"/>
        </w:rPr>
        <w:t>R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  <w:vertAlign w:val="superscript"/>
        </w:rPr>
        <w:t xml:space="preserve">2 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</w:rPr>
        <w:t>=0.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  <w:lang w:val="en-US" w:eastAsia="zh-CN"/>
        </w:rPr>
        <w:t>320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</w:rPr>
        <w:t xml:space="preserve"> (Nagelkerke). Homer and Lemeshow Goodness of fitχ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  <w:vertAlign w:val="superscript"/>
        </w:rPr>
        <w:t>2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  <w:vertAlign w:val="subscript"/>
        </w:rPr>
        <w:t xml:space="preserve"> 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</w:rPr>
        <w:t xml:space="preserve">= 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  <w:lang w:val="en-US" w:eastAsia="zh-CN"/>
        </w:rPr>
        <w:t>5.812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</w:rPr>
        <w:t xml:space="preserve">, </w:t>
      </w:r>
      <w:r>
        <w:rPr>
          <w:rFonts w:hint="eastAsia" w:ascii="Times New Roman" w:hAnsi="Times New Roman" w:eastAsia="华文新魏"/>
          <w:i/>
          <w:iCs/>
          <w:color w:val="auto"/>
          <w:kern w:val="0"/>
          <w:sz w:val="16"/>
          <w:szCs w:val="15"/>
        </w:rPr>
        <w:t>p=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</w:rPr>
        <w:t>0.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  <w:lang w:val="en-US" w:eastAsia="zh-CN"/>
        </w:rPr>
        <w:t>668</w:t>
      </w:r>
      <w:r>
        <w:rPr>
          <w:rFonts w:hint="eastAsia" w:ascii="Times New Roman" w:hAnsi="Times New Roman" w:eastAsia="华文新魏"/>
          <w:color w:val="auto"/>
          <w:kern w:val="0"/>
          <w:sz w:val="16"/>
          <w:szCs w:val="15"/>
        </w:rPr>
        <w:t>.</w:t>
      </w:r>
    </w:p>
    <w:p>
      <w:pPr>
        <w:keepNext w:val="0"/>
        <w:keepLines w:val="0"/>
        <w:widowControl/>
        <w:suppressLineNumbers w:val="0"/>
        <w:jc w:val="both"/>
        <w:textAlignment w:val="center"/>
        <w:rPr>
          <w:color w:val="auto"/>
        </w:rPr>
      </w:pPr>
    </w:p>
    <w:p>
      <w:pPr>
        <w:rPr>
          <w:rFonts w:ascii="Times New Roman" w:hAnsi="Times New Roman" w:eastAsia="华文新魏"/>
          <w:color w:val="auto"/>
          <w:kern w:val="0"/>
        </w:rPr>
      </w:pPr>
      <w:r>
        <w:rPr>
          <w:rFonts w:hint="eastAsia" w:ascii="Times New Roman" w:hAnsi="Times New Roman" w:eastAsia="华文新魏"/>
          <w:b/>
          <w:bCs/>
          <w:color w:val="auto"/>
          <w:kern w:val="0"/>
          <w:lang w:val="en-US" w:eastAsia="zh-CN"/>
        </w:rPr>
        <w:t xml:space="preserve">Figure S2 </w:t>
      </w:r>
      <w:r>
        <w:rPr>
          <w:rFonts w:ascii="Times New Roman" w:hAnsi="Times New Roman" w:eastAsia="华文新魏"/>
          <w:color w:val="auto"/>
          <w:kern w:val="0"/>
        </w:rPr>
        <w:t xml:space="preserve">ROC curve analysis for the onset of FoG </w:t>
      </w:r>
      <w:r>
        <w:rPr>
          <w:rFonts w:hint="eastAsia" w:ascii="Times New Roman" w:hAnsi="Times New Roman" w:eastAsia="华文新魏"/>
          <w:color w:val="auto"/>
          <w:kern w:val="0"/>
        </w:rPr>
        <w:t>during the 5-year follow up</w:t>
      </w:r>
      <w:r>
        <w:rPr>
          <w:rFonts w:hint="eastAsia" w:ascii="Times New Roman" w:hAnsi="Times New Roman" w:eastAsia="华文新魏"/>
          <w:color w:val="auto"/>
          <w:kern w:val="0"/>
          <w:lang w:val="en-US" w:eastAsia="zh-CN"/>
        </w:rPr>
        <w:t xml:space="preserve"> adjusted for age, gender and disease duration</w:t>
      </w:r>
      <w:r>
        <w:rPr>
          <w:rFonts w:ascii="Times New Roman" w:hAnsi="Times New Roman" w:eastAsia="华文新魏"/>
          <w:color w:val="auto"/>
          <w:kern w:val="0"/>
        </w:rPr>
        <w:t xml:space="preserve">. </w:t>
      </w:r>
    </w:p>
    <w:p>
      <w:pPr>
        <w:rPr>
          <w:rFonts w:hint="default" w:ascii="Times New Roman" w:hAnsi="Times New Roman" w:eastAsia="华文新魏"/>
          <w:color w:val="auto"/>
          <w:kern w:val="0"/>
          <w:lang w:val="en-US" w:eastAsia="zh-CN"/>
        </w:rPr>
      </w:pPr>
      <w:r>
        <w:rPr>
          <w:rFonts w:hint="default" w:ascii="Times New Roman" w:hAnsi="Times New Roman" w:eastAsia="华文新魏"/>
          <w:color w:val="auto"/>
          <w:kern w:val="0"/>
          <w:sz w:val="24"/>
          <w:szCs w:val="22"/>
          <w:lang w:val="en-US" w:eastAsia="zh-CN"/>
        </w:rPr>
        <w:drawing>
          <wp:inline distT="0" distB="0" distL="114300" distR="114300">
            <wp:extent cx="4223385" cy="3388995"/>
            <wp:effectExtent l="0" t="0" r="5715" b="1905"/>
            <wp:docPr id="2" name="图片 2" descr="cfd69e59e93800c93f4dbfe0a3791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fd69e59e93800c93f4dbfe0a37915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23385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54FB6A"/>
    <w:multiLevelType w:val="singleLevel"/>
    <w:tmpl w:val="8454FB6A"/>
    <w:lvl w:ilvl="0" w:tentative="0">
      <w:start w:val="16"/>
      <w:numFmt w:val="upperLetter"/>
      <w:suff w:val="space"/>
      <w:lvlText w:val="%1."/>
      <w:lvlJc w:val="left"/>
      <w:rPr>
        <w:rFonts w:hint="default"/>
        <w:i/>
        <w:i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0YTgwY2Q4YTBlY2E3ZWIwMjQ1MzE4MGFlYmZkNjkifQ=="/>
  </w:docVars>
  <w:rsids>
    <w:rsidRoot w:val="6E2A4435"/>
    <w:rsid w:val="10C03F85"/>
    <w:rsid w:val="29B64E27"/>
    <w:rsid w:val="3206544A"/>
    <w:rsid w:val="39BF2E7B"/>
    <w:rsid w:val="65414F90"/>
    <w:rsid w:val="6E2A4435"/>
    <w:rsid w:val="733C7B41"/>
    <w:rsid w:val="7A90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1133</Words>
  <Characters>5809</Characters>
  <Lines>0</Lines>
  <Paragraphs>0</Paragraphs>
  <TotalTime>24</TotalTime>
  <ScaleCrop>false</ScaleCrop>
  <LinksUpToDate>false</LinksUpToDate>
  <CharactersWithSpaces>9112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2021-12-26T08:48:00Z</dcterms:created>
  <dc:creator>Frances, Wang</dc:creator>
  <cp:lastModifiedBy>Frances, Wang</cp:lastModifiedBy>
  <dcterms:modified xsi:type="dcterms:W3CDTF">2022-05-09T16:09:10Z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8806C3688D2844F5BAFC8502AEE861B0</vt:lpwstr>
  </property>
</Properties>
</file>