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37056" w14:textId="77777777" w:rsidR="00162AE1" w:rsidRPr="00933826" w:rsidRDefault="00162AE1" w:rsidP="00162AE1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Supplementary table 7: Comparison of treatment groups among subjects who were between 18 and 55 at the time of treatment initiation and had a relapse in the previous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390"/>
        <w:gridCol w:w="1765"/>
        <w:gridCol w:w="1791"/>
        <w:gridCol w:w="1606"/>
      </w:tblGrid>
      <w:tr w:rsidR="00162AE1" w:rsidRPr="00933826" w14:paraId="43346318" w14:textId="77777777" w:rsidTr="008F13AA">
        <w:tc>
          <w:tcPr>
            <w:tcW w:w="2304" w:type="dxa"/>
            <w:shd w:val="clear" w:color="auto" w:fill="auto"/>
          </w:tcPr>
          <w:p w14:paraId="28C97D58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Outcome</w:t>
            </w:r>
          </w:p>
        </w:tc>
        <w:tc>
          <w:tcPr>
            <w:tcW w:w="1390" w:type="dxa"/>
            <w:shd w:val="clear" w:color="auto" w:fill="auto"/>
          </w:tcPr>
          <w:p w14:paraId="54DA543C" w14:textId="77777777" w:rsidR="00162AE1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Unadjusted</w:t>
            </w:r>
          </w:p>
          <w:p w14:paraId="56DE75A3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765" w:type="dxa"/>
            <w:shd w:val="clear" w:color="auto" w:fill="auto"/>
          </w:tcPr>
          <w:p w14:paraId="2F53C103" w14:textId="77777777" w:rsidR="00162AE1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Regression adjustment for all confounding factors</w:t>
            </w:r>
          </w:p>
          <w:p w14:paraId="3B205EEA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791" w:type="dxa"/>
            <w:shd w:val="clear" w:color="auto" w:fill="auto"/>
          </w:tcPr>
          <w:p w14:paraId="63E61424" w14:textId="77777777" w:rsidR="00162AE1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Regression adjustment for propensity score</w:t>
            </w:r>
          </w:p>
          <w:p w14:paraId="0C9FA0D1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606" w:type="dxa"/>
            <w:shd w:val="clear" w:color="auto" w:fill="auto"/>
          </w:tcPr>
          <w:p w14:paraId="62E92F71" w14:textId="77777777" w:rsidR="00162AE1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Inverse probability weighting</w:t>
            </w:r>
          </w:p>
          <w:p w14:paraId="26CDE0C3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</w:tr>
      <w:tr w:rsidR="00162AE1" w:rsidRPr="00933826" w14:paraId="14A97B1D" w14:textId="77777777" w:rsidTr="008F13AA">
        <w:tc>
          <w:tcPr>
            <w:tcW w:w="2304" w:type="dxa"/>
            <w:shd w:val="clear" w:color="auto" w:fill="auto"/>
          </w:tcPr>
          <w:p w14:paraId="4BCA69C8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Clinical relapse(s)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F49043C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 (1.28, 10.81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1F343ED3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6.93 (1.76, 27.20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325AF401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5.07 (1.55, 16.52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664F8B8D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.03 (1.10, 32.76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162AE1" w:rsidRPr="00933826" w14:paraId="48FF75F8" w14:textId="77777777" w:rsidTr="008F13AA">
        <w:tc>
          <w:tcPr>
            <w:tcW w:w="2304" w:type="dxa"/>
            <w:shd w:val="clear" w:color="auto" w:fill="auto"/>
          </w:tcPr>
          <w:p w14:paraId="44E4C7AC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 xml:space="preserve">New lesion on brain MRI 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17CCFDE9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3.03 (1.11, 8.29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2E3580C1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4.48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(1.4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0, 14.37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55992CED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 (1.38, 13.12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705D5E81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4.04 (1.12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22.57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162AE1" w:rsidRPr="00933826" w14:paraId="737C154E" w14:textId="77777777" w:rsidTr="008F13AA">
        <w:tc>
          <w:tcPr>
            <w:tcW w:w="2304" w:type="dxa"/>
            <w:shd w:val="clear" w:color="auto" w:fill="auto"/>
          </w:tcPr>
          <w:p w14:paraId="0B5D95B8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New GD+ lesion on brain MRI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0457988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1.03 (0.33, 3.18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24540709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1.63 (0.47, 5.71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469EB9B0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1.63 (0.47, 5.69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2467179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1.33 (0.27, 8.1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2)</w:t>
            </w:r>
          </w:p>
        </w:tc>
      </w:tr>
      <w:tr w:rsidR="00162AE1" w:rsidRPr="00933826" w14:paraId="30882589" w14:textId="77777777" w:rsidTr="008F13AA">
        <w:tc>
          <w:tcPr>
            <w:tcW w:w="2304" w:type="dxa"/>
            <w:shd w:val="clear" w:color="auto" w:fill="auto"/>
          </w:tcPr>
          <w:p w14:paraId="7A4A562E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New T2 lesion on brain MRI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10D924DD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3.19 (1.09, 9.36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7567F964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5.61 (1.56, 20.21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30D759A1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5.15 (1.53, 17.37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0964955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4.64 (1.20, 31.81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162AE1" w:rsidRPr="00933826" w14:paraId="01D99187" w14:textId="77777777" w:rsidTr="008F13AA">
        <w:tc>
          <w:tcPr>
            <w:tcW w:w="2304" w:type="dxa"/>
            <w:shd w:val="clear" w:color="auto" w:fill="auto"/>
          </w:tcPr>
          <w:p w14:paraId="7214C292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Sustained disease progression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1795806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1.20 (0.36, 4.07)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473290C2" w14:textId="77777777" w:rsidR="00162AE1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0.82 (0.14, 4.80)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79E82D40" w14:textId="77777777" w:rsidR="00162AE1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0.92 (0.23, 3.65)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B1CFB17" w14:textId="77777777" w:rsidR="00162AE1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1.00 (0.22, 5.71)</w:t>
            </w:r>
          </w:p>
        </w:tc>
      </w:tr>
      <w:tr w:rsidR="00162AE1" w:rsidRPr="00933826" w14:paraId="21CE97E9" w14:textId="77777777" w:rsidTr="008F13AA">
        <w:tc>
          <w:tcPr>
            <w:tcW w:w="2304" w:type="dxa"/>
            <w:shd w:val="clear" w:color="auto" w:fill="auto"/>
          </w:tcPr>
          <w:p w14:paraId="12B0984D" w14:textId="77777777" w:rsidR="00162AE1" w:rsidRPr="00933826" w:rsidRDefault="00162AE1" w:rsidP="008F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relapse, 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>MRI lesion or sustained progression (NEDA)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1BCF748E" w14:textId="77777777" w:rsidR="00162AE1" w:rsidRPr="00933826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0.31 (0.14, 0.71)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00B72702" w14:textId="77777777" w:rsidR="00162AE1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0.24 (0.09, 0.65)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0D602CC7" w14:textId="77777777" w:rsidR="00162AE1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0.29 (0.12, 0.74)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3DA298D9" w14:textId="77777777" w:rsidR="00162AE1" w:rsidRDefault="00162AE1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0.28 (0.08, 0.79)</w:t>
            </w:r>
          </w:p>
        </w:tc>
      </w:tr>
    </w:tbl>
    <w:p w14:paraId="0DA683FD" w14:textId="77777777" w:rsidR="00162AE1" w:rsidRPr="00933826" w:rsidRDefault="00162AE1" w:rsidP="00162AE1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Legend:</w:t>
      </w:r>
      <w:r w:rsidRPr="009772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OR: Odds Ratio; CI: Confidence Interval; GD+: Gadolinium-enhancing; NEDA: No Evidence of Disease Activity. </w:t>
      </w:r>
      <w:r w:rsidRPr="00933826">
        <w:rPr>
          <w:rFonts w:ascii="Times New Roman" w:hAnsi="Times New Roman"/>
          <w:sz w:val="20"/>
          <w:szCs w:val="20"/>
        </w:rPr>
        <w:t xml:space="preserve"> Estimated OR and 95% CI provided for each of the outcomes for each of the four approaches</w:t>
      </w:r>
      <w:r>
        <w:rPr>
          <w:rFonts w:ascii="Times New Roman" w:hAnsi="Times New Roman"/>
          <w:sz w:val="20"/>
          <w:szCs w:val="20"/>
        </w:rPr>
        <w:t>.</w:t>
      </w:r>
      <w:r w:rsidRPr="007F0C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OR&gt;1 indicates higher probability of having an event on </w:t>
      </w:r>
      <w:r w:rsidRPr="00322294">
        <w:rPr>
          <w:rFonts w:ascii="Times New Roman" w:hAnsi="Times New Roman"/>
          <w:sz w:val="20"/>
          <w:szCs w:val="20"/>
        </w:rPr>
        <w:t>IFNb-1a</w:t>
      </w:r>
      <w:r w:rsidRPr="009338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compared to </w:t>
      </w:r>
      <w:r w:rsidRPr="00322294">
        <w:rPr>
          <w:rFonts w:ascii="Times New Roman" w:hAnsi="Times New Roman"/>
          <w:sz w:val="20"/>
          <w:szCs w:val="20"/>
        </w:rPr>
        <w:t>DMF</w:t>
      </w:r>
      <w:r>
        <w:rPr>
          <w:rFonts w:ascii="Times New Roman" w:hAnsi="Times New Roman"/>
          <w:sz w:val="20"/>
          <w:szCs w:val="20"/>
        </w:rPr>
        <w:t>.</w:t>
      </w:r>
    </w:p>
    <w:p w14:paraId="4822392E" w14:textId="77777777" w:rsidR="00162AE1" w:rsidRDefault="00162AE1" w:rsidP="00162AE1">
      <w:pPr>
        <w:rPr>
          <w:rFonts w:ascii="Times New Roman" w:hAnsi="Times New Roman"/>
          <w:sz w:val="20"/>
          <w:szCs w:val="20"/>
        </w:rPr>
      </w:pPr>
    </w:p>
    <w:p w14:paraId="33BCBEC0" w14:textId="77777777" w:rsidR="00F30150" w:rsidRDefault="003E06CC"/>
    <w:sectPr w:rsidR="00F30150" w:rsidSect="00AD1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E1"/>
    <w:rsid w:val="00162AE1"/>
    <w:rsid w:val="003E06CC"/>
    <w:rsid w:val="00AD18CA"/>
    <w:rsid w:val="00C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E30B8"/>
  <w15:chartTrackingRefBased/>
  <w15:docId w15:val="{F3865275-A0CC-C941-ADC7-B82A4DCA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AE1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Sattarnezhad Oskouei, Neda</dc:creator>
  <cp:keywords/>
  <dc:description/>
  <cp:lastModifiedBy>Sattarnezhad Oskouei, Neda</cp:lastModifiedBy>
  <cp:revision>2</cp:revision>
  <dcterms:created xsi:type="dcterms:W3CDTF">2021-06-21T06:28:00Z</dcterms:created>
  <dcterms:modified xsi:type="dcterms:W3CDTF">2021-06-21T06:28:00Z</dcterms:modified>
</cp:coreProperties>
</file>