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cs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 xml:space="preserve">Supporting materials </w:t>
      </w:r>
    </w:p>
    <w:p>
      <w:pPr>
        <w:jc w:val="left"/>
      </w:pPr>
      <w:r>
        <w:drawing>
          <wp:inline distT="0" distB="0" distL="114300" distR="114300">
            <wp:extent cx="5271770" cy="4486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10404" b="26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 w:eastAsiaTheme="minorEastAsia"/>
          <w:b/>
          <w:bCs/>
          <w:color w:val="auto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color w:val="auto"/>
          <w:lang w:eastAsia="zh-CN"/>
        </w:rPr>
        <w:t xml:space="preserve">The association between </w:t>
      </w:r>
      <w:r>
        <w:rPr>
          <w:rFonts w:hint="default" w:ascii="Times New Roman" w:hAnsi="Times New Roman" w:cs="Times New Roman" w:eastAsiaTheme="minorEastAsia"/>
          <w:b/>
          <w:bCs/>
          <w:color w:val="auto"/>
          <w:lang w:val="en-US" w:eastAsia="zh-CN"/>
        </w:rPr>
        <w:t>SHR and 90-day functional outcome</w:t>
      </w:r>
      <w:r>
        <w:rPr>
          <w:rFonts w:hint="default" w:ascii="Times New Roman" w:hAnsi="Times New Roman" w:cs="Times New Roman" w:eastAsiaTheme="minorEastAsia"/>
          <w:b/>
          <w:bCs/>
          <w:color w:val="auto"/>
          <w:lang w:eastAsia="zh-CN"/>
        </w:rPr>
        <w:t>.</w:t>
      </w:r>
    </w:p>
    <w:p>
      <w:pPr>
        <w:rPr>
          <w:rFonts w:hint="default" w:ascii="Times New Roman" w:hAnsi="Times New Roman" w:cs="Times New Roman" w:eastAsiaTheme="minorEastAsia"/>
          <w:b/>
          <w:bCs/>
          <w:color w:val="auto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lang w:eastAsia="zh-CN"/>
        </w:rPr>
        <w:br w:type="page"/>
      </w:r>
    </w:p>
    <w:p>
      <w:pPr>
        <w:jc w:val="left"/>
        <w:rPr>
          <w:rFonts w:hint="default" w:ascii="Times New Roman" w:hAnsi="Times New Roman" w:cs="Times New Roman" w:eastAsiaTheme="minorEastAsia"/>
          <w:b/>
          <w:bCs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lang w:val="en-US" w:eastAsia="zh-CN"/>
        </w:rPr>
        <w:t>Table S1 A</w:t>
      </w:r>
      <w:r>
        <w:rPr>
          <w:rFonts w:hint="default" w:ascii="Times New Roman" w:hAnsi="Times New Roman" w:cs="Times New Roman"/>
          <w:b/>
          <w:bCs/>
          <w:color w:val="auto"/>
          <w:sz w:val="21"/>
          <w:lang w:val="en-US" w:eastAsia="zh-CN"/>
        </w:rPr>
        <w:t xml:space="preserve">ssociation between SHR values and </w:t>
      </w:r>
      <w:r>
        <w:rPr>
          <w:rFonts w:hint="eastAsia" w:ascii="Times New Roman" w:hAnsi="Times New Roman" w:cs="Times New Roman"/>
          <w:b/>
          <w:bCs/>
          <w:color w:val="auto"/>
          <w:sz w:val="21"/>
          <w:lang w:val="en-US" w:eastAsia="zh-CN"/>
        </w:rPr>
        <w:t>functional</w:t>
      </w:r>
      <w:r>
        <w:rPr>
          <w:rFonts w:hint="default" w:ascii="Times New Roman" w:hAnsi="Times New Roman" w:cs="Times New Roman"/>
          <w:b/>
          <w:bCs/>
          <w:color w:val="auto"/>
          <w:sz w:val="21"/>
          <w:lang w:val="en-US" w:eastAsia="zh-CN"/>
        </w:rPr>
        <w:t xml:space="preserve"> outcome in different sub</w:t>
      </w:r>
      <w:r>
        <w:rPr>
          <w:rFonts w:hint="eastAsia" w:ascii="Times New Roman" w:hAnsi="Times New Roman" w:cs="Times New Roman"/>
          <w:b/>
          <w:bCs/>
          <w:color w:val="auto"/>
          <w:sz w:val="21"/>
          <w:lang w:val="en-US" w:eastAsia="zh-CN"/>
        </w:rPr>
        <w:t>groups.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08"/>
        <w:gridCol w:w="1377"/>
        <w:gridCol w:w="3008"/>
        <w:gridCol w:w="435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Subgroup</w:t>
            </w:r>
          </w:p>
        </w:tc>
        <w:tc>
          <w:tcPr>
            <w:tcW w:w="49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07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R (95% CI)</w:t>
            </w:r>
          </w:p>
        </w:tc>
        <w:tc>
          <w:tcPr>
            <w:tcW w:w="1550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 value for interaction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ge, years</w:t>
            </w:r>
          </w:p>
        </w:tc>
        <w:tc>
          <w:tcPr>
            <w:tcW w:w="49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0.885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&lt;65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866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4.93 (2.21, 10.96)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&gt;=65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389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5.41 (1.99, 14.70)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ender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0.714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336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4.29 (1.63, 11.33)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919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5.41 (2.53, 11.55)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Education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Illiteracy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25.50 (0.27, 2369.87)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Primary or Junior high school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666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11.02 (4.56, 26.64)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High school or Junior college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413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2.40 (0.88, 6.55)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Bachelor degree or above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139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4.71 (0.45, 49.25)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moke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0.245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727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6.25 (2.98, 13.10)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528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2.84 (0.93, 8.64)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rink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0.905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878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4.94 (2.51, 9.72)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5.39 (1.50, 19.36)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Hypertension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0.927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452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4.77 (1.60, 14.21)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803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5.07 (2.47, 10.40)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Diabetes mellitus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0.212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990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6.55 (2.98, 14.41)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265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3.06 (1.28, 7.30)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troke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0.621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999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4.80 (2.35, 9.78)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256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6.84 (2.01, 23.29)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Atrial fibrillation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0.353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1216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4.65 (2.52, 8.55)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22.26 (0.73, 680.14)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Intravenous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hrombolytic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herapy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0.051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1027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3.74 (1.88, 7.43)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228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15.52 (4.25, 56.72)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TOAST classification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0.449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Large artery atherosclerosis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413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5.08 (1.91, 13.52)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Cardiogenic embolism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473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2.27 (0.78, 6.64)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Small vessel occlusion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94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12.53 (1.98, 79.22)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Other determined etiology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119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16.08 (0.92, 279.56)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Undetermined cause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156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4.71 (0.75, 29.76)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WBC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0.523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Low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418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6.98 (2.09, 23.30)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Middle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410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6.91 (2.25, 21.20)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High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427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3.49 (1.51, 8.04)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Neutrophil count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0.315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Low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417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10.55 (3.07, 36.19)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Middle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418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4.13 (1.18, 14.50)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High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420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3.41 (1.55, 7.50)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ymphocyte count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0.443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Low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401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3.06 (1.28, 7.32)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Middle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423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6.47 (1.85, 22.65)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High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431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6.87 (2.38, 19.87)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1"/>
                <w:lang w:val="en-US" w:eastAsia="zh-CN"/>
              </w:rPr>
              <w:t>Baseline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GCS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0.748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Low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4.41 (0.87, 22.41)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High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1152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3.31 (1.68, 6.56)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aseline NIHSS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0.753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Low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7.33 (0.88, 61.05)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Middle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502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2.88 (1.01, 8.19)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1888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8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High</w:t>
            </w:r>
          </w:p>
        </w:tc>
        <w:tc>
          <w:tcPr>
            <w:tcW w:w="49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453</w:t>
            </w:r>
          </w:p>
        </w:tc>
        <w:tc>
          <w:tcPr>
            <w:tcW w:w="107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3.65 (1.56, 8.54)</w:t>
            </w:r>
          </w:p>
        </w:tc>
        <w:tc>
          <w:tcPr>
            <w:tcW w:w="1550" w:type="pct"/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Note:</w:t>
      </w:r>
      <w:bookmarkStart w:id="0" w:name="OLE_LINK10"/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*</w:t>
      </w:r>
      <w:bookmarkEnd w:id="0"/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P &lt; 0.05.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Abbreviations: 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SHR, stress hyperglycemia ratio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; TOAST, Trial of ORG 10172 in Acute Stroke Treatment; WBC ,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White cells counts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GCS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, Glasgow Coma Scale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NIHSS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>, National Institutes of Health Stroke Scale;</w:t>
      </w:r>
      <w:r>
        <w:rPr>
          <w:rFonts w:hint="eastAsia" w:ascii="Times New Roman" w:hAnsi="Times New Roman" w:eastAsia="宋体" w:cs="Times New Roman"/>
          <w:color w:val="auto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18"/>
          <w:szCs w:val="21"/>
          <w:lang w:val="en-US" w:eastAsia="zh-CN"/>
        </w:rPr>
        <w:t>OR, Odds Ratio; CI, confidence interval.</w:t>
      </w:r>
      <w:bookmarkStart w:id="1" w:name="_GoBack"/>
      <w:bookmarkEnd w:id="1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OTc3Mjg0YzdhYzcxYjJlNzg3MTQ1MTkwODNiYjAifQ=="/>
  </w:docVars>
  <w:rsids>
    <w:rsidRoot w:val="54953DC4"/>
    <w:rsid w:val="010B22B0"/>
    <w:rsid w:val="07A116BA"/>
    <w:rsid w:val="10D517BE"/>
    <w:rsid w:val="2B5E10AB"/>
    <w:rsid w:val="2E187C37"/>
    <w:rsid w:val="39B16AE3"/>
    <w:rsid w:val="3D8B09AC"/>
    <w:rsid w:val="418A53E9"/>
    <w:rsid w:val="418F1B67"/>
    <w:rsid w:val="49437E06"/>
    <w:rsid w:val="4FD7239B"/>
    <w:rsid w:val="54953DC4"/>
    <w:rsid w:val="5B3064C0"/>
    <w:rsid w:val="62AE7A5E"/>
    <w:rsid w:val="67A965E4"/>
    <w:rsid w:val="6F3C482C"/>
    <w:rsid w:val="7007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2023-12-28T06:33:00Z</dcterms:created>
  <dc:creator>允未</dc:creator>
  <cp:lastModifiedBy>xsy</cp:lastModifiedBy>
  <dcterms:modified xsi:type="dcterms:W3CDTF">2024-01-10T07:35:52Z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A9521187D7EF4DB3A58370981C3C9FCD_11</vt:lpwstr>
  </property>
</Properties>
</file>