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9D0E" w14:textId="4D8ABBC7" w:rsidR="00941F81" w:rsidRPr="00941F81" w:rsidRDefault="00941F8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</w:t>
      </w:r>
      <w:r w:rsidRPr="00941F81">
        <w:rPr>
          <w:rFonts w:asciiTheme="majorBidi" w:hAnsiTheme="majorBidi" w:cstheme="majorBidi"/>
          <w:sz w:val="24"/>
          <w:szCs w:val="24"/>
        </w:rPr>
        <w:t>able 1: Search strategy applied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941F81" w:rsidRPr="00941F81" w14:paraId="645FEE5B" w14:textId="77777777" w:rsidTr="00941F81">
        <w:tc>
          <w:tcPr>
            <w:tcW w:w="2515" w:type="dxa"/>
          </w:tcPr>
          <w:p w14:paraId="1482A28C" w14:textId="0C5C5E93" w:rsidR="00941F81" w:rsidRPr="00941F81" w:rsidRDefault="00941F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1F81">
              <w:rPr>
                <w:rFonts w:asciiTheme="majorBidi" w:hAnsiTheme="majorBidi" w:cstheme="majorBidi"/>
                <w:sz w:val="24"/>
                <w:szCs w:val="24"/>
              </w:rPr>
              <w:t xml:space="preserve">Search strategy </w:t>
            </w:r>
          </w:p>
        </w:tc>
        <w:tc>
          <w:tcPr>
            <w:tcW w:w="6835" w:type="dxa"/>
          </w:tcPr>
          <w:p w14:paraId="33D64C5E" w14:textId="77777777" w:rsidR="00941F81" w:rsidRPr="00941F81" w:rsidRDefault="00941F81" w:rsidP="00941F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1F8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((Thrombolytic therapy) OR (IVT) OR (</w:t>
            </w:r>
            <w:proofErr w:type="spellStart"/>
            <w:r w:rsidRPr="00941F8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rtpa</w:t>
            </w:r>
            <w:proofErr w:type="spellEnd"/>
            <w:r w:rsidRPr="00941F8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 OR (recombinant tissue plasminogen activator) OR (</w:t>
            </w:r>
            <w:proofErr w:type="spellStart"/>
            <w:r w:rsidRPr="00941F8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Actilysis</w:t>
            </w:r>
            <w:proofErr w:type="spellEnd"/>
            <w:r w:rsidRPr="00941F8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 OR (Fibrinolytic Therapy) OR (Fibrinolysis) OR (intravenous thrombolysis) OR (</w:t>
            </w:r>
            <w:r w:rsidRPr="00941F81">
              <w:rPr>
                <w:rFonts w:asciiTheme="majorBidi" w:hAnsiTheme="majorBidi" w:cstheme="majorBidi"/>
                <w:sz w:val="24"/>
                <w:szCs w:val="24"/>
              </w:rPr>
              <w:t>tissue plasminogen activator) OR (</w:t>
            </w:r>
            <w:proofErr w:type="spellStart"/>
            <w:r w:rsidRPr="00941F81">
              <w:rPr>
                <w:rFonts w:asciiTheme="majorBidi" w:hAnsiTheme="majorBidi" w:cstheme="majorBidi"/>
                <w:sz w:val="24"/>
                <w:szCs w:val="24"/>
              </w:rPr>
              <w:t>Activase</w:t>
            </w:r>
            <w:proofErr w:type="spellEnd"/>
            <w:r w:rsidRPr="00941F81">
              <w:rPr>
                <w:rFonts w:asciiTheme="majorBidi" w:hAnsiTheme="majorBidi" w:cstheme="majorBidi"/>
                <w:sz w:val="24"/>
                <w:szCs w:val="24"/>
              </w:rPr>
              <w:t>) OR (Clot Buster) OR (Streptokinase) OR (tPA) OR (PLAT) OR (Retaplase) OR (</w:t>
            </w:r>
            <w:r w:rsidRPr="00941F8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Alteplase) OR (Tenecteplase) OR (Urokinase) OR (</w:t>
            </w:r>
            <w:proofErr w:type="spellStart"/>
            <w:r w:rsidRPr="00941F8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Anistreplase</w:t>
            </w:r>
            <w:proofErr w:type="spellEnd"/>
            <w:r w:rsidRPr="00941F8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) OR (</w:t>
            </w:r>
            <w:r w:rsidRPr="00941F81">
              <w:rPr>
                <w:rFonts w:asciiTheme="majorBidi" w:hAnsiTheme="majorBidi" w:cstheme="majorBidi"/>
                <w:sz w:val="24"/>
                <w:szCs w:val="24"/>
              </w:rPr>
              <w:t>urinary-type plasminogen activator) OR (</w:t>
            </w:r>
            <w:proofErr w:type="spellStart"/>
            <w:r w:rsidRPr="00941F81">
              <w:rPr>
                <w:rFonts w:asciiTheme="majorBidi" w:hAnsiTheme="majorBidi" w:cstheme="majorBidi"/>
                <w:sz w:val="24"/>
                <w:szCs w:val="24"/>
              </w:rPr>
              <w:t>uPA</w:t>
            </w:r>
            <w:proofErr w:type="spellEnd"/>
            <w:r w:rsidRPr="00941F81">
              <w:rPr>
                <w:rFonts w:asciiTheme="majorBidi" w:hAnsiTheme="majorBidi" w:cstheme="majorBidi"/>
                <w:sz w:val="24"/>
                <w:szCs w:val="24"/>
              </w:rPr>
              <w:t>) OR (</w:t>
            </w:r>
            <w:proofErr w:type="spellStart"/>
            <w:r w:rsidRPr="00941F8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Anistreplase</w:t>
            </w:r>
            <w:proofErr w:type="spellEnd"/>
            <w:r w:rsidRPr="00941F8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) OR (fibrinolysin) OR (IV thrombolysis)) AND ((minor) AND ((stroke) OR (ischemic stroke) OR (</w:t>
            </w:r>
            <w:r w:rsidRPr="00941F81">
              <w:rPr>
                <w:rFonts w:asciiTheme="majorBidi" w:hAnsiTheme="majorBidi" w:cstheme="majorBidi"/>
                <w:sz w:val="24"/>
                <w:szCs w:val="24"/>
              </w:rPr>
              <w:t xml:space="preserve">Cerebrovascular Accident) OR (Cerebrovascular Apoplexy) OR (Brain Vascular Accident) OR (CVA) OR (CVAs) OR (Cerebrovascular </w:t>
            </w:r>
            <w:r w:rsidRPr="00941F81">
              <w:rPr>
                <w:rStyle w:val="highlight"/>
                <w:rFonts w:asciiTheme="majorBidi" w:hAnsiTheme="majorBidi" w:cstheme="majorBidi"/>
                <w:sz w:val="24"/>
                <w:szCs w:val="24"/>
              </w:rPr>
              <w:t xml:space="preserve">Stroke) OR (brain attack) OR (cerebral infarction) </w:t>
            </w:r>
            <w:r w:rsidRPr="00941F81">
              <w:rPr>
                <w:rStyle w:val="css-1w804bk"/>
                <w:rFonts w:asciiTheme="majorBidi" w:hAnsiTheme="majorBidi" w:cstheme="majorBidi"/>
                <w:sz w:val="24"/>
                <w:szCs w:val="24"/>
              </w:rPr>
              <w:t>OR (brain infarction)</w:t>
            </w:r>
            <w:r w:rsidRPr="00941F81">
              <w:rPr>
                <w:rStyle w:val="highlight"/>
                <w:rFonts w:asciiTheme="majorBidi" w:hAnsiTheme="majorBidi" w:cstheme="majorBidi"/>
                <w:sz w:val="24"/>
                <w:szCs w:val="24"/>
              </w:rPr>
              <w:t>))</w:t>
            </w:r>
          </w:p>
          <w:p w14:paraId="72A2A34E" w14:textId="77777777" w:rsidR="00941F81" w:rsidRPr="00941F81" w:rsidRDefault="00941F8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74F5C23" w14:textId="77777777" w:rsidR="00941F81" w:rsidRDefault="00941F81">
      <w:pPr>
        <w:rPr>
          <w:rFonts w:asciiTheme="majorBidi" w:hAnsiTheme="majorBidi" w:cstheme="majorBidi"/>
          <w:sz w:val="24"/>
          <w:szCs w:val="24"/>
        </w:rPr>
      </w:pPr>
    </w:p>
    <w:p w14:paraId="65A550CC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3CB042BB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0B9DBC3F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15754B2E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4152D170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352AA369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066D0947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2B8ED6CF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4C8D2DB4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4A861E61" w14:textId="77777777" w:rsidR="00C32797" w:rsidRDefault="00C32797">
      <w:pPr>
        <w:rPr>
          <w:rFonts w:asciiTheme="majorBidi" w:hAnsiTheme="majorBidi" w:cstheme="majorBidi"/>
          <w:sz w:val="24"/>
          <w:szCs w:val="24"/>
        </w:rPr>
      </w:pPr>
    </w:p>
    <w:p w14:paraId="70787B4B" w14:textId="6CE40A3B" w:rsidR="00C32797" w:rsidRDefault="00C3279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Supplementary table 2: Quality assessment of the included cohort studies using New Castle Ottawa Scale</w:t>
      </w:r>
    </w:p>
    <w:tbl>
      <w:tblPr>
        <w:tblStyle w:val="TableGrid"/>
        <w:tblW w:w="153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537"/>
        <w:gridCol w:w="1253"/>
        <w:gridCol w:w="1980"/>
        <w:gridCol w:w="963"/>
        <w:gridCol w:w="1105"/>
        <w:gridCol w:w="1892"/>
        <w:gridCol w:w="1620"/>
        <w:gridCol w:w="1800"/>
        <w:gridCol w:w="1170"/>
        <w:gridCol w:w="810"/>
        <w:gridCol w:w="1170"/>
      </w:tblGrid>
      <w:tr w:rsidR="00C32797" w:rsidRPr="00C32797" w14:paraId="58597B53" w14:textId="77777777" w:rsidTr="00C32797">
        <w:trPr>
          <w:trHeight w:val="315"/>
        </w:trPr>
        <w:tc>
          <w:tcPr>
            <w:tcW w:w="1537" w:type="dxa"/>
            <w:vMerge w:val="restart"/>
            <w:noWrap/>
            <w:hideMark/>
          </w:tcPr>
          <w:p w14:paraId="324CBA4E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Study ID</w:t>
            </w:r>
          </w:p>
        </w:tc>
        <w:tc>
          <w:tcPr>
            <w:tcW w:w="5301" w:type="dxa"/>
            <w:gridSpan w:val="4"/>
            <w:noWrap/>
            <w:hideMark/>
          </w:tcPr>
          <w:p w14:paraId="44940B8A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Selection</w:t>
            </w:r>
          </w:p>
        </w:tc>
        <w:tc>
          <w:tcPr>
            <w:tcW w:w="1892" w:type="dxa"/>
            <w:noWrap/>
            <w:hideMark/>
          </w:tcPr>
          <w:p w14:paraId="7E8B98BA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Comparability</w:t>
            </w:r>
          </w:p>
        </w:tc>
        <w:tc>
          <w:tcPr>
            <w:tcW w:w="4590" w:type="dxa"/>
            <w:gridSpan w:val="3"/>
            <w:noWrap/>
            <w:hideMark/>
          </w:tcPr>
          <w:p w14:paraId="4C6F117A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Exposure</w:t>
            </w:r>
          </w:p>
        </w:tc>
        <w:tc>
          <w:tcPr>
            <w:tcW w:w="810" w:type="dxa"/>
            <w:vMerge w:val="restart"/>
            <w:noWrap/>
            <w:hideMark/>
          </w:tcPr>
          <w:p w14:paraId="5BFE638A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Score</w:t>
            </w:r>
          </w:p>
        </w:tc>
        <w:tc>
          <w:tcPr>
            <w:tcW w:w="1170" w:type="dxa"/>
            <w:vMerge w:val="restart"/>
            <w:noWrap/>
            <w:hideMark/>
          </w:tcPr>
          <w:p w14:paraId="493D866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Quality</w:t>
            </w:r>
          </w:p>
        </w:tc>
      </w:tr>
      <w:tr w:rsidR="00C32797" w:rsidRPr="00C32797" w14:paraId="3494AECF" w14:textId="77777777" w:rsidTr="00C32797">
        <w:trPr>
          <w:trHeight w:val="1035"/>
        </w:trPr>
        <w:tc>
          <w:tcPr>
            <w:tcW w:w="1537" w:type="dxa"/>
            <w:vMerge/>
            <w:hideMark/>
          </w:tcPr>
          <w:p w14:paraId="7BDD068D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53" w:type="dxa"/>
            <w:hideMark/>
          </w:tcPr>
          <w:p w14:paraId="6951428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Is the case definition adequate?</w:t>
            </w:r>
          </w:p>
        </w:tc>
        <w:tc>
          <w:tcPr>
            <w:tcW w:w="1980" w:type="dxa"/>
            <w:hideMark/>
          </w:tcPr>
          <w:p w14:paraId="6D72709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Representativeness of the cases</w:t>
            </w:r>
          </w:p>
        </w:tc>
        <w:tc>
          <w:tcPr>
            <w:tcW w:w="963" w:type="dxa"/>
            <w:hideMark/>
          </w:tcPr>
          <w:p w14:paraId="5A561D2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Selection of Controls</w:t>
            </w:r>
          </w:p>
        </w:tc>
        <w:tc>
          <w:tcPr>
            <w:tcW w:w="1105" w:type="dxa"/>
            <w:hideMark/>
          </w:tcPr>
          <w:p w14:paraId="34A877E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Definition of Controls</w:t>
            </w:r>
          </w:p>
        </w:tc>
        <w:tc>
          <w:tcPr>
            <w:tcW w:w="1892" w:type="dxa"/>
            <w:hideMark/>
          </w:tcPr>
          <w:p w14:paraId="3E0C5E2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 xml:space="preserve">Comparability of cases and controls </w:t>
            </w:r>
            <w:proofErr w:type="gramStart"/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on the basis of</w:t>
            </w:r>
            <w:proofErr w:type="gramEnd"/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 xml:space="preserve"> the design or analysis</w:t>
            </w:r>
          </w:p>
        </w:tc>
        <w:tc>
          <w:tcPr>
            <w:tcW w:w="1620" w:type="dxa"/>
            <w:hideMark/>
          </w:tcPr>
          <w:p w14:paraId="7B85402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Ascertainment of exposure</w:t>
            </w:r>
          </w:p>
        </w:tc>
        <w:tc>
          <w:tcPr>
            <w:tcW w:w="1800" w:type="dxa"/>
            <w:hideMark/>
          </w:tcPr>
          <w:p w14:paraId="41FB22A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Same method of ascertainment for cases and controls</w:t>
            </w:r>
          </w:p>
        </w:tc>
        <w:tc>
          <w:tcPr>
            <w:tcW w:w="1170" w:type="dxa"/>
            <w:hideMark/>
          </w:tcPr>
          <w:p w14:paraId="5A6C947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  <w:u w:val="single"/>
              </w:rPr>
              <w:t>Non-Response rate</w:t>
            </w:r>
          </w:p>
        </w:tc>
        <w:tc>
          <w:tcPr>
            <w:tcW w:w="810" w:type="dxa"/>
            <w:vMerge/>
            <w:hideMark/>
          </w:tcPr>
          <w:p w14:paraId="12887D7D" w14:textId="77777777" w:rsidR="00C32797" w:rsidRPr="00C32797" w:rsidRDefault="00C32797" w:rsidP="00C327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70" w:type="dxa"/>
            <w:vMerge/>
            <w:hideMark/>
          </w:tcPr>
          <w:p w14:paraId="1942D93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2797" w:rsidRPr="00C32797" w14:paraId="7FA24A91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4703172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Zhong 2021</w:t>
            </w:r>
          </w:p>
        </w:tc>
        <w:tc>
          <w:tcPr>
            <w:tcW w:w="1253" w:type="dxa"/>
            <w:noWrap/>
            <w:hideMark/>
          </w:tcPr>
          <w:p w14:paraId="5C9B6EA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51F208A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4D433A7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2727103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92" w:type="dxa"/>
            <w:noWrap/>
            <w:hideMark/>
          </w:tcPr>
          <w:p w14:paraId="20A518A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78AF3A8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7565E71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615E920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0415E7F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577005F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C32797" w:rsidRPr="00C32797" w14:paraId="632759D8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10139B7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2797">
              <w:rPr>
                <w:rFonts w:asciiTheme="majorBidi" w:hAnsiTheme="majorBidi" w:cstheme="majorBidi"/>
                <w:sz w:val="20"/>
                <w:szCs w:val="20"/>
              </w:rPr>
              <w:t>Huisa</w:t>
            </w:r>
            <w:proofErr w:type="spellEnd"/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2011</w:t>
            </w:r>
          </w:p>
        </w:tc>
        <w:tc>
          <w:tcPr>
            <w:tcW w:w="1253" w:type="dxa"/>
            <w:noWrap/>
            <w:hideMark/>
          </w:tcPr>
          <w:p w14:paraId="5B3F97D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980" w:type="dxa"/>
            <w:noWrap/>
            <w:hideMark/>
          </w:tcPr>
          <w:p w14:paraId="31B1FA9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3E8202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4B25ED6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0910761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578EE74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04BA55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111237C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02F2598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26609B0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51FFE4B5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77AE943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Hsia 2021</w:t>
            </w:r>
          </w:p>
        </w:tc>
        <w:tc>
          <w:tcPr>
            <w:tcW w:w="1253" w:type="dxa"/>
            <w:noWrap/>
            <w:hideMark/>
          </w:tcPr>
          <w:p w14:paraId="7F78557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4673E0F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668B489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05" w:type="dxa"/>
            <w:noWrap/>
            <w:hideMark/>
          </w:tcPr>
          <w:p w14:paraId="086D8EC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6E0BE0D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58BD121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686CA7F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2B75A3B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5B16D1F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1582B25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C32797" w:rsidRPr="00C32797" w14:paraId="38D3DE0F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60F5C35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Laurencin 2015</w:t>
            </w:r>
          </w:p>
        </w:tc>
        <w:tc>
          <w:tcPr>
            <w:tcW w:w="1253" w:type="dxa"/>
            <w:noWrap/>
            <w:hideMark/>
          </w:tcPr>
          <w:p w14:paraId="4F53439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4855863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40A13C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61A60E3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3A7D1C8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6CBCC6E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128686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263A56C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27206AA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21A7AE3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45A2E0AF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32FAAA0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Li 2019</w:t>
            </w:r>
          </w:p>
        </w:tc>
        <w:tc>
          <w:tcPr>
            <w:tcW w:w="1253" w:type="dxa"/>
            <w:noWrap/>
            <w:hideMark/>
          </w:tcPr>
          <w:p w14:paraId="5558F04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5006E70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33D9CE7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45D2535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30D32B1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620" w:type="dxa"/>
            <w:noWrap/>
            <w:hideMark/>
          </w:tcPr>
          <w:p w14:paraId="3028AA9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325DE5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7ECE936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55F8D4C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4608409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291F6529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14926EC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Sykora 2021</w:t>
            </w:r>
          </w:p>
        </w:tc>
        <w:tc>
          <w:tcPr>
            <w:tcW w:w="1253" w:type="dxa"/>
            <w:noWrap/>
            <w:hideMark/>
          </w:tcPr>
          <w:p w14:paraId="50B0433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150EC7E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7316E01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4FA0055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48FA720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4AF4C3E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B0BE3C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022D72D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249AF15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6728F3D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C32797" w:rsidRPr="00C32797" w14:paraId="18447F78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3478988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Duan 2023</w:t>
            </w:r>
          </w:p>
        </w:tc>
        <w:tc>
          <w:tcPr>
            <w:tcW w:w="1253" w:type="dxa"/>
            <w:noWrap/>
            <w:hideMark/>
          </w:tcPr>
          <w:p w14:paraId="117F791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6254196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4F5E6B6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05" w:type="dxa"/>
            <w:noWrap/>
            <w:hideMark/>
          </w:tcPr>
          <w:p w14:paraId="744B9EC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92" w:type="dxa"/>
            <w:noWrap/>
            <w:hideMark/>
          </w:tcPr>
          <w:p w14:paraId="1417B10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6BF041B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7B1635A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1E15A47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3F53E7E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170" w:type="dxa"/>
            <w:noWrap/>
            <w:hideMark/>
          </w:tcPr>
          <w:p w14:paraId="10F4BEB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C32797" w:rsidRPr="00C32797" w14:paraId="1CB79D8A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16DAD90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2797">
              <w:rPr>
                <w:rFonts w:asciiTheme="majorBidi" w:hAnsiTheme="majorBidi" w:cstheme="majorBidi"/>
                <w:sz w:val="20"/>
                <w:szCs w:val="20"/>
              </w:rPr>
              <w:t>Villringer</w:t>
            </w:r>
            <w:proofErr w:type="spellEnd"/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2014</w:t>
            </w:r>
          </w:p>
        </w:tc>
        <w:tc>
          <w:tcPr>
            <w:tcW w:w="1253" w:type="dxa"/>
            <w:noWrap/>
            <w:hideMark/>
          </w:tcPr>
          <w:p w14:paraId="64C5222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980" w:type="dxa"/>
            <w:noWrap/>
            <w:hideMark/>
          </w:tcPr>
          <w:p w14:paraId="79BD3ED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6C2088C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372D4AC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5F9AD5E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620" w:type="dxa"/>
            <w:noWrap/>
            <w:hideMark/>
          </w:tcPr>
          <w:p w14:paraId="520D442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61FB82D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08D6B48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2FD7F9F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hideMark/>
          </w:tcPr>
          <w:p w14:paraId="0B9CE2D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39FD382A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4B23708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Mengel 2022</w:t>
            </w:r>
          </w:p>
        </w:tc>
        <w:tc>
          <w:tcPr>
            <w:tcW w:w="1253" w:type="dxa"/>
            <w:noWrap/>
            <w:hideMark/>
          </w:tcPr>
          <w:p w14:paraId="29A0CA2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18771AB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2C48F0A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0545923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5906DD0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775A7DA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65946D2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0A2B5AA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3C40FC4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241AFA3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6E3441FF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4260819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Sharma 2018</w:t>
            </w:r>
          </w:p>
        </w:tc>
        <w:tc>
          <w:tcPr>
            <w:tcW w:w="1253" w:type="dxa"/>
            <w:noWrap/>
            <w:hideMark/>
          </w:tcPr>
          <w:p w14:paraId="0B5871F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5B1A0BF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149014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38C1F94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0483CF8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4FBD98F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37A1AED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50BD650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0CD92E6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02D6317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14B74964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65D4D47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Han 2021</w:t>
            </w:r>
          </w:p>
        </w:tc>
        <w:tc>
          <w:tcPr>
            <w:tcW w:w="1253" w:type="dxa"/>
            <w:noWrap/>
            <w:hideMark/>
          </w:tcPr>
          <w:p w14:paraId="30E6C6B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2063631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FDDD4D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1C3BAB6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382C549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620" w:type="dxa"/>
            <w:noWrap/>
            <w:hideMark/>
          </w:tcPr>
          <w:p w14:paraId="17B5A5C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EA4BDD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0113F46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7594646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hideMark/>
          </w:tcPr>
          <w:p w14:paraId="58DC410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054A342C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56873C5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Choi 2015</w:t>
            </w:r>
          </w:p>
        </w:tc>
        <w:tc>
          <w:tcPr>
            <w:tcW w:w="1253" w:type="dxa"/>
            <w:noWrap/>
            <w:hideMark/>
          </w:tcPr>
          <w:p w14:paraId="1D23E77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0572DF9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22F7D81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192A452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05AB854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20245FF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E824D8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57E5738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188F194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44C99AF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  <w:tr w:rsidR="00C32797" w:rsidRPr="00C32797" w14:paraId="49A05C4E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0AC031F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Ng 2016</w:t>
            </w:r>
          </w:p>
        </w:tc>
        <w:tc>
          <w:tcPr>
            <w:tcW w:w="1253" w:type="dxa"/>
            <w:noWrap/>
            <w:hideMark/>
          </w:tcPr>
          <w:p w14:paraId="0A486F4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17E194E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441AAF9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4ECF4B3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01852D2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6D224FD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585EC68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46F3D89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13C878F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0CD45A7E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1322E0BC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2801EF9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2797">
              <w:rPr>
                <w:rFonts w:asciiTheme="majorBidi" w:hAnsiTheme="majorBidi" w:cstheme="majorBidi"/>
                <w:sz w:val="20"/>
                <w:szCs w:val="20"/>
              </w:rPr>
              <w:t>Greisenegger</w:t>
            </w:r>
            <w:proofErr w:type="spellEnd"/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2014</w:t>
            </w:r>
          </w:p>
        </w:tc>
        <w:tc>
          <w:tcPr>
            <w:tcW w:w="1253" w:type="dxa"/>
            <w:noWrap/>
            <w:hideMark/>
          </w:tcPr>
          <w:p w14:paraId="6D50F96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567CA8D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0765A0B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60D33BD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22AB52C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2193E54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41CEA83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3018D36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4373B6F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493F0EA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7B874A54" w14:textId="77777777" w:rsidTr="00C32797">
        <w:trPr>
          <w:trHeight w:val="300"/>
        </w:trPr>
        <w:tc>
          <w:tcPr>
            <w:tcW w:w="1537" w:type="dxa"/>
            <w:noWrap/>
            <w:hideMark/>
          </w:tcPr>
          <w:p w14:paraId="3C1456A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2797">
              <w:rPr>
                <w:rFonts w:asciiTheme="majorBidi" w:hAnsiTheme="majorBidi" w:cstheme="majorBidi"/>
                <w:sz w:val="20"/>
                <w:szCs w:val="20"/>
              </w:rPr>
              <w:t>Logallo</w:t>
            </w:r>
            <w:proofErr w:type="spellEnd"/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2014</w:t>
            </w:r>
          </w:p>
        </w:tc>
        <w:tc>
          <w:tcPr>
            <w:tcW w:w="1253" w:type="dxa"/>
            <w:noWrap/>
            <w:hideMark/>
          </w:tcPr>
          <w:p w14:paraId="734C192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496DF5F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A82B87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23EB60A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17E6F18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11CDB21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1B3636E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09E63E1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60E925A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6B56C9C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6286E5C6" w14:textId="77777777" w:rsidTr="00C32797">
        <w:trPr>
          <w:trHeight w:val="300"/>
        </w:trPr>
        <w:tc>
          <w:tcPr>
            <w:tcW w:w="1537" w:type="dxa"/>
            <w:noWrap/>
            <w:hideMark/>
          </w:tcPr>
          <w:p w14:paraId="103B688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Urra 2013</w:t>
            </w:r>
          </w:p>
        </w:tc>
        <w:tc>
          <w:tcPr>
            <w:tcW w:w="1253" w:type="dxa"/>
            <w:noWrap/>
            <w:hideMark/>
          </w:tcPr>
          <w:p w14:paraId="5226188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1A87B4D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6331154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6D0A7D6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467A3AE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5A3373D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02EF952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3C3922A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76F235D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450817D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4FB76944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6C29BAE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Chen 2017</w:t>
            </w:r>
          </w:p>
        </w:tc>
        <w:tc>
          <w:tcPr>
            <w:tcW w:w="1253" w:type="dxa"/>
            <w:noWrap/>
            <w:hideMark/>
          </w:tcPr>
          <w:p w14:paraId="17F38E2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75A03E9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1F8ED07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44E077B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725D857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08D5115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7107605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4306ED3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7BC78FD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31E595FA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669DAEC4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4A4E408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Luo 2024</w:t>
            </w:r>
          </w:p>
        </w:tc>
        <w:tc>
          <w:tcPr>
            <w:tcW w:w="1253" w:type="dxa"/>
            <w:noWrap/>
            <w:hideMark/>
          </w:tcPr>
          <w:p w14:paraId="370F3BD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5E76653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7F14DF57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05" w:type="dxa"/>
            <w:noWrap/>
            <w:hideMark/>
          </w:tcPr>
          <w:p w14:paraId="5EC904F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60CF609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620" w:type="dxa"/>
            <w:noWrap/>
            <w:hideMark/>
          </w:tcPr>
          <w:p w14:paraId="0EB9BFA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06F92223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1E9F575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61E7123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78B22E0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66B42666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4A4693C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Yaghi 2018</w:t>
            </w:r>
          </w:p>
        </w:tc>
        <w:tc>
          <w:tcPr>
            <w:tcW w:w="1253" w:type="dxa"/>
            <w:noWrap/>
            <w:hideMark/>
          </w:tcPr>
          <w:p w14:paraId="109F4B4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4A1889E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2A70822C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05" w:type="dxa"/>
            <w:noWrap/>
            <w:hideMark/>
          </w:tcPr>
          <w:p w14:paraId="393E9E7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3252E65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315B9C01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227CAAA2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23AABB48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10" w:type="dxa"/>
            <w:noWrap/>
            <w:hideMark/>
          </w:tcPr>
          <w:p w14:paraId="67DF75F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02BEA45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</w:tr>
      <w:tr w:rsidR="00C32797" w:rsidRPr="00C32797" w14:paraId="74CC5FBD" w14:textId="77777777" w:rsidTr="00C32797">
        <w:trPr>
          <w:trHeight w:val="315"/>
        </w:trPr>
        <w:tc>
          <w:tcPr>
            <w:tcW w:w="1537" w:type="dxa"/>
            <w:noWrap/>
            <w:hideMark/>
          </w:tcPr>
          <w:p w14:paraId="2832141D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2797">
              <w:rPr>
                <w:rFonts w:asciiTheme="majorBidi" w:hAnsiTheme="majorBidi" w:cstheme="majorBidi"/>
                <w:sz w:val="20"/>
                <w:szCs w:val="20"/>
              </w:rPr>
              <w:t>Pitaksuteepong</w:t>
            </w:r>
            <w:proofErr w:type="spellEnd"/>
            <w:r w:rsidRPr="00C32797">
              <w:rPr>
                <w:rFonts w:asciiTheme="majorBidi" w:hAnsiTheme="majorBidi" w:cstheme="majorBidi"/>
                <w:sz w:val="20"/>
                <w:szCs w:val="20"/>
              </w:rPr>
              <w:t xml:space="preserve"> 2020</w:t>
            </w:r>
          </w:p>
        </w:tc>
        <w:tc>
          <w:tcPr>
            <w:tcW w:w="1253" w:type="dxa"/>
            <w:noWrap/>
            <w:hideMark/>
          </w:tcPr>
          <w:p w14:paraId="243A6D16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0" w:type="dxa"/>
            <w:noWrap/>
            <w:hideMark/>
          </w:tcPr>
          <w:p w14:paraId="7077A295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63" w:type="dxa"/>
            <w:noWrap/>
            <w:hideMark/>
          </w:tcPr>
          <w:p w14:paraId="38A513C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05" w:type="dxa"/>
            <w:noWrap/>
            <w:hideMark/>
          </w:tcPr>
          <w:p w14:paraId="2FF5B269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892" w:type="dxa"/>
            <w:noWrap/>
            <w:hideMark/>
          </w:tcPr>
          <w:p w14:paraId="7FCA212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620" w:type="dxa"/>
            <w:noWrap/>
            <w:hideMark/>
          </w:tcPr>
          <w:p w14:paraId="08680D6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800" w:type="dxa"/>
            <w:noWrap/>
            <w:hideMark/>
          </w:tcPr>
          <w:p w14:paraId="1AD5D4C0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170" w:type="dxa"/>
            <w:noWrap/>
            <w:hideMark/>
          </w:tcPr>
          <w:p w14:paraId="184F780F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14:paraId="3BBD94AB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72FD26F4" w14:textId="77777777" w:rsidR="00C32797" w:rsidRPr="00C32797" w:rsidRDefault="00C32797" w:rsidP="00C327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32797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</w:tr>
    </w:tbl>
    <w:p w14:paraId="611464C7" w14:textId="77777777" w:rsidR="00C32797" w:rsidRDefault="00C32797">
      <w:pPr>
        <w:rPr>
          <w:rFonts w:asciiTheme="majorBidi" w:hAnsiTheme="majorBidi" w:cstheme="majorBidi"/>
          <w:sz w:val="20"/>
          <w:szCs w:val="20"/>
        </w:rPr>
      </w:pPr>
    </w:p>
    <w:p w14:paraId="79A6CF00" w14:textId="77777777" w:rsidR="00C32797" w:rsidRDefault="00C32797">
      <w:pPr>
        <w:rPr>
          <w:rFonts w:asciiTheme="majorBidi" w:hAnsiTheme="majorBidi" w:cstheme="majorBidi"/>
          <w:sz w:val="20"/>
          <w:szCs w:val="20"/>
        </w:rPr>
      </w:pPr>
    </w:p>
    <w:p w14:paraId="76085139" w14:textId="77777777" w:rsidR="00C32797" w:rsidRDefault="00C32797">
      <w:pPr>
        <w:rPr>
          <w:rFonts w:asciiTheme="majorBidi" w:hAnsiTheme="majorBidi" w:cstheme="majorBidi"/>
          <w:sz w:val="20"/>
          <w:szCs w:val="20"/>
        </w:rPr>
      </w:pPr>
    </w:p>
    <w:p w14:paraId="62B6E41E" w14:textId="2B081714" w:rsidR="00C32797" w:rsidRDefault="00C32797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06A2963" wp14:editId="77647F79">
            <wp:extent cx="6126492" cy="2194564"/>
            <wp:effectExtent l="0" t="0" r="7620" b="0"/>
            <wp:docPr id="19278509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50922" name="Picture 1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92" cy="21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7387" w14:textId="72F0A3D7" w:rsidR="00C32797" w:rsidRPr="00C30B5B" w:rsidRDefault="00C32797">
      <w:pPr>
        <w:rPr>
          <w:rFonts w:asciiTheme="majorBidi" w:hAnsiTheme="majorBidi" w:cstheme="majorBidi"/>
          <w:sz w:val="24"/>
          <w:szCs w:val="24"/>
        </w:rPr>
      </w:pPr>
      <w:r w:rsidRPr="00C30B5B">
        <w:rPr>
          <w:rFonts w:asciiTheme="majorBidi" w:hAnsiTheme="majorBidi" w:cstheme="majorBidi"/>
          <w:sz w:val="24"/>
          <w:szCs w:val="24"/>
        </w:rPr>
        <w:t xml:space="preserve">Supplementary figure 1: Risk of bias assessment of the included randomized controlled trial using </w:t>
      </w:r>
      <w:proofErr w:type="spellStart"/>
      <w:r w:rsidR="00363455" w:rsidRPr="00FF0385">
        <w:rPr>
          <w:rFonts w:asciiTheme="majorBidi" w:eastAsia="Times New Roman" w:hAnsiTheme="majorBidi" w:cstheme="majorBidi"/>
          <w:sz w:val="24"/>
          <w:szCs w:val="24"/>
        </w:rPr>
        <w:t>RoB</w:t>
      </w:r>
      <w:proofErr w:type="spellEnd"/>
      <w:r w:rsidR="00363455" w:rsidRPr="00FF0385">
        <w:rPr>
          <w:rFonts w:asciiTheme="majorBidi" w:eastAsia="Times New Roman" w:hAnsiTheme="majorBidi" w:cstheme="majorBidi"/>
          <w:sz w:val="24"/>
          <w:szCs w:val="24"/>
        </w:rPr>
        <w:t xml:space="preserve"> 2.0</w:t>
      </w:r>
      <w:r w:rsidR="0036345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30B5B">
        <w:rPr>
          <w:rFonts w:asciiTheme="majorBidi" w:hAnsiTheme="majorBidi" w:cstheme="majorBidi"/>
          <w:sz w:val="24"/>
          <w:szCs w:val="24"/>
        </w:rPr>
        <w:t>tool</w:t>
      </w:r>
    </w:p>
    <w:p w14:paraId="1B1AEA06" w14:textId="5B247E2E" w:rsidR="00104743" w:rsidRPr="00941F81" w:rsidRDefault="00A104DE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FE5813" wp14:editId="705C97F4">
            <wp:extent cx="5942330" cy="2505075"/>
            <wp:effectExtent l="0" t="0" r="1270" b="9525"/>
            <wp:docPr id="193643704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37047" name="Graphic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705" cy="250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D4363" w14:textId="77777777" w:rsidR="00026759" w:rsidRDefault="00A104DE" w:rsidP="00026759">
      <w:pPr>
        <w:rPr>
          <w:rFonts w:asciiTheme="majorBidi" w:hAnsiTheme="majorBidi" w:cstheme="majorBidi"/>
          <w:sz w:val="24"/>
          <w:szCs w:val="24"/>
        </w:rPr>
      </w:pPr>
      <w:r w:rsidRPr="00026759">
        <w:rPr>
          <w:rFonts w:asciiTheme="majorBidi" w:hAnsiTheme="majorBidi" w:cstheme="majorBidi"/>
          <w:sz w:val="24"/>
          <w:szCs w:val="24"/>
          <w:highlight w:val="yellow"/>
        </w:rPr>
        <w:t xml:space="preserve">Supplementary figure 2: Prediction of </w:t>
      </w:r>
      <w:r w:rsidR="008424A9" w:rsidRPr="00026759">
        <w:rPr>
          <w:rFonts w:asciiTheme="majorBidi" w:hAnsiTheme="majorBidi" w:cstheme="majorBidi"/>
          <w:sz w:val="24"/>
          <w:szCs w:val="24"/>
          <w:highlight w:val="yellow"/>
        </w:rPr>
        <w:t xml:space="preserve">90-day </w:t>
      </w:r>
      <w:proofErr w:type="spellStart"/>
      <w:r w:rsidRPr="00026759">
        <w:rPr>
          <w:rFonts w:asciiTheme="majorBidi" w:hAnsiTheme="majorBidi" w:cstheme="majorBidi"/>
          <w:sz w:val="24"/>
          <w:szCs w:val="24"/>
          <w:highlight w:val="yellow"/>
        </w:rPr>
        <w:t>mRs</w:t>
      </w:r>
      <w:proofErr w:type="spellEnd"/>
      <w:r w:rsidRPr="00026759">
        <w:rPr>
          <w:rFonts w:asciiTheme="majorBidi" w:hAnsiTheme="majorBidi" w:cstheme="majorBidi"/>
          <w:sz w:val="24"/>
          <w:szCs w:val="24"/>
          <w:highlight w:val="yellow"/>
        </w:rPr>
        <w:t xml:space="preserve"> 0-1 after using intravenous thrombolysis vs control</w:t>
      </w:r>
      <w:r w:rsidRPr="00941F81">
        <w:rPr>
          <w:rFonts w:asciiTheme="majorBidi" w:hAnsiTheme="majorBidi" w:cstheme="majorBidi"/>
          <w:sz w:val="24"/>
          <w:szCs w:val="24"/>
        </w:rPr>
        <w:t xml:space="preserve"> </w:t>
      </w:r>
    </w:p>
    <w:p w14:paraId="0473426F" w14:textId="2245CD2F" w:rsidR="00026759" w:rsidRPr="00DF45EC" w:rsidRDefault="00026759" w:rsidP="0002675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 blue region is the OR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01F963F4" w14:textId="54C84682" w:rsidR="00A104DE" w:rsidRPr="00941F81" w:rsidRDefault="00A104DE">
      <w:pPr>
        <w:rPr>
          <w:rFonts w:asciiTheme="majorBidi" w:hAnsiTheme="majorBidi" w:cstheme="majorBidi"/>
          <w:sz w:val="24"/>
          <w:szCs w:val="24"/>
        </w:rPr>
      </w:pPr>
    </w:p>
    <w:p w14:paraId="505C2ACC" w14:textId="65FB8C27" w:rsidR="00A104DE" w:rsidRPr="00941F81" w:rsidRDefault="00A104DE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E3CA861" wp14:editId="1FF07A4F">
            <wp:extent cx="5942152" cy="1485900"/>
            <wp:effectExtent l="0" t="0" r="1905" b="0"/>
            <wp:docPr id="58049473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94734" name="Graphic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971" cy="14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06D34" w14:textId="77BD3560" w:rsidR="00A104DE" w:rsidRDefault="00A104DE" w:rsidP="00A104DE">
      <w:pPr>
        <w:rPr>
          <w:rFonts w:asciiTheme="majorBidi" w:hAnsiTheme="majorBidi" w:cstheme="majorBidi"/>
          <w:sz w:val="24"/>
          <w:szCs w:val="24"/>
        </w:rPr>
      </w:pPr>
      <w:r w:rsidRPr="00026759">
        <w:rPr>
          <w:rFonts w:asciiTheme="majorBidi" w:hAnsiTheme="majorBidi" w:cstheme="majorBidi"/>
          <w:sz w:val="24"/>
          <w:szCs w:val="24"/>
          <w:highlight w:val="yellow"/>
        </w:rPr>
        <w:t>Supplementary figure 3: Prediction of NIHSS improvement after using intravenous thrombolysis vs control</w:t>
      </w:r>
      <w:r w:rsidRPr="00941F81">
        <w:rPr>
          <w:rFonts w:asciiTheme="majorBidi" w:hAnsiTheme="majorBidi" w:cstheme="majorBidi"/>
          <w:sz w:val="24"/>
          <w:szCs w:val="24"/>
        </w:rPr>
        <w:t xml:space="preserve"> </w:t>
      </w:r>
    </w:p>
    <w:p w14:paraId="52309E4E" w14:textId="67AD501C" w:rsidR="00026759" w:rsidRPr="00026759" w:rsidRDefault="00026759" w:rsidP="0002675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 blue region is the OR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3FD52E15" w14:textId="2572937F" w:rsidR="00A104DE" w:rsidRPr="00941F81" w:rsidRDefault="00A104DE" w:rsidP="00A104DE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913F89" wp14:editId="5D324FA2">
            <wp:extent cx="5942330" cy="1628775"/>
            <wp:effectExtent l="0" t="0" r="1270" b="9525"/>
            <wp:docPr id="497767920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67920" name="Graphic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407" cy="162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B2E3C" w14:textId="55F98722" w:rsidR="00A104DE" w:rsidRDefault="00A104DE" w:rsidP="00A104DE">
      <w:pPr>
        <w:rPr>
          <w:rFonts w:asciiTheme="majorBidi" w:hAnsiTheme="majorBidi" w:cstheme="majorBidi"/>
          <w:sz w:val="24"/>
          <w:szCs w:val="24"/>
        </w:rPr>
      </w:pPr>
      <w:r w:rsidRPr="00026759">
        <w:rPr>
          <w:rFonts w:asciiTheme="majorBidi" w:hAnsiTheme="majorBidi" w:cstheme="majorBidi"/>
          <w:sz w:val="24"/>
          <w:szCs w:val="24"/>
          <w:highlight w:val="yellow"/>
        </w:rPr>
        <w:t>Supplementary figure 4: Comparison between intravenous thrombolysis and control regarding the change in NIHSS</w:t>
      </w:r>
    </w:p>
    <w:p w14:paraId="1166F8E7" w14:textId="28CF29D8" w:rsidR="00026759" w:rsidRPr="00DF45EC" w:rsidRDefault="00026759" w:rsidP="0002675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The diamond shape represents the overall forest plot, the blue region is the </w:t>
      </w:r>
      <w:r>
        <w:rPr>
          <w:rFonts w:asciiTheme="majorBidi" w:hAnsiTheme="majorBidi" w:cstheme="majorBidi"/>
          <w:sz w:val="16"/>
          <w:szCs w:val="16"/>
          <w:highlight w:val="yellow"/>
        </w:rPr>
        <w:t>MD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079F9D6C" w14:textId="77777777" w:rsidR="00026759" w:rsidRPr="00941F81" w:rsidRDefault="00026759" w:rsidP="00A104DE">
      <w:pPr>
        <w:rPr>
          <w:rFonts w:asciiTheme="majorBidi" w:hAnsiTheme="majorBidi" w:cstheme="majorBidi"/>
          <w:sz w:val="24"/>
          <w:szCs w:val="24"/>
        </w:rPr>
      </w:pPr>
    </w:p>
    <w:p w14:paraId="5437F346" w14:textId="2693DA70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12FB2E3" wp14:editId="6E282435">
            <wp:extent cx="5943600" cy="3214370"/>
            <wp:effectExtent l="0" t="0" r="0" b="5080"/>
            <wp:docPr id="1824009330" name="Picture 1" descr="A graph with black and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09330" name="Picture 1" descr="A graph with black and white lin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72C6" w14:textId="19A47B77" w:rsidR="00163086" w:rsidRDefault="00163086">
      <w:pPr>
        <w:rPr>
          <w:rFonts w:asciiTheme="majorBidi" w:hAnsiTheme="majorBidi" w:cstheme="majorBidi"/>
          <w:sz w:val="24"/>
          <w:szCs w:val="24"/>
        </w:rPr>
      </w:pPr>
      <w:r w:rsidRPr="009F0EBC">
        <w:rPr>
          <w:rFonts w:asciiTheme="majorBidi" w:hAnsiTheme="majorBidi" w:cstheme="majorBidi"/>
          <w:sz w:val="24"/>
          <w:szCs w:val="24"/>
          <w:highlight w:val="yellow"/>
        </w:rPr>
        <w:t xml:space="preserve">Supplementary figure 5: Leave-one-out for the prediction of 90-day </w:t>
      </w:r>
      <w:proofErr w:type="spellStart"/>
      <w:r w:rsidRPr="009F0EBC">
        <w:rPr>
          <w:rFonts w:asciiTheme="majorBidi" w:hAnsiTheme="majorBidi" w:cstheme="majorBidi"/>
          <w:sz w:val="24"/>
          <w:szCs w:val="24"/>
          <w:highlight w:val="yellow"/>
        </w:rPr>
        <w:t>mRs</w:t>
      </w:r>
      <w:proofErr w:type="spellEnd"/>
      <w:r w:rsidRPr="009F0EBC">
        <w:rPr>
          <w:rFonts w:asciiTheme="majorBidi" w:hAnsiTheme="majorBidi" w:cstheme="majorBidi"/>
          <w:sz w:val="24"/>
          <w:szCs w:val="24"/>
          <w:highlight w:val="yellow"/>
        </w:rPr>
        <w:t xml:space="preserve"> 0-1 in intravenous thrombolysis vs control using odds ratio</w:t>
      </w:r>
    </w:p>
    <w:p w14:paraId="7903AE3C" w14:textId="5EF0AFF6" w:rsidR="00E572C9" w:rsidRPr="00DF45EC" w:rsidRDefault="00E572C9" w:rsidP="00E572C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</w:t>
      </w:r>
      <w:r>
        <w:rPr>
          <w:rFonts w:asciiTheme="majorBidi" w:hAnsiTheme="majorBidi" w:cstheme="majorBidi"/>
          <w:sz w:val="16"/>
          <w:szCs w:val="16"/>
          <w:highlight w:val="yellow"/>
        </w:rPr>
        <w:t xml:space="preserve"> black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region is the OR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32F4EBB8" w14:textId="77777777" w:rsidR="00E572C9" w:rsidRPr="00941F81" w:rsidRDefault="00E572C9">
      <w:pPr>
        <w:rPr>
          <w:rFonts w:asciiTheme="majorBidi" w:hAnsiTheme="majorBidi" w:cstheme="majorBidi"/>
          <w:sz w:val="24"/>
          <w:szCs w:val="24"/>
        </w:rPr>
      </w:pPr>
    </w:p>
    <w:p w14:paraId="7542E6D8" w14:textId="505485D6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59F4486" wp14:editId="0EE22B08">
            <wp:extent cx="5943600" cy="3243580"/>
            <wp:effectExtent l="0" t="0" r="0" b="0"/>
            <wp:docPr id="1978695742" name="Picture 3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95742" name="Picture 3" descr="A graph with lines and number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FBA7A" w14:textId="3D113CF9" w:rsidR="00163086" w:rsidRDefault="00163086">
      <w:pPr>
        <w:rPr>
          <w:rFonts w:asciiTheme="majorBidi" w:hAnsiTheme="majorBidi" w:cstheme="majorBidi"/>
          <w:sz w:val="24"/>
          <w:szCs w:val="24"/>
        </w:rPr>
      </w:pPr>
      <w:r w:rsidRPr="009F0EBC">
        <w:rPr>
          <w:rFonts w:asciiTheme="majorBidi" w:hAnsiTheme="majorBidi" w:cstheme="majorBidi"/>
          <w:sz w:val="24"/>
          <w:szCs w:val="24"/>
          <w:highlight w:val="yellow"/>
        </w:rPr>
        <w:t>Supplementary figure 6: Leave-one-out analysis for the improvement of NIHSS in intravenous thrombolysis vs control</w:t>
      </w:r>
    </w:p>
    <w:p w14:paraId="7FBD2F00" w14:textId="77777777" w:rsidR="00E572C9" w:rsidRPr="00DF45EC" w:rsidRDefault="00E572C9" w:rsidP="00E572C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</w:t>
      </w:r>
      <w:r>
        <w:rPr>
          <w:rFonts w:asciiTheme="majorBidi" w:hAnsiTheme="majorBidi" w:cstheme="majorBidi"/>
          <w:sz w:val="16"/>
          <w:szCs w:val="16"/>
          <w:highlight w:val="yellow"/>
        </w:rPr>
        <w:t xml:space="preserve"> black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region is the OR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7E8CEF17" w14:textId="77777777" w:rsidR="00E572C9" w:rsidRPr="00941F81" w:rsidRDefault="00E572C9">
      <w:pPr>
        <w:rPr>
          <w:rFonts w:asciiTheme="majorBidi" w:hAnsiTheme="majorBidi" w:cstheme="majorBidi"/>
          <w:sz w:val="24"/>
          <w:szCs w:val="24"/>
        </w:rPr>
      </w:pPr>
    </w:p>
    <w:p w14:paraId="5F5E87E6" w14:textId="6848FCED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31BFF37" wp14:editId="7DF546F2">
            <wp:extent cx="5943600" cy="2479675"/>
            <wp:effectExtent l="0" t="0" r="0" b="0"/>
            <wp:docPr id="2910100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10026" name="Picture 2910100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B3A5" w14:textId="16305686" w:rsidR="00163086" w:rsidRDefault="00163086" w:rsidP="00163086">
      <w:pPr>
        <w:rPr>
          <w:rFonts w:asciiTheme="majorBidi" w:hAnsiTheme="majorBidi" w:cstheme="majorBidi"/>
          <w:sz w:val="24"/>
          <w:szCs w:val="24"/>
        </w:rPr>
      </w:pPr>
      <w:r w:rsidRPr="009F0EBC">
        <w:rPr>
          <w:rFonts w:asciiTheme="majorBidi" w:hAnsiTheme="majorBidi" w:cstheme="majorBidi"/>
          <w:sz w:val="24"/>
          <w:szCs w:val="24"/>
          <w:highlight w:val="yellow"/>
        </w:rPr>
        <w:t>Supplementary figure 7: Leave-one-out for the prediction of NIHSS improvement in intravenous thrombolysis vs control using odds ratio</w:t>
      </w:r>
    </w:p>
    <w:p w14:paraId="37E9B603" w14:textId="77777777" w:rsidR="00E572C9" w:rsidRPr="00DF45EC" w:rsidRDefault="00E572C9" w:rsidP="00E572C9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</w:t>
      </w:r>
      <w:r>
        <w:rPr>
          <w:rFonts w:asciiTheme="majorBidi" w:hAnsiTheme="majorBidi" w:cstheme="majorBidi"/>
          <w:sz w:val="16"/>
          <w:szCs w:val="16"/>
          <w:highlight w:val="yellow"/>
        </w:rPr>
        <w:t xml:space="preserve"> black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region is the OR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65B6FBE0" w14:textId="77777777" w:rsidR="00E572C9" w:rsidRPr="00941F81" w:rsidRDefault="00E572C9" w:rsidP="00163086">
      <w:pPr>
        <w:rPr>
          <w:rFonts w:asciiTheme="majorBidi" w:hAnsiTheme="majorBidi" w:cstheme="majorBidi"/>
          <w:sz w:val="24"/>
          <w:szCs w:val="24"/>
        </w:rPr>
      </w:pPr>
    </w:p>
    <w:p w14:paraId="4C47AE7C" w14:textId="1A592FFB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A926A40" wp14:editId="05830F30">
            <wp:extent cx="5943600" cy="3063761"/>
            <wp:effectExtent l="0" t="0" r="0" b="3810"/>
            <wp:docPr id="13297401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40134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2EC7" w14:textId="77777777" w:rsidR="00163086" w:rsidRDefault="00163086">
      <w:pPr>
        <w:rPr>
          <w:rFonts w:asciiTheme="majorBidi" w:hAnsiTheme="majorBidi" w:cstheme="majorBidi"/>
          <w:sz w:val="24"/>
          <w:szCs w:val="24"/>
        </w:rPr>
      </w:pPr>
      <w:r w:rsidRPr="009F0EBC">
        <w:rPr>
          <w:rFonts w:asciiTheme="majorBidi" w:hAnsiTheme="majorBidi" w:cstheme="majorBidi"/>
          <w:sz w:val="24"/>
          <w:szCs w:val="24"/>
          <w:highlight w:val="yellow"/>
        </w:rPr>
        <w:t>Supplementary figure 8: Leave-one-out for the effect of NIHSS after and before treatment with intravenous thrombolysis</w:t>
      </w:r>
    </w:p>
    <w:p w14:paraId="7653E9D8" w14:textId="6DB39978" w:rsidR="009C7F37" w:rsidRPr="00DF45EC" w:rsidRDefault="009C7F37" w:rsidP="009C7F37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</w:t>
      </w:r>
      <w:r>
        <w:rPr>
          <w:rFonts w:asciiTheme="majorBidi" w:hAnsiTheme="majorBidi" w:cstheme="majorBidi"/>
          <w:sz w:val="16"/>
          <w:szCs w:val="16"/>
          <w:highlight w:val="yellow"/>
        </w:rPr>
        <w:t xml:space="preserve"> black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region is the </w:t>
      </w:r>
      <w:r>
        <w:rPr>
          <w:rFonts w:asciiTheme="majorBidi" w:hAnsiTheme="majorBidi" w:cstheme="majorBidi"/>
          <w:sz w:val="16"/>
          <w:szCs w:val="16"/>
          <w:highlight w:val="yellow"/>
        </w:rPr>
        <w:t>MD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7DC12922" w14:textId="77777777" w:rsidR="009C7F37" w:rsidRPr="00941F81" w:rsidRDefault="009C7F37">
      <w:pPr>
        <w:rPr>
          <w:rFonts w:asciiTheme="majorBidi" w:hAnsiTheme="majorBidi" w:cstheme="majorBidi"/>
          <w:sz w:val="24"/>
          <w:szCs w:val="24"/>
        </w:rPr>
      </w:pPr>
    </w:p>
    <w:p w14:paraId="6674C203" w14:textId="7AC5AE9C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41F8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CC8886B" wp14:editId="39245D4A">
            <wp:extent cx="5943600" cy="2664876"/>
            <wp:effectExtent l="0" t="0" r="0" b="2540"/>
            <wp:docPr id="4722582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58260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1F81">
        <w:rPr>
          <w:rFonts w:asciiTheme="majorBidi" w:hAnsiTheme="majorBidi" w:cstheme="majorBidi"/>
          <w:sz w:val="24"/>
          <w:szCs w:val="24"/>
        </w:rPr>
        <w:t xml:space="preserve"> </w:t>
      </w:r>
    </w:p>
    <w:p w14:paraId="0E876C20" w14:textId="1A577861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  <w:r w:rsidRPr="009F0EBC">
        <w:rPr>
          <w:rFonts w:asciiTheme="majorBidi" w:hAnsiTheme="majorBidi" w:cstheme="majorBidi"/>
          <w:sz w:val="24"/>
          <w:szCs w:val="24"/>
          <w:highlight w:val="yellow"/>
        </w:rPr>
        <w:t xml:space="preserve">Supplementary figure 9: Leave-one-out analysis for the comparison between intravenous thrombolysis and control groups </w:t>
      </w:r>
      <w:r w:rsidR="009C7F37" w:rsidRPr="009F0EBC">
        <w:rPr>
          <w:rFonts w:asciiTheme="majorBidi" w:hAnsiTheme="majorBidi" w:cstheme="majorBidi"/>
          <w:sz w:val="24"/>
          <w:szCs w:val="24"/>
          <w:highlight w:val="yellow"/>
        </w:rPr>
        <w:t>regarding</w:t>
      </w:r>
      <w:r w:rsidRPr="009F0EBC">
        <w:rPr>
          <w:rFonts w:asciiTheme="majorBidi" w:hAnsiTheme="majorBidi" w:cstheme="majorBidi"/>
          <w:sz w:val="24"/>
          <w:szCs w:val="24"/>
          <w:highlight w:val="yellow"/>
        </w:rPr>
        <w:t xml:space="preserve"> the change in NIHSS</w:t>
      </w:r>
    </w:p>
    <w:p w14:paraId="1E138D47" w14:textId="758DCEA4" w:rsidR="009C7F37" w:rsidRPr="00DF45EC" w:rsidRDefault="009C7F37" w:rsidP="009C7F37">
      <w:pPr>
        <w:rPr>
          <w:rFonts w:asciiTheme="majorBidi" w:hAnsiTheme="majorBidi" w:cstheme="majorBidi"/>
          <w:sz w:val="16"/>
          <w:szCs w:val="16"/>
        </w:rPr>
      </w:pPr>
      <w:r w:rsidRPr="00DF45EC">
        <w:rPr>
          <w:rFonts w:asciiTheme="majorBidi" w:hAnsiTheme="majorBidi" w:cstheme="majorBidi"/>
          <w:sz w:val="16"/>
          <w:szCs w:val="16"/>
          <w:highlight w:val="yellow"/>
        </w:rPr>
        <w:t>The diamond shape represents the overall forest plot, the</w:t>
      </w:r>
      <w:r>
        <w:rPr>
          <w:rFonts w:asciiTheme="majorBidi" w:hAnsiTheme="majorBidi" w:cstheme="majorBidi"/>
          <w:sz w:val="16"/>
          <w:szCs w:val="16"/>
          <w:highlight w:val="yellow"/>
        </w:rPr>
        <w:t xml:space="preserve"> black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region is the </w:t>
      </w:r>
      <w:r>
        <w:rPr>
          <w:rFonts w:asciiTheme="majorBidi" w:hAnsiTheme="majorBidi" w:cstheme="majorBidi"/>
          <w:sz w:val="16"/>
          <w:szCs w:val="16"/>
          <w:highlight w:val="yellow"/>
        </w:rPr>
        <w:t>MD</w:t>
      </w:r>
      <w:r w:rsidRPr="00DF45EC">
        <w:rPr>
          <w:rFonts w:asciiTheme="majorBidi" w:hAnsiTheme="majorBidi" w:cstheme="majorBidi"/>
          <w:sz w:val="16"/>
          <w:szCs w:val="16"/>
          <w:highlight w:val="yellow"/>
        </w:rPr>
        <w:t xml:space="preserve"> of each study and the two lines merging from it represent the confidence intervals</w:t>
      </w:r>
      <w:r w:rsidRPr="00DF45EC">
        <w:rPr>
          <w:rFonts w:asciiTheme="majorBidi" w:hAnsiTheme="majorBidi" w:cstheme="majorBidi"/>
          <w:sz w:val="16"/>
          <w:szCs w:val="16"/>
        </w:rPr>
        <w:t xml:space="preserve"> </w:t>
      </w:r>
    </w:p>
    <w:p w14:paraId="7ED86B82" w14:textId="77777777" w:rsidR="00163086" w:rsidRPr="00941F81" w:rsidRDefault="00163086">
      <w:pPr>
        <w:rPr>
          <w:rFonts w:asciiTheme="majorBidi" w:hAnsiTheme="majorBidi" w:cstheme="majorBidi"/>
          <w:sz w:val="24"/>
          <w:szCs w:val="24"/>
        </w:rPr>
      </w:pPr>
    </w:p>
    <w:sectPr w:rsidR="00163086" w:rsidRPr="00941F81" w:rsidSect="00D124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FF"/>
    <w:rsid w:val="00026759"/>
    <w:rsid w:val="000269DE"/>
    <w:rsid w:val="00104743"/>
    <w:rsid w:val="00163086"/>
    <w:rsid w:val="002500ED"/>
    <w:rsid w:val="00363455"/>
    <w:rsid w:val="00410094"/>
    <w:rsid w:val="006A6505"/>
    <w:rsid w:val="008424A9"/>
    <w:rsid w:val="008F33FF"/>
    <w:rsid w:val="00941F81"/>
    <w:rsid w:val="009B6A6A"/>
    <w:rsid w:val="009C7F37"/>
    <w:rsid w:val="009F0EBC"/>
    <w:rsid w:val="00A104DE"/>
    <w:rsid w:val="00C30B5B"/>
    <w:rsid w:val="00C32797"/>
    <w:rsid w:val="00D12409"/>
    <w:rsid w:val="00E572C9"/>
    <w:rsid w:val="00F1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7D33"/>
  <w15:chartTrackingRefBased/>
  <w15:docId w15:val="{33DAB95C-0451-4BF4-B708-1D4C299F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3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3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3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3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3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41F81"/>
    <w:rPr>
      <w:b/>
      <w:bCs/>
    </w:rPr>
  </w:style>
  <w:style w:type="character" w:customStyle="1" w:styleId="highlight">
    <w:name w:val="highlight"/>
    <w:basedOn w:val="DefaultParagraphFont"/>
    <w:rsid w:val="00941F81"/>
  </w:style>
  <w:style w:type="character" w:customStyle="1" w:styleId="css-1w804bk">
    <w:name w:val="css-1w804bk"/>
    <w:basedOn w:val="DefaultParagraphFont"/>
    <w:rsid w:val="00941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Hossam Eldin Sarhan</dc:creator>
  <cp:keywords/>
  <dc:description/>
  <cp:lastModifiedBy>Mostafa Hossam Eldin Sarhan</cp:lastModifiedBy>
  <cp:revision>12</cp:revision>
  <dcterms:created xsi:type="dcterms:W3CDTF">2024-01-26T12:43:00Z</dcterms:created>
  <dcterms:modified xsi:type="dcterms:W3CDTF">2024-11-19T09:46:00Z</dcterms:modified>
</cp:coreProperties>
</file>