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E1B88">
      <w:pPr>
        <w:widowControl w:val="0"/>
        <w:tabs>
          <w:tab w:val="left" w:pos="3381"/>
          <w:tab w:val="center" w:pos="7038"/>
        </w:tabs>
        <w:overflowPunct w:val="0"/>
        <w:spacing w:line="360" w:lineRule="auto"/>
        <w:jc w:val="left"/>
        <w:rPr>
          <w:rFonts w:hint="eastAsia" w:ascii="Times New Roman" w:hAnsi="Times New Roman" w:cstheme="minorEastAsia"/>
          <w:b/>
          <w:bCs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theme="minorEastAsia"/>
          <w:b/>
          <w:bCs/>
          <w:color w:val="auto"/>
          <w:spacing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theme="minorEastAsia"/>
          <w:b/>
          <w:bCs/>
          <w:color w:val="auto"/>
          <w:spacing w:val="0"/>
          <w:sz w:val="21"/>
          <w:szCs w:val="21"/>
          <w:lang w:val="en-US" w:eastAsia="zh-CN"/>
        </w:rPr>
        <w:t xml:space="preserve">Supplement </w:t>
      </w:r>
      <w:r>
        <w:rPr>
          <w:rFonts w:hint="eastAsia" w:ascii="Times New Roman" w:hAnsi="Times New Roman" w:cstheme="minorEastAsia"/>
          <w:b/>
          <w:bCs/>
          <w:color w:val="auto"/>
          <w:spacing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theme="minorEastAsia"/>
          <w:b/>
          <w:bCs/>
          <w:color w:val="auto"/>
          <w:spacing w:val="0"/>
          <w:sz w:val="21"/>
          <w:szCs w:val="21"/>
          <w:lang w:val="en-US" w:eastAsia="zh-CN"/>
        </w:rPr>
        <w:t>Table 1  The correlation analysis between NMSs and clinical characteristics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629"/>
        <w:gridCol w:w="919"/>
        <w:gridCol w:w="666"/>
        <w:gridCol w:w="629"/>
        <w:gridCol w:w="629"/>
        <w:gridCol w:w="611"/>
        <w:gridCol w:w="583"/>
        <w:gridCol w:w="629"/>
        <w:gridCol w:w="882"/>
        <w:gridCol w:w="629"/>
        <w:gridCol w:w="629"/>
        <w:gridCol w:w="1041"/>
        <w:gridCol w:w="779"/>
        <w:gridCol w:w="559"/>
        <w:gridCol w:w="629"/>
        <w:gridCol w:w="669"/>
        <w:gridCol w:w="629"/>
      </w:tblGrid>
      <w:tr w14:paraId="7397E6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CF2307B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C983E01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NMSS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3EF80BE">
            <w:pPr>
              <w:widowControl w:val="0"/>
              <w:overflowPunct w:val="0"/>
              <w:autoSpaceDE/>
              <w:spacing w:line="200" w:lineRule="exact"/>
              <w:jc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MDS-</w:t>
            </w:r>
            <w:r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UPDRS-Ⅰ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D3B6404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MoCA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B7DEE27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HAM-A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3D5E79F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HAM-D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926E8E7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SS-12</w:t>
            </w:r>
          </w:p>
        </w:tc>
        <w:tc>
          <w:tcPr>
            <w:tcW w:w="58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9DD0994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RBDSQ</w:t>
            </w: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A7F3C6C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PDSS-2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0B9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Cardiovascular</w:t>
            </w: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2B3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Sleep</w:t>
            </w: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F35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ood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54E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Attention/Memory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211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Constipation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227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Urinary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42E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Fatigue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DA2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Hyposmia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8E5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pacing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Pain</w:t>
            </w:r>
          </w:p>
        </w:tc>
      </w:tr>
      <w:tr w14:paraId="7C8C92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FC1B2D8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  <w:t>PSP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FA352CB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89513C1">
            <w:pPr>
              <w:widowControl w:val="0"/>
              <w:overflowPunct w:val="0"/>
              <w:autoSpaceDE/>
              <w:spacing w:line="200" w:lineRule="exact"/>
              <w:jc w:val="center"/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C15B0C0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3984269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A117125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eastAsia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F8A3F6A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C086511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5324842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90F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761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EE4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29B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EF2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D7F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EF5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EB1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397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</w:tr>
      <w:tr w14:paraId="0045E5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5D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03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0A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BD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0E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0E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77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-0.057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0B57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0.057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49C1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F9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0.001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254A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-0.071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33D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BE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42D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38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A7D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D9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967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0.197</w:t>
            </w:r>
          </w:p>
        </w:tc>
      </w:tr>
      <w:tr w14:paraId="14ABBA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A5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87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8E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7D8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E69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BC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7D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-0.096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6B7A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0.052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1491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47C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-0.069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0F08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0.379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0405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A16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8E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8E1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09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AE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1A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0.292</w:t>
            </w:r>
          </w:p>
        </w:tc>
      </w:tr>
      <w:tr w14:paraId="0C2FF3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B1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Duration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97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62E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25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EE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4E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AA4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0.120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00B7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0.119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32A8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C19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-0.255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D43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-0.039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656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F6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CF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8E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C8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66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A3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0.006</w:t>
            </w:r>
          </w:p>
        </w:tc>
      </w:tr>
      <w:tr w14:paraId="27698C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A9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H&amp;Y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C80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1B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1C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80F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8C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F8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-0.024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11CC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0.135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4B34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24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-0.218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0E55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0.076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4BF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F1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94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A4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49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6C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ECC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0.081</w:t>
            </w:r>
          </w:p>
        </w:tc>
      </w:tr>
      <w:tr w14:paraId="757578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66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PDQ-39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CD4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2A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94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DD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B8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0.532***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0B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-0.183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5F14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0.332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418A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57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-0.042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38EC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0.187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7AE1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D5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9CC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75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6F9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BCE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32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-0.078</w:t>
            </w:r>
          </w:p>
        </w:tc>
      </w:tr>
      <w:tr w14:paraId="232F91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52E678B3">
            <w:pPr>
              <w:overflowPunct w:val="0"/>
              <w:spacing w:beforeLines="0" w:afterLines="0" w:line="320" w:lineRule="atLeast"/>
              <w:ind w:right="60" w:rightChars="0"/>
              <w:jc w:val="center"/>
              <w:rPr>
                <w:rFonts w:hint="default" w:ascii="Times New Roman" w:hAnsi="Times New Roman" w:cs="Times New Roman"/>
                <w:spacing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MDS-UPDRS-Ⅲ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B4F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0.125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4F6E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0.161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25C7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-0.381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7667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0.024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03D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0.124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2FB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-0.262</w:t>
            </w:r>
          </w:p>
        </w:tc>
        <w:tc>
          <w:tcPr>
            <w:tcW w:w="583" w:type="dxa"/>
            <w:tcBorders>
              <w:bottom w:val="single" w:color="auto" w:sz="8" w:space="0"/>
            </w:tcBorders>
            <w:vAlign w:val="center"/>
          </w:tcPr>
          <w:p w14:paraId="2FF7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0.063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28FD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0.018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CEA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-0.286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3F92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-0.028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15D1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-0.101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F92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0.234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B94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0.401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958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0.273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E5C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-0.047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44D0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0.236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694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0.069</w:t>
            </w:r>
          </w:p>
        </w:tc>
      </w:tr>
      <w:tr w14:paraId="769FAF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C6687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PD</w:t>
            </w: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9F22F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D22F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FD7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59E34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FF13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9242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8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05459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D004E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D27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B14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E8B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D3A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1F3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A54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B08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4E0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381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</w:p>
        </w:tc>
      </w:tr>
      <w:tr w14:paraId="136813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3A9A4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25F8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-0.005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37C9C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-0.055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CCE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-0.306***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FD73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-0.109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08D36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-0.124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ED9FB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-0.186</w:t>
            </w:r>
          </w:p>
        </w:tc>
        <w:tc>
          <w:tcPr>
            <w:tcW w:w="5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D38A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-0.054</w:t>
            </w:r>
          </w:p>
        </w:tc>
        <w:tc>
          <w:tcPr>
            <w:tcW w:w="6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58F2B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-0.079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B82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6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5AD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-0.006</w:t>
            </w:r>
          </w:p>
        </w:tc>
        <w:tc>
          <w:tcPr>
            <w:tcW w:w="6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C97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-0.218*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507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0.266**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805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-0.005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520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-0.121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68B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.000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2E7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-0.022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3AC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-0.109</w:t>
            </w:r>
          </w:p>
        </w:tc>
      </w:tr>
      <w:tr w14:paraId="2CB797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404F2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5F14A6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0.022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0F9219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0.049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24535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-0.212*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4B44D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0.166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4F1873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0.169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4B74FB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0.029</w:t>
            </w:r>
          </w:p>
        </w:tc>
        <w:tc>
          <w:tcPr>
            <w:tcW w:w="583" w:type="dxa"/>
            <w:tcBorders>
              <w:top w:val="nil"/>
              <w:tl2br w:val="nil"/>
              <w:tr2bl w:val="nil"/>
            </w:tcBorders>
            <w:vAlign w:val="center"/>
          </w:tcPr>
          <w:p w14:paraId="3BEB7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-0.075</w:t>
            </w:r>
          </w:p>
        </w:tc>
        <w:tc>
          <w:tcPr>
            <w:tcW w:w="629" w:type="dxa"/>
            <w:tcBorders>
              <w:top w:val="nil"/>
              <w:tl2br w:val="nil"/>
              <w:tr2bl w:val="nil"/>
            </w:tcBorders>
            <w:vAlign w:val="center"/>
          </w:tcPr>
          <w:p w14:paraId="02EFB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2D50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0.055</w:t>
            </w:r>
          </w:p>
        </w:tc>
        <w:tc>
          <w:tcPr>
            <w:tcW w:w="629" w:type="dxa"/>
            <w:tcBorders>
              <w:top w:val="nil"/>
              <w:tl2br w:val="nil"/>
              <w:tr2bl w:val="nil"/>
            </w:tcBorders>
            <w:vAlign w:val="center"/>
          </w:tcPr>
          <w:p w14:paraId="702B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-0.033</w:t>
            </w:r>
          </w:p>
        </w:tc>
        <w:tc>
          <w:tcPr>
            <w:tcW w:w="629" w:type="dxa"/>
            <w:tcBorders>
              <w:top w:val="nil"/>
              <w:tl2br w:val="nil"/>
              <w:tr2bl w:val="nil"/>
            </w:tcBorders>
            <w:vAlign w:val="center"/>
          </w:tcPr>
          <w:p w14:paraId="59B1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0.164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6E99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0.045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0083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0.132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3270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5545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-0.025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6144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vAlign w:val="center"/>
          </w:tcPr>
          <w:p w14:paraId="25EF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1"/>
                <w:szCs w:val="1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0.323***</w:t>
            </w:r>
          </w:p>
        </w:tc>
      </w:tr>
      <w:tr w14:paraId="295DF9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E55D6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Duration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02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0.310***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B0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0.333***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D4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1298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0.284**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122C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0.231*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969C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-0.08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65EF0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0.111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743759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0.210*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FC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0.046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4A7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0.250*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326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C58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A6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D7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CD2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437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7E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0.171</w:t>
            </w:r>
          </w:p>
        </w:tc>
      </w:tr>
      <w:tr w14:paraId="21B15F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ED276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H&amp;Y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20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0.429***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662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0.504***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22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-0.323***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0BB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0.357***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1346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0.371***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A3C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-0.272**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1C1C3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0.172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4B77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0.301***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75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0.096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20EC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0.371***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060E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0.292***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5D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7C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F8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F7A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0.234*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392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D1E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0.259**</w:t>
            </w:r>
          </w:p>
        </w:tc>
      </w:tr>
      <w:tr w14:paraId="4378E5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146D04">
            <w:pPr>
              <w:widowControl w:val="0"/>
              <w:overflowPunct w:val="0"/>
              <w:autoSpaceDE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11"/>
                <w:szCs w:val="1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0"/>
                <w:sz w:val="11"/>
                <w:szCs w:val="11"/>
                <w:highlight w:val="none"/>
                <w:vertAlign w:val="baseline"/>
                <w:lang w:val="en-US" w:eastAsia="zh-CN"/>
              </w:rPr>
              <w:t>PDQ-39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00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0.550***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B8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0.620***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E18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-0.252*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D7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0.518***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39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0.572***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37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-0.177</w:t>
            </w:r>
          </w:p>
        </w:tc>
        <w:tc>
          <w:tcPr>
            <w:tcW w:w="583" w:type="dxa"/>
            <w:tcBorders>
              <w:tl2br w:val="nil"/>
              <w:tr2bl w:val="nil"/>
            </w:tcBorders>
            <w:vAlign w:val="center"/>
          </w:tcPr>
          <w:p w14:paraId="6DE1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0.209*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5782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0.389***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F3A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0.272**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1B1B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0.358***</w:t>
            </w:r>
          </w:p>
        </w:tc>
        <w:tc>
          <w:tcPr>
            <w:tcW w:w="629" w:type="dxa"/>
            <w:tcBorders>
              <w:tl2br w:val="nil"/>
              <w:tr2bl w:val="nil"/>
            </w:tcBorders>
            <w:vAlign w:val="center"/>
          </w:tcPr>
          <w:p w14:paraId="4ECD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0.480***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00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0.352***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2F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AE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20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0.385***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9E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72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0.366***</w:t>
            </w:r>
          </w:p>
        </w:tc>
      </w:tr>
      <w:tr w14:paraId="2F2056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A248661">
            <w:pPr>
              <w:overflowPunct w:val="0"/>
              <w:spacing w:beforeLines="0" w:afterLines="0" w:line="200" w:lineRule="atLeast"/>
              <w:ind w:right="62" w:rightChars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11"/>
                <w:szCs w:val="1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11"/>
                <w:szCs w:val="11"/>
                <w:highlight w:val="none"/>
                <w:lang w:val="en-US" w:eastAsia="zh-CN"/>
              </w:rPr>
              <w:t>MDS-</w:t>
            </w:r>
            <w:r>
              <w:rPr>
                <w:rFonts w:hint="default" w:ascii="Times New Roman" w:hAnsi="Times New Roman" w:cs="Times New Roman"/>
                <w:color w:val="010205"/>
                <w:sz w:val="11"/>
                <w:szCs w:val="11"/>
                <w:highlight w:val="none"/>
                <w:lang w:val="en-US" w:eastAsia="zh-CN"/>
              </w:rPr>
              <w:t>UPDRS-Ⅲ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2200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0.364*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2153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0.484*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588A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-0.304*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06F97F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0.378*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388A8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0.309*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080490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-0.192</w:t>
            </w:r>
          </w:p>
        </w:tc>
        <w:tc>
          <w:tcPr>
            <w:tcW w:w="583" w:type="dxa"/>
            <w:tcBorders>
              <w:bottom w:val="single" w:color="auto" w:sz="8" w:space="0"/>
            </w:tcBorders>
            <w:vAlign w:val="center"/>
          </w:tcPr>
          <w:p w14:paraId="3B2FEA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-0.013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222CA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0.301*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1170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0.160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7D23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0.239***</w:t>
            </w:r>
          </w:p>
        </w:tc>
        <w:tc>
          <w:tcPr>
            <w:tcW w:w="629" w:type="dxa"/>
            <w:tcBorders>
              <w:bottom w:val="single" w:color="auto" w:sz="8" w:space="0"/>
            </w:tcBorders>
            <w:vAlign w:val="center"/>
          </w:tcPr>
          <w:p w14:paraId="185D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0.333*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0CDA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FC5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-0.138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B94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-0.113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583F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0.210*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3898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-0.017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00E6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0.294*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highlight w:val="none"/>
                <w:u w:val="none"/>
                <w:lang w:val="en-US" w:eastAsia="zh-CN" w:bidi="ar"/>
              </w:rPr>
              <w:t>*</w:t>
            </w:r>
          </w:p>
        </w:tc>
      </w:tr>
    </w:tbl>
    <w:p w14:paraId="7908B5AA">
      <w:pPr>
        <w:overflowPunct w:val="0"/>
        <w:jc w:val="both"/>
        <w:rPr>
          <w:rFonts w:hint="default" w:ascii="Times New Roman" w:hAnsi="Times New Roman" w:cs="Times New Roman" w:eastAsiaTheme="minorEastAsia"/>
          <w:spacing w:val="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 xml:space="preserve">The values in the table are the correlation coefficient </w:t>
      </w:r>
      <w:r>
        <w:rPr>
          <w:rFonts w:hint="default" w:ascii="Times New Roman" w:hAnsi="Times New Roman" w:cs="Times New Roman"/>
          <w:i/>
          <w:iCs/>
          <w:sz w:val="15"/>
          <w:szCs w:val="15"/>
          <w:lang w:val="en-US" w:eastAsia="zh-CN"/>
        </w:rPr>
        <w:t>r</w:t>
      </w:r>
      <w:r>
        <w:rPr>
          <w:rFonts w:hint="default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>;</w:t>
      </w:r>
      <w:r>
        <w:rPr>
          <w:rFonts w:hint="default" w:ascii="Times New Roman" w:hAnsi="Times New Roman" w:cs="Times New Roman"/>
          <w:i w:val="0"/>
          <w:iCs w:val="0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Significance: ***p &lt; 0.001, **p &lt; 0.01, *p &lt; 0.05</w:t>
      </w:r>
      <w:r>
        <w:rPr>
          <w:rFonts w:hint="default" w:ascii="Times New Roman" w:hAnsi="Times New Roman" w:cs="Times New Roman"/>
          <w:spacing w:val="0"/>
          <w:sz w:val="15"/>
          <w:szCs w:val="15"/>
          <w:lang w:val="en-US" w:eastAsia="zh-CN"/>
        </w:rPr>
        <w:t xml:space="preserve"> (Pearson or Spearman analysis</w:t>
      </w:r>
      <w:r>
        <w:rPr>
          <w:rFonts w:hint="eastAsia" w:ascii="Times New Roman" w:hAnsi="Times New Roman" w:cs="Times New Roman"/>
          <w:spacing w:val="0"/>
          <w:sz w:val="15"/>
          <w:szCs w:val="15"/>
          <w:lang w:val="en-US" w:eastAsia="zh-CN"/>
        </w:rPr>
        <w:t xml:space="preserve">). </w:t>
      </w:r>
      <w:r>
        <w:rPr>
          <w:rFonts w:hint="eastAsia" w:ascii="Times New Roman" w:hAnsi="Times New Roman" w:cs="Times New Roman"/>
          <w:sz w:val="15"/>
          <w:szCs w:val="15"/>
        </w:rPr>
        <w:t xml:space="preserve">Statistically signifificant correlations after </w:t>
      </w:r>
      <w:r>
        <w:rPr>
          <w:rFonts w:hint="eastAsia" w:ascii="Times New Roman" w:hAnsi="Times New Roman" w:cs="Times New Roman"/>
          <w:spacing w:val="0"/>
          <w:sz w:val="15"/>
          <w:szCs w:val="15"/>
          <w:lang w:val="en-US" w:eastAsia="zh-CN"/>
        </w:rPr>
        <w:t>Benjamini-Hochberg false discovery rate (FDR)</w:t>
      </w:r>
      <w:r>
        <w:rPr>
          <w:rFonts w:hint="eastAsia" w:ascii="Times New Roman" w:hAnsi="Times New Roman" w:cs="Times New Roman"/>
          <w:sz w:val="15"/>
          <w:szCs w:val="15"/>
        </w:rPr>
        <w:t xml:space="preserve"> correction (1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7</w:t>
      </w:r>
      <w:r>
        <w:rPr>
          <w:rFonts w:hint="eastAsia" w:ascii="Times New Roman" w:hAnsi="Times New Roman" w:cs="Times New Roman"/>
          <w:sz w:val="15"/>
          <w:szCs w:val="15"/>
        </w:rPr>
        <w:t xml:space="preserve"> NMS parameters, 6 clinical features parameters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)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.</w:t>
      </w:r>
    </w:p>
    <w:p w14:paraId="0D62142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NMSs, Non-Motor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ymptom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 xml:space="preserve">s; NMSS, Non-Motor Symptom Scale; 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PSP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12"/>
          <w:sz w:val="15"/>
          <w:szCs w:val="15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>progressive supranuclear palsy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;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 xml:space="preserve"> PD, 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Parkinson’s disease; 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>H&amp;Y</w:t>
      </w:r>
      <w:r>
        <w:rPr>
          <w:rFonts w:hint="eastAsia" w:ascii="Times New Roman" w:hAnsi="Times New Roman" w:cs="Times New Roman"/>
          <w:color w:val="010205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>stage</w:t>
      </w:r>
      <w:r>
        <w:rPr>
          <w:rFonts w:hint="eastAsia" w:ascii="Times New Roman" w:hAnsi="Times New Roman" w:cs="Times New Roman"/>
          <w:color w:val="010205"/>
          <w:sz w:val="15"/>
          <w:szCs w:val="15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  <w:t>Hoehn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>&amp;</w:t>
      </w:r>
      <w:r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  <w:t>Yahr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>stage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color w:val="010205"/>
          <w:sz w:val="15"/>
          <w:szCs w:val="15"/>
          <w:lang w:val="en-US" w:eastAsia="zh-CN"/>
        </w:rPr>
        <w:t xml:space="preserve">PDQ-39, </w:t>
      </w:r>
      <w:r>
        <w:rPr>
          <w:rFonts w:hint="eastAsia" w:ascii="Times New Roman" w:hAnsi="Times New Roman" w:cs="Times New Roman"/>
          <w:color w:val="auto"/>
          <w:sz w:val="15"/>
          <w:szCs w:val="15"/>
          <w:lang w:eastAsia="zh-CN"/>
        </w:rPr>
        <w:t>39-item Parkinson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’</w:t>
      </w:r>
      <w:r>
        <w:rPr>
          <w:rFonts w:hint="eastAsia" w:ascii="Times New Roman" w:hAnsi="Times New Roman" w:cs="Times New Roman"/>
          <w:color w:val="auto"/>
          <w:sz w:val="15"/>
          <w:szCs w:val="15"/>
          <w:lang w:eastAsia="zh-CN"/>
        </w:rPr>
        <w:t>s Disease Questionnaire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; NMSS, Non-Motor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ymptom scale; </w:t>
      </w:r>
      <w:r>
        <w:rPr>
          <w:rFonts w:hint="default" w:ascii="Times New Roman" w:hAnsi="Times New Roman" w:cs="Times New Roman"/>
          <w:color w:val="010205"/>
          <w:sz w:val="15"/>
          <w:szCs w:val="15"/>
          <w:lang w:val="en-US" w:eastAsia="zh-CN"/>
        </w:rPr>
        <w:t>MDS-</w:t>
      </w:r>
      <w:r>
        <w:rPr>
          <w:rFonts w:hint="default" w:ascii="Times New Roman" w:hAnsi="Times New Roman" w:eastAsia="宋体" w:cs="Times New Roman"/>
          <w:color w:val="231F20"/>
          <w:kern w:val="0"/>
          <w:sz w:val="15"/>
          <w:szCs w:val="15"/>
          <w:lang w:val="en-US" w:eastAsia="zh-CN" w:bidi="ar"/>
        </w:rPr>
        <w:t>UPDRS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15"/>
          <w:szCs w:val="15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>Movement Disorder Society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>Unified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>Parkinson’s Disease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 Rating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 xml:space="preserve"> Scale</w:t>
      </w:r>
      <w:r>
        <w:rPr>
          <w:rFonts w:hint="default" w:ascii="Times New Roman" w:hAnsi="Times New Roman" w:cs="Times New Roman" w:eastAsiaTheme="minorEastAsia"/>
          <w:color w:val="auto"/>
          <w:sz w:val="15"/>
          <w:szCs w:val="15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15"/>
          <w:szCs w:val="15"/>
          <w:lang w:val="en-US" w:eastAsia="zh-CN" w:bidi="ar"/>
        </w:rPr>
        <w:t xml:space="preserve">MoCA, </w:t>
      </w:r>
      <w:r>
        <w:rPr>
          <w:rFonts w:hint="default" w:ascii="Times New Roman" w:hAnsi="Times New Roman" w:cs="Times New Roman"/>
          <w:color w:val="auto"/>
          <w:sz w:val="15"/>
          <w:szCs w:val="15"/>
        </w:rPr>
        <w:t>Montreal Cognitive Assessment Scale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15"/>
          <w:szCs w:val="15"/>
          <w:lang w:eastAsia="zh-CN"/>
        </w:rPr>
        <w:t>HAM-A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5"/>
          <w:szCs w:val="15"/>
          <w:lang w:eastAsia="zh-CN"/>
        </w:rPr>
        <w:t>Hamilton Anxiety Rating Scale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15"/>
          <w:szCs w:val="15"/>
          <w:lang w:eastAsia="zh-CN"/>
        </w:rPr>
        <w:t>HAM-D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5"/>
          <w:szCs w:val="15"/>
          <w:lang w:eastAsia="zh-CN"/>
        </w:rPr>
        <w:t>Hamilton Depres</w:t>
      </w:r>
      <w:r>
        <w:rPr>
          <w:rFonts w:hint="eastAsia" w:ascii="Times New Roman" w:hAnsi="Times New Roman" w:cs="Times New Roman"/>
          <w:color w:val="auto"/>
          <w:sz w:val="15"/>
          <w:szCs w:val="15"/>
          <w:lang w:eastAsia="zh-CN"/>
        </w:rPr>
        <w:t>sion Rating Scale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  <w:t>RBD</w:t>
      </w:r>
      <w:r>
        <w:rPr>
          <w:rFonts w:hint="default" w:ascii="Times New Roman" w:hAnsi="Times New Roman" w:eastAsia="宋体" w:cs="Times New Roman"/>
          <w:spacing w:val="0"/>
          <w:sz w:val="15"/>
          <w:szCs w:val="15"/>
          <w:lang w:val="en-US" w:eastAsia="zh-CN"/>
        </w:rPr>
        <w:t xml:space="preserve">SQ, </w:t>
      </w:r>
      <w:r>
        <w:rPr>
          <w:rFonts w:hint="default" w:ascii="Times New Roman" w:hAnsi="Times New Roman" w:cs="Times New Roman" w:eastAsiaTheme="minorEastAsia"/>
          <w:color w:val="242021"/>
          <w:kern w:val="0"/>
          <w:sz w:val="15"/>
          <w:szCs w:val="15"/>
          <w:lang w:val="en-US" w:eastAsia="zh-CN" w:bidi="ar"/>
        </w:rPr>
        <w:t>Rapid Eye Movement Sleep Behavior Disorder</w:t>
      </w:r>
      <w:r>
        <w:rPr>
          <w:rFonts w:hint="default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color w:val="242021"/>
          <w:kern w:val="0"/>
          <w:sz w:val="15"/>
          <w:szCs w:val="15"/>
          <w:lang w:val="en-US" w:eastAsia="zh-CN" w:bidi="ar"/>
        </w:rPr>
        <w:t>Screening Questionnaire</w:t>
      </w:r>
      <w:r>
        <w:rPr>
          <w:rFonts w:hint="default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spacing w:val="0"/>
          <w:sz w:val="15"/>
          <w:szCs w:val="15"/>
          <w:lang w:val="en-US" w:eastAsia="zh-CN"/>
        </w:rPr>
        <w:t xml:space="preserve">PDSS-2, </w:t>
      </w:r>
      <w:r>
        <w:rPr>
          <w:rFonts w:hint="eastAsia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>Parkinson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’</w:t>
      </w:r>
      <w:r>
        <w:rPr>
          <w:rFonts w:hint="eastAsia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 xml:space="preserve">s Disease Sleep Scale 2; 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 xml:space="preserve">SS-12, </w:t>
      </w:r>
      <w:r>
        <w:rPr>
          <w:rFonts w:hint="eastAsia" w:ascii="Times New Roman" w:hAnsi="Times New Roman" w:eastAsia="宋体" w:cs="Times New Roman"/>
          <w:spacing w:val="0"/>
          <w:sz w:val="15"/>
          <w:szCs w:val="15"/>
          <w:lang w:val="en-US" w:eastAsia="zh-CN"/>
        </w:rPr>
        <w:t>Sniffin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pacing w:val="0"/>
          <w:sz w:val="15"/>
          <w:szCs w:val="15"/>
          <w:lang w:val="en-US" w:eastAsia="zh-CN"/>
        </w:rPr>
        <w:t xml:space="preserve"> Sticks Screening 12</w:t>
      </w:r>
      <w:r>
        <w:rPr>
          <w:rFonts w:hint="eastAsia" w:ascii="Times New Roman" w:hAnsi="Times New Roman" w:cs="Times New Roman"/>
          <w:color w:val="242021"/>
          <w:kern w:val="0"/>
          <w:sz w:val="15"/>
          <w:szCs w:val="15"/>
          <w:lang w:val="en-US" w:eastAsia="zh-CN" w:bidi="ar"/>
        </w:rPr>
        <w:t>.</w:t>
      </w:r>
      <w:r>
        <w:rPr>
          <w:rFonts w:hint="default" w:ascii="Times New Roman" w:hAnsi="Times New Roman" w:cs="Times New Roman"/>
          <w:color w:val="242021"/>
          <w:kern w:val="0"/>
          <w:sz w:val="18"/>
          <w:szCs w:val="18"/>
          <w:lang w:val="en-US" w:eastAsia="zh-CN" w:bidi="ar"/>
        </w:rPr>
        <w:t xml:space="preserve"> </w:t>
      </w:r>
    </w:p>
    <w:sectPr>
      <w:pgSz w:w="16838" w:h="11906" w:orient="landscape"/>
      <w:pgMar w:top="1746" w:right="1440" w:bottom="174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8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MTg1MjM1NDA1M2IzOTUxM2E1OTZiYzRmMTZkYm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6F9D0FB0"/>
    <w:rsid w:val="02924DDB"/>
    <w:rsid w:val="03131042"/>
    <w:rsid w:val="07D41268"/>
    <w:rsid w:val="0C053589"/>
    <w:rsid w:val="1561005B"/>
    <w:rsid w:val="165D00AB"/>
    <w:rsid w:val="1A5230CB"/>
    <w:rsid w:val="1D0E157D"/>
    <w:rsid w:val="1FC85AE5"/>
    <w:rsid w:val="375D1B59"/>
    <w:rsid w:val="3BEC7D1C"/>
    <w:rsid w:val="3E2278E4"/>
    <w:rsid w:val="410A6439"/>
    <w:rsid w:val="45946C31"/>
    <w:rsid w:val="468B47AB"/>
    <w:rsid w:val="54404705"/>
    <w:rsid w:val="55D14D6E"/>
    <w:rsid w:val="572D0293"/>
    <w:rsid w:val="5A04735D"/>
    <w:rsid w:val="6727482F"/>
    <w:rsid w:val="6E50180B"/>
    <w:rsid w:val="6F4C5B1C"/>
    <w:rsid w:val="6F9D0FB0"/>
    <w:rsid w:val="74B53F65"/>
    <w:rsid w:val="7D08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rPr>
      <w:sz w:val="2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annotation reference"/>
    <w:basedOn w:val="6"/>
    <w:semiHidden/>
    <w:unhideWhenUsed/>
    <w:qFormat/>
    <w:uiPriority w:val="99"/>
    <w:rPr>
      <w:sz w:val="16"/>
      <w:szCs w:val="16"/>
    </w:rPr>
  </w:style>
  <w:style w:type="paragraph" w:customStyle="1" w:styleId="9">
    <w:name w:val="样式1"/>
    <w:basedOn w:val="1"/>
    <w:qFormat/>
    <w:uiPriority w:val="0"/>
    <w:pPr>
      <w:widowControl w:val="0"/>
      <w:kinsoku/>
      <w:wordWrap w:val="0"/>
      <w:jc w:val="both"/>
      <w:textAlignment w:val="top"/>
    </w:pPr>
    <w:rPr>
      <w:rFonts w:hint="eastAsia" w:ascii="Arial" w:hAnsi="Arial" w:eastAsia="Arial" w:cs="Arial"/>
      <w:snapToGrid w:val="0"/>
      <w:color w:val="000000"/>
      <w:spacing w:val="-6"/>
      <w:kern w:val="0"/>
      <w:position w:val="19"/>
      <w:szCs w:val="21"/>
      <w:lang w:eastAsia="zh-CN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1">
    <w:name w:val="EndNote Bibliography Title"/>
    <w:basedOn w:val="12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</w:style>
  <w:style w:type="paragraph" w:customStyle="1" w:styleId="12">
    <w:name w:val="EndNote Bibliography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/>
      <w:autoSpaceDN/>
      <w:jc w:val="both"/>
      <w:textAlignment w:val="top"/>
    </w:pPr>
    <w:rPr>
      <w:rFonts w:ascii="Calibri" w:hAnsi="Calibri" w:cs="Calibri" w:eastAsiaTheme="minorEastAsia"/>
      <w:sz w:val="20"/>
    </w:rPr>
  </w:style>
  <w:style w:type="character" w:customStyle="1" w:styleId="13">
    <w:name w:val="font2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4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paragraph" w:customStyle="1" w:styleId="15">
    <w:name w:val="样式2"/>
    <w:basedOn w:val="1"/>
    <w:qFormat/>
    <w:uiPriority w:val="0"/>
    <w:rPr>
      <w:rFonts w:hint="eastAsia" w:eastAsia="Times New Roman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2255</Characters>
  <Lines>0</Lines>
  <Paragraphs>0</Paragraphs>
  <TotalTime>1</TotalTime>
  <ScaleCrop>false</ScaleCrop>
  <LinksUpToDate>false</LinksUpToDate>
  <CharactersWithSpaces>2381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2024-04-18T12:00:00Z</dcterms:created>
  <dc:creator>林晓燕</dc:creator>
  <cp:lastModifiedBy>林晓燕</cp:lastModifiedBy>
  <dcterms:modified xsi:type="dcterms:W3CDTF">2025-04-24T08:44:18Z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1ECD9A1D676945CCB8F93C1D47472884_13</vt:lpwstr>
  </property>
  <property fmtid="{D5CDD505-2E9C-101B-9397-08002B2CF9AE}" pid="4" name="KSOTemplateDocerSaveRecord">
    <vt:lpwstr>eyJoZGlkIjoiYmIzMTg1MjM1NDA1M2IzOTUxM2E1OTZiYzRmMTZkYmQiLCJ1c2VySWQiOiIzMzcxOTY3ODcifQ==</vt:lpwstr>
  </property>
</Properties>
</file>