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rtl w:val="0"/>
        </w:rPr>
        <w:t xml:space="preserve">Search strategy: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PubMed, 29th November, 285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(("Hyperintense white matter*" OR "Hyper-intensive white matter*" OR "HWM" OR "White Matter Hyperintensit*" OR "WMH" OR "asymptomatic brain*" OR "asymptomatic cerebral*") AND ("Pilots"[Mesh] OR "pilot" OR "High altitude*" OR "astronaut" OR "space"))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Scopus, 29th November, 786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( TITLE-ABS-KEY ( "Hyperintense white matter*" OR "Hyper-intensive white matter*" OR "HWM" OR "White Matter Hyperintensit*" OR "WMH" OR "asymptomatic brain*" OR "asymptomatic cerebral*" ) AND TITLE-ABS-KEY ( "pilot" OR "High altitude*" OR "astronaut" OR "space" ) )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Web of Science, 29th November, 466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"Hyperintense white matter*" OR "Hyper-intensive white matter*" OR "HWM" OR "White Matter Hyperintensit*" OR "WMH" OR "asymptomatic brain*" OR "asymptomatic cerebral*" (All Fields) and "pilot" OR "High altitude*" OR "astronaut" OR "space" (All Fields)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