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68EA6" w14:textId="413DCBC8" w:rsidR="00B80FC0" w:rsidRPr="00C02A93" w:rsidRDefault="00B80FC0">
      <w:pPr>
        <w:rPr>
          <w:rFonts w:ascii="Arial" w:hAnsi="Arial" w:cs="Arial"/>
          <w:b/>
          <w:bCs/>
          <w:sz w:val="22"/>
          <w:szCs w:val="22"/>
        </w:rPr>
      </w:pPr>
      <w:r w:rsidRPr="00C02A93">
        <w:rPr>
          <w:rFonts w:ascii="Arial" w:hAnsi="Arial" w:cs="Arial"/>
          <w:b/>
          <w:bCs/>
          <w:sz w:val="22"/>
          <w:szCs w:val="22"/>
        </w:rPr>
        <w:t>Table S1.  Differential expression results for mRNA.</w:t>
      </w:r>
    </w:p>
    <w:p w14:paraId="242ED070" w14:textId="77777777" w:rsidR="00B80FC0" w:rsidRPr="00C02A93" w:rsidRDefault="00B80FC0">
      <w:pPr>
        <w:rPr>
          <w:rFonts w:ascii="Arial" w:hAnsi="Arial" w:cs="Arial"/>
          <w:sz w:val="22"/>
          <w:szCs w:val="22"/>
        </w:rPr>
      </w:pPr>
    </w:p>
    <w:p w14:paraId="23210C19" w14:textId="55E74E8A" w:rsidR="00B80FC0" w:rsidRPr="00C02A93" w:rsidRDefault="00B80FC0">
      <w:pPr>
        <w:rPr>
          <w:rFonts w:ascii="Arial" w:hAnsi="Arial" w:cs="Arial"/>
          <w:sz w:val="22"/>
          <w:szCs w:val="22"/>
        </w:rPr>
      </w:pPr>
      <w:r w:rsidRPr="00C02A93">
        <w:rPr>
          <w:rFonts w:ascii="Arial" w:hAnsi="Arial" w:cs="Arial"/>
          <w:sz w:val="22"/>
          <w:szCs w:val="22"/>
        </w:rPr>
        <w:t>Expression data was normalized and log</w:t>
      </w:r>
      <w:r w:rsidRPr="00C02A93">
        <w:rPr>
          <w:rFonts w:ascii="Arial" w:hAnsi="Arial" w:cs="Arial"/>
          <w:sz w:val="22"/>
          <w:szCs w:val="22"/>
          <w:vertAlign w:val="subscript"/>
        </w:rPr>
        <w:t>2</w:t>
      </w:r>
      <w:r w:rsidRPr="00C02A93">
        <w:rPr>
          <w:rFonts w:ascii="Arial" w:hAnsi="Arial" w:cs="Arial"/>
          <w:sz w:val="22"/>
          <w:szCs w:val="22"/>
        </w:rPr>
        <w:t>-transformed for analysis</w:t>
      </w:r>
      <w:r w:rsidR="0083673E" w:rsidRPr="00C02A93">
        <w:rPr>
          <w:rFonts w:ascii="Arial" w:hAnsi="Arial" w:cs="Arial"/>
          <w:sz w:val="22"/>
          <w:szCs w:val="22"/>
        </w:rPr>
        <w:t xml:space="preserve"> (see Methods)</w:t>
      </w:r>
      <w:r w:rsidRPr="00C02A93">
        <w:rPr>
          <w:rFonts w:ascii="Arial" w:hAnsi="Arial" w:cs="Arial"/>
          <w:sz w:val="22"/>
          <w:szCs w:val="22"/>
        </w:rPr>
        <w:t xml:space="preserve">.  Three tabs provide results for the three timepoint comparisons analyzed: 72 hours vs. baseline, 7 days vs. baseline, and 7 days vs. 72 hours.  Columns for each tab of the file are as follows: Gene name, P-value from the paired t-test, the FDR-adjusted P-value from the paired t-test, the mean difference in </w:t>
      </w:r>
      <w:r w:rsidR="0083673E" w:rsidRPr="00C02A93">
        <w:rPr>
          <w:rFonts w:ascii="Arial" w:hAnsi="Arial" w:cs="Arial"/>
          <w:sz w:val="22"/>
          <w:szCs w:val="22"/>
        </w:rPr>
        <w:t xml:space="preserve">mRNA </w:t>
      </w:r>
      <w:r w:rsidRPr="00C02A93">
        <w:rPr>
          <w:rFonts w:ascii="Arial" w:hAnsi="Arial" w:cs="Arial"/>
          <w:sz w:val="22"/>
          <w:szCs w:val="22"/>
        </w:rPr>
        <w:t>expression values, and the standard deviation for the mean difference in expression values.</w:t>
      </w:r>
    </w:p>
    <w:p w14:paraId="0958E637" w14:textId="77777777" w:rsidR="00B80FC0" w:rsidRPr="00C02A93" w:rsidRDefault="00B80FC0">
      <w:pPr>
        <w:rPr>
          <w:rFonts w:ascii="Arial" w:hAnsi="Arial" w:cs="Arial"/>
          <w:sz w:val="22"/>
          <w:szCs w:val="22"/>
        </w:rPr>
      </w:pPr>
    </w:p>
    <w:p w14:paraId="609E0D51" w14:textId="77777777" w:rsidR="00C02A93" w:rsidRDefault="00C02A93" w:rsidP="00B80FC0">
      <w:pPr>
        <w:rPr>
          <w:rFonts w:ascii="Arial" w:hAnsi="Arial" w:cs="Arial"/>
          <w:b/>
          <w:bCs/>
          <w:sz w:val="22"/>
          <w:szCs w:val="22"/>
        </w:rPr>
      </w:pPr>
    </w:p>
    <w:p w14:paraId="3EE89356" w14:textId="36BBE071" w:rsidR="00B80FC0" w:rsidRPr="00C02A93" w:rsidRDefault="00B80FC0" w:rsidP="00B80FC0">
      <w:pPr>
        <w:rPr>
          <w:rFonts w:ascii="Arial" w:hAnsi="Arial" w:cs="Arial"/>
          <w:b/>
          <w:bCs/>
          <w:sz w:val="22"/>
          <w:szCs w:val="22"/>
        </w:rPr>
      </w:pPr>
      <w:r w:rsidRPr="00C02A93">
        <w:rPr>
          <w:rFonts w:ascii="Arial" w:hAnsi="Arial" w:cs="Arial"/>
          <w:b/>
          <w:bCs/>
          <w:sz w:val="22"/>
          <w:szCs w:val="22"/>
        </w:rPr>
        <w:t>Table S2.  Differential expression results for miRNA.</w:t>
      </w:r>
    </w:p>
    <w:p w14:paraId="7B691252" w14:textId="77777777" w:rsidR="00B80FC0" w:rsidRPr="00C02A93" w:rsidRDefault="00B80FC0" w:rsidP="00B80FC0">
      <w:pPr>
        <w:rPr>
          <w:rFonts w:ascii="Arial" w:hAnsi="Arial" w:cs="Arial"/>
          <w:sz w:val="22"/>
          <w:szCs w:val="22"/>
        </w:rPr>
      </w:pPr>
    </w:p>
    <w:p w14:paraId="08F0C9F4" w14:textId="7799277B" w:rsidR="00B80FC0" w:rsidRPr="00C02A93" w:rsidRDefault="00B80FC0" w:rsidP="00B80FC0">
      <w:pPr>
        <w:rPr>
          <w:rFonts w:ascii="Arial" w:hAnsi="Arial" w:cs="Arial"/>
          <w:sz w:val="22"/>
          <w:szCs w:val="22"/>
        </w:rPr>
      </w:pPr>
      <w:r w:rsidRPr="00C02A93">
        <w:rPr>
          <w:rFonts w:ascii="Arial" w:hAnsi="Arial" w:cs="Arial"/>
          <w:sz w:val="22"/>
          <w:szCs w:val="22"/>
        </w:rPr>
        <w:t>Expression data was normalized and log</w:t>
      </w:r>
      <w:r w:rsidRPr="00C02A93">
        <w:rPr>
          <w:rFonts w:ascii="Arial" w:hAnsi="Arial" w:cs="Arial"/>
          <w:sz w:val="22"/>
          <w:szCs w:val="22"/>
          <w:vertAlign w:val="subscript"/>
        </w:rPr>
        <w:t>2</w:t>
      </w:r>
      <w:r w:rsidRPr="00C02A93">
        <w:rPr>
          <w:rFonts w:ascii="Arial" w:hAnsi="Arial" w:cs="Arial"/>
          <w:sz w:val="22"/>
          <w:szCs w:val="22"/>
        </w:rPr>
        <w:t>-transformed for analysis</w:t>
      </w:r>
      <w:r w:rsidR="0083673E" w:rsidRPr="00C02A93">
        <w:rPr>
          <w:rFonts w:ascii="Arial" w:hAnsi="Arial" w:cs="Arial"/>
          <w:sz w:val="22"/>
          <w:szCs w:val="22"/>
        </w:rPr>
        <w:t xml:space="preserve"> (see Methods)</w:t>
      </w:r>
      <w:r w:rsidRPr="00C02A93">
        <w:rPr>
          <w:rFonts w:ascii="Arial" w:hAnsi="Arial" w:cs="Arial"/>
          <w:sz w:val="22"/>
          <w:szCs w:val="22"/>
        </w:rPr>
        <w:t xml:space="preserve">.  Three tabs provide results for the three timepoint comparisons analyzed: 72 hours vs. baseline, 7 days vs. baseline, and 7 days vs. 72 hours.  Columns for each tab of the file are as follows: Gene name, P-value from the paired t-test, the FDR-adjusted P-value from the paired t-test, the mean difference in </w:t>
      </w:r>
      <w:r w:rsidR="0083673E" w:rsidRPr="00C02A93">
        <w:rPr>
          <w:rFonts w:ascii="Arial" w:hAnsi="Arial" w:cs="Arial"/>
          <w:sz w:val="22"/>
          <w:szCs w:val="22"/>
        </w:rPr>
        <w:t xml:space="preserve">miRNA </w:t>
      </w:r>
      <w:r w:rsidRPr="00C02A93">
        <w:rPr>
          <w:rFonts w:ascii="Arial" w:hAnsi="Arial" w:cs="Arial"/>
          <w:sz w:val="22"/>
          <w:szCs w:val="22"/>
        </w:rPr>
        <w:t>expression values, and the standard deviation for the mean difference in expression values.</w:t>
      </w:r>
    </w:p>
    <w:p w14:paraId="2111B20E" w14:textId="77777777" w:rsidR="00B80FC0" w:rsidRPr="00C02A93" w:rsidRDefault="00B80FC0">
      <w:pPr>
        <w:rPr>
          <w:rFonts w:ascii="Arial" w:hAnsi="Arial" w:cs="Arial"/>
          <w:sz w:val="22"/>
          <w:szCs w:val="22"/>
        </w:rPr>
      </w:pPr>
    </w:p>
    <w:p w14:paraId="6716C420" w14:textId="77777777" w:rsidR="00C02A93" w:rsidRDefault="00C02A93" w:rsidP="004B5A7A">
      <w:pPr>
        <w:rPr>
          <w:rFonts w:ascii="Arial" w:hAnsi="Arial" w:cs="Arial"/>
          <w:b/>
          <w:bCs/>
          <w:sz w:val="22"/>
          <w:szCs w:val="22"/>
        </w:rPr>
      </w:pPr>
    </w:p>
    <w:p w14:paraId="5A7B1BBB" w14:textId="2A71B418" w:rsidR="004B5A7A" w:rsidRPr="00C02A93" w:rsidRDefault="004B5A7A" w:rsidP="004B5A7A">
      <w:pPr>
        <w:rPr>
          <w:rFonts w:ascii="Arial" w:eastAsia="Times New Roman" w:hAnsi="Arial" w:cs="Arial"/>
          <w:b/>
          <w:bCs/>
          <w:color w:val="000000"/>
          <w:kern w:val="0"/>
          <w:sz w:val="22"/>
          <w:szCs w:val="22"/>
          <w14:ligatures w14:val="none"/>
        </w:rPr>
      </w:pPr>
      <w:r w:rsidRPr="00C02A93">
        <w:rPr>
          <w:rFonts w:ascii="Arial" w:hAnsi="Arial" w:cs="Arial"/>
          <w:b/>
          <w:bCs/>
          <w:sz w:val="22"/>
          <w:szCs w:val="22"/>
        </w:rPr>
        <w:t xml:space="preserve">Table S3. Significantly correlated miRNA-mRNA pairs supported by </w:t>
      </w:r>
      <w:proofErr w:type="spellStart"/>
      <w:r w:rsidRPr="00C02A93">
        <w:rPr>
          <w:rFonts w:ascii="Arial" w:hAnsi="Arial" w:cs="Arial"/>
          <w:b/>
          <w:bCs/>
          <w:sz w:val="22"/>
          <w:szCs w:val="22"/>
        </w:rPr>
        <w:t>TargetScan</w:t>
      </w:r>
      <w:proofErr w:type="spellEnd"/>
      <w:r w:rsidRPr="00C02A93">
        <w:rPr>
          <w:rFonts w:ascii="Arial" w:hAnsi="Arial" w:cs="Arial"/>
          <w:b/>
          <w:bCs/>
          <w:sz w:val="22"/>
          <w:szCs w:val="22"/>
        </w:rPr>
        <w:t xml:space="preserve"> or </w:t>
      </w:r>
      <w:proofErr w:type="spellStart"/>
      <w:r w:rsidRPr="00C02A93">
        <w:rPr>
          <w:rFonts w:ascii="Arial" w:hAnsi="Arial" w:cs="Arial"/>
          <w:b/>
          <w:bCs/>
          <w:sz w:val="22"/>
          <w:szCs w:val="22"/>
        </w:rPr>
        <w:t>MirTarBase</w:t>
      </w:r>
      <w:proofErr w:type="spellEnd"/>
      <w:r w:rsidRPr="00C02A93">
        <w:rPr>
          <w:rFonts w:ascii="Arial" w:hAnsi="Arial" w:cs="Arial"/>
          <w:b/>
          <w:bCs/>
          <w:sz w:val="22"/>
          <w:szCs w:val="22"/>
        </w:rPr>
        <w:t xml:space="preserve"> </w:t>
      </w:r>
    </w:p>
    <w:p w14:paraId="0EA7DDC6" w14:textId="77777777" w:rsidR="004B5A7A" w:rsidRPr="00C02A93" w:rsidRDefault="004B5A7A" w:rsidP="004B5A7A">
      <w:pPr>
        <w:rPr>
          <w:rFonts w:ascii="Arial" w:eastAsia="Times New Roman" w:hAnsi="Arial" w:cs="Arial"/>
          <w:color w:val="000000"/>
          <w:kern w:val="0"/>
          <w:sz w:val="22"/>
          <w:szCs w:val="22"/>
          <w14:ligatures w14:val="none"/>
        </w:rPr>
      </w:pPr>
    </w:p>
    <w:p w14:paraId="1559FD6C" w14:textId="409AD67A" w:rsidR="004B5A7A" w:rsidRPr="00C02A93" w:rsidRDefault="004B5A7A" w:rsidP="004B5A7A">
      <w:pPr>
        <w:rPr>
          <w:rFonts w:ascii="Arial" w:eastAsia="Times New Roman" w:hAnsi="Arial" w:cs="Arial"/>
          <w:color w:val="000000"/>
          <w:kern w:val="0"/>
          <w:sz w:val="22"/>
          <w:szCs w:val="22"/>
          <w14:ligatures w14:val="none"/>
        </w:rPr>
      </w:pPr>
      <w:r w:rsidRPr="00C02A93">
        <w:rPr>
          <w:rFonts w:ascii="Arial" w:eastAsia="Times New Roman" w:hAnsi="Arial" w:cs="Arial"/>
          <w:color w:val="000000"/>
          <w:kern w:val="0"/>
          <w:sz w:val="22"/>
          <w:szCs w:val="22"/>
          <w14:ligatures w14:val="none"/>
        </w:rPr>
        <w:t xml:space="preserve">Significantly correlated miRNA-mRNA pairs were defined as having Spearman correlation coefficient  r &lt; -0.4 and p&lt;0.05. </w:t>
      </w:r>
      <w:proofErr w:type="spellStart"/>
      <w:r w:rsidRPr="00C02A93">
        <w:rPr>
          <w:rFonts w:ascii="Arial" w:eastAsia="Times New Roman" w:hAnsi="Arial" w:cs="Arial"/>
          <w:color w:val="000000"/>
          <w:kern w:val="0"/>
          <w:sz w:val="22"/>
          <w:szCs w:val="22"/>
          <w14:ligatures w14:val="none"/>
        </w:rPr>
        <w:t>TargetScan</w:t>
      </w:r>
      <w:proofErr w:type="spellEnd"/>
      <w:r w:rsidRPr="00C02A93">
        <w:rPr>
          <w:rFonts w:ascii="Arial" w:eastAsia="Times New Roman" w:hAnsi="Arial" w:cs="Arial"/>
          <w:color w:val="000000"/>
          <w:kern w:val="0"/>
          <w:sz w:val="22"/>
          <w:szCs w:val="22"/>
          <w14:ligatures w14:val="none"/>
        </w:rPr>
        <w:t xml:space="preserve"> (</w:t>
      </w:r>
      <w:proofErr w:type="spellStart"/>
      <w:r w:rsidRPr="00C02A93">
        <w:rPr>
          <w:rFonts w:ascii="Arial" w:eastAsia="Times New Roman" w:hAnsi="Arial" w:cs="Arial"/>
          <w:color w:val="000000"/>
          <w:kern w:val="0"/>
          <w:sz w:val="22"/>
          <w:szCs w:val="22"/>
          <w14:ligatures w14:val="none"/>
        </w:rPr>
        <w:t>ver</w:t>
      </w:r>
      <w:proofErr w:type="spellEnd"/>
      <w:r w:rsidRPr="00C02A93">
        <w:rPr>
          <w:rFonts w:ascii="Arial" w:eastAsia="Times New Roman" w:hAnsi="Arial" w:cs="Arial"/>
          <w:color w:val="000000"/>
          <w:kern w:val="0"/>
          <w:sz w:val="22"/>
          <w:szCs w:val="22"/>
          <w14:ligatures w14:val="none"/>
        </w:rPr>
        <w:t xml:space="preserve"> 8.0) and </w:t>
      </w:r>
      <w:proofErr w:type="spellStart"/>
      <w:r w:rsidRPr="00C02A93">
        <w:rPr>
          <w:rFonts w:ascii="Arial" w:eastAsia="Times New Roman" w:hAnsi="Arial" w:cs="Arial"/>
          <w:color w:val="000000"/>
          <w:kern w:val="0"/>
          <w:sz w:val="22"/>
          <w:szCs w:val="22"/>
          <w14:ligatures w14:val="none"/>
        </w:rPr>
        <w:t>MirTarBase</w:t>
      </w:r>
      <w:proofErr w:type="spellEnd"/>
      <w:r w:rsidRPr="00C02A93">
        <w:rPr>
          <w:rFonts w:ascii="Arial" w:eastAsia="Times New Roman" w:hAnsi="Arial" w:cs="Arial"/>
          <w:color w:val="000000"/>
          <w:kern w:val="0"/>
          <w:sz w:val="22"/>
          <w:szCs w:val="22"/>
          <w14:ligatures w14:val="none"/>
        </w:rPr>
        <w:t xml:space="preserve"> (</w:t>
      </w:r>
      <w:proofErr w:type="spellStart"/>
      <w:r w:rsidRPr="00C02A93">
        <w:rPr>
          <w:rFonts w:ascii="Arial" w:eastAsia="Times New Roman" w:hAnsi="Arial" w:cs="Arial"/>
          <w:color w:val="000000"/>
          <w:kern w:val="0"/>
          <w:sz w:val="22"/>
          <w:szCs w:val="22"/>
          <w14:ligatures w14:val="none"/>
        </w:rPr>
        <w:t>ver</w:t>
      </w:r>
      <w:proofErr w:type="spellEnd"/>
      <w:r w:rsidRPr="00C02A93">
        <w:rPr>
          <w:rFonts w:ascii="Arial" w:eastAsia="Times New Roman" w:hAnsi="Arial" w:cs="Arial"/>
          <w:color w:val="000000"/>
          <w:kern w:val="0"/>
          <w:sz w:val="22"/>
          <w:szCs w:val="22"/>
          <w14:ligatures w14:val="none"/>
        </w:rPr>
        <w:t xml:space="preserve"> 9.0) were queried for these miRNA-mRNA pairs to bolster evidence of predicted interactions.</w:t>
      </w:r>
    </w:p>
    <w:p w14:paraId="346C5502" w14:textId="04461E2A" w:rsidR="004B5A7A" w:rsidRPr="00C02A93" w:rsidRDefault="004B5A7A">
      <w:pPr>
        <w:rPr>
          <w:rFonts w:ascii="Arial" w:eastAsia="Times New Roman" w:hAnsi="Arial" w:cs="Arial"/>
          <w:b/>
          <w:bCs/>
          <w:color w:val="000000"/>
          <w:kern w:val="0"/>
          <w:sz w:val="22"/>
          <w:szCs w:val="22"/>
          <w14:ligatures w14:val="none"/>
        </w:rPr>
      </w:pPr>
    </w:p>
    <w:p w14:paraId="0B31D50D" w14:textId="77777777" w:rsidR="00C02A93" w:rsidRDefault="00C02A93" w:rsidP="00D64665">
      <w:pPr>
        <w:rPr>
          <w:rFonts w:ascii="Arial" w:hAnsi="Arial" w:cs="Arial"/>
          <w:b/>
          <w:bCs/>
          <w:sz w:val="22"/>
          <w:szCs w:val="22"/>
        </w:rPr>
      </w:pPr>
    </w:p>
    <w:p w14:paraId="317AEAF7" w14:textId="6F6EDD6F" w:rsidR="00D64665" w:rsidRDefault="00C40FC1" w:rsidP="00D64665">
      <w:pPr>
        <w:rPr>
          <w:rFonts w:ascii="Arial" w:hAnsi="Arial" w:cs="Arial"/>
          <w:b/>
          <w:bCs/>
          <w:sz w:val="22"/>
          <w:szCs w:val="22"/>
        </w:rPr>
      </w:pPr>
      <w:r w:rsidRPr="00C02A93">
        <w:rPr>
          <w:rFonts w:ascii="Arial" w:hAnsi="Arial" w:cs="Arial"/>
          <w:b/>
          <w:bCs/>
          <w:sz w:val="22"/>
          <w:szCs w:val="22"/>
        </w:rPr>
        <w:t>Table S4.</w:t>
      </w:r>
      <w:r w:rsidR="00D64665" w:rsidRPr="00C02A93">
        <w:rPr>
          <w:rFonts w:ascii="Arial" w:hAnsi="Arial" w:cs="Arial"/>
          <w:b/>
          <w:bCs/>
          <w:sz w:val="22"/>
          <w:szCs w:val="22"/>
        </w:rPr>
        <w:t xml:space="preserve"> Testing for differences in the principal component analysis of differences in two timepoints and projected onto the differences for the other two timepoints. </w:t>
      </w:r>
    </w:p>
    <w:p w14:paraId="78CB9FBC" w14:textId="77777777" w:rsidR="00C02A93" w:rsidRPr="00C02A93" w:rsidRDefault="00C02A93" w:rsidP="00D64665">
      <w:pPr>
        <w:rPr>
          <w:rFonts w:ascii="Arial" w:hAnsi="Arial" w:cs="Arial"/>
          <w:b/>
          <w:bCs/>
          <w:sz w:val="22"/>
          <w:szCs w:val="22"/>
        </w:rPr>
      </w:pPr>
    </w:p>
    <w:p w14:paraId="72713984" w14:textId="570E30ED" w:rsidR="00C40FC1" w:rsidRPr="00C02A93" w:rsidRDefault="00C02A93">
      <w:pPr>
        <w:rPr>
          <w:rFonts w:ascii="Arial" w:hAnsi="Arial" w:cs="Arial"/>
          <w:b/>
          <w:bCs/>
          <w:sz w:val="22"/>
          <w:szCs w:val="22"/>
        </w:rPr>
      </w:pPr>
      <w:r w:rsidRPr="00C02A93">
        <w:rPr>
          <w:rFonts w:ascii="Arial" w:hAnsi="Arial" w:cs="Arial"/>
          <w:color w:val="000000"/>
          <w:kern w:val="0"/>
          <w:sz w:val="22"/>
          <w:szCs w:val="22"/>
        </w:rPr>
        <w:t xml:space="preserve">A principal component analysis (PCA) was computed on the differences in the expression for the timeframe identifying specified pathway identified in the bioinformatic analyses. Using the first timeframe, the loadings defining the first principal component (PC) were used to project the first PC onto the differences in expression in the second timeframe; the first PC captures the dominant shared variation across the differences in gene expression between the two timepoints. For each pathway, a paired t-test was computed to test whether the first principal component was statistically different between the two timepoints. The first PC captures the dominant variation and is </w:t>
      </w:r>
      <w:r w:rsidRPr="00C02A93">
        <w:rPr>
          <w:rFonts w:ascii="Arial" w:hAnsi="Arial" w:cs="Arial"/>
          <w:i/>
          <w:iCs/>
          <w:color w:val="000000"/>
          <w:kern w:val="0"/>
          <w:sz w:val="22"/>
          <w:szCs w:val="22"/>
        </w:rPr>
        <w:t>a priori</w:t>
      </w:r>
      <w:r w:rsidRPr="00C02A93">
        <w:rPr>
          <w:rFonts w:ascii="Arial" w:hAnsi="Arial" w:cs="Arial"/>
          <w:color w:val="000000"/>
          <w:kern w:val="0"/>
          <w:sz w:val="22"/>
          <w:szCs w:val="22"/>
        </w:rPr>
        <w:t xml:space="preserve"> focus. However, the process was repeated for the second, third, and fourth PC</w:t>
      </w:r>
      <w:r>
        <w:rPr>
          <w:rFonts w:ascii="Arial" w:hAnsi="Arial" w:cs="Arial"/>
          <w:color w:val="000000"/>
          <w:kern w:val="0"/>
          <w:sz w:val="22"/>
          <w:szCs w:val="22"/>
        </w:rPr>
        <w:t xml:space="preserve"> to illustrate the decay in proportion of variation explained and for completeness</w:t>
      </w:r>
      <w:r w:rsidRPr="00C02A93">
        <w:rPr>
          <w:rFonts w:ascii="Arial" w:hAnsi="Arial" w:cs="Arial"/>
          <w:color w:val="000000"/>
          <w:kern w:val="0"/>
          <w:sz w:val="22"/>
          <w:szCs w:val="22"/>
        </w:rPr>
        <w:t>.</w:t>
      </w:r>
    </w:p>
    <w:p w14:paraId="1D20ED8B" w14:textId="77777777" w:rsidR="00C02A93" w:rsidRDefault="00C02A93">
      <w:pPr>
        <w:rPr>
          <w:rFonts w:ascii="Arial" w:hAnsi="Arial" w:cs="Arial"/>
          <w:b/>
          <w:bCs/>
          <w:sz w:val="22"/>
          <w:szCs w:val="22"/>
        </w:rPr>
      </w:pPr>
    </w:p>
    <w:p w14:paraId="22D9E0BA" w14:textId="11C71297" w:rsidR="004B5A7A" w:rsidRPr="00C02A93" w:rsidRDefault="004B5A7A">
      <w:pPr>
        <w:rPr>
          <w:rFonts w:ascii="Arial" w:hAnsi="Arial" w:cs="Arial"/>
          <w:b/>
          <w:bCs/>
          <w:sz w:val="22"/>
          <w:szCs w:val="22"/>
        </w:rPr>
      </w:pPr>
      <w:r w:rsidRPr="00C02A93">
        <w:rPr>
          <w:rFonts w:ascii="Arial" w:hAnsi="Arial" w:cs="Arial"/>
          <w:b/>
          <w:bCs/>
          <w:sz w:val="22"/>
          <w:szCs w:val="22"/>
        </w:rPr>
        <w:t>Table S</w:t>
      </w:r>
      <w:r w:rsidR="00C40FC1" w:rsidRPr="00C02A93">
        <w:rPr>
          <w:rFonts w:ascii="Arial" w:hAnsi="Arial" w:cs="Arial"/>
          <w:b/>
          <w:bCs/>
          <w:sz w:val="22"/>
          <w:szCs w:val="22"/>
        </w:rPr>
        <w:t>5</w:t>
      </w:r>
      <w:r w:rsidRPr="00C02A93">
        <w:rPr>
          <w:rFonts w:ascii="Arial" w:hAnsi="Arial" w:cs="Arial"/>
          <w:b/>
          <w:bCs/>
          <w:sz w:val="22"/>
          <w:szCs w:val="22"/>
        </w:rPr>
        <w:t>. Associations between clinical</w:t>
      </w:r>
      <w:r w:rsidR="008E125C" w:rsidRPr="00C02A93">
        <w:rPr>
          <w:rFonts w:ascii="Arial" w:hAnsi="Arial" w:cs="Arial"/>
          <w:b/>
          <w:bCs/>
          <w:sz w:val="22"/>
          <w:szCs w:val="22"/>
        </w:rPr>
        <w:t>/</w:t>
      </w:r>
      <w:r w:rsidRPr="00C02A93">
        <w:rPr>
          <w:rFonts w:ascii="Arial" w:hAnsi="Arial" w:cs="Arial"/>
          <w:b/>
          <w:bCs/>
          <w:sz w:val="22"/>
          <w:szCs w:val="22"/>
        </w:rPr>
        <w:t>d</w:t>
      </w:r>
      <w:r w:rsidR="008E125C" w:rsidRPr="00C02A93">
        <w:rPr>
          <w:rFonts w:ascii="Arial" w:hAnsi="Arial" w:cs="Arial"/>
          <w:b/>
          <w:bCs/>
          <w:sz w:val="22"/>
          <w:szCs w:val="22"/>
        </w:rPr>
        <w:t>emographic variables and miRNAs correlated with Neutrophil Degranulation Pathway genes.</w:t>
      </w:r>
    </w:p>
    <w:p w14:paraId="7EA41167" w14:textId="77777777" w:rsidR="008E125C" w:rsidRPr="00C02A93" w:rsidRDefault="008E125C">
      <w:pPr>
        <w:rPr>
          <w:rFonts w:ascii="Arial" w:hAnsi="Arial" w:cs="Arial"/>
          <w:sz w:val="22"/>
          <w:szCs w:val="22"/>
        </w:rPr>
      </w:pPr>
    </w:p>
    <w:p w14:paraId="7EC31DF4" w14:textId="7D95346B" w:rsidR="00292083" w:rsidRDefault="008E125C">
      <w:pPr>
        <w:rPr>
          <w:rFonts w:ascii="Arial" w:hAnsi="Arial" w:cs="Arial"/>
          <w:sz w:val="22"/>
          <w:szCs w:val="22"/>
        </w:rPr>
      </w:pPr>
      <w:r w:rsidRPr="00C02A93">
        <w:rPr>
          <w:rFonts w:ascii="Arial" w:hAnsi="Arial" w:cs="Arial"/>
          <w:sz w:val="22"/>
          <w:szCs w:val="22"/>
        </w:rPr>
        <w:t>Eighteen clinical and demographic variables were tested for statistical association with the change in log</w:t>
      </w:r>
      <w:r w:rsidRPr="00C02A93">
        <w:rPr>
          <w:rFonts w:ascii="Arial" w:hAnsi="Arial" w:cs="Arial"/>
          <w:sz w:val="22"/>
          <w:szCs w:val="22"/>
          <w:vertAlign w:val="subscript"/>
        </w:rPr>
        <w:t>2</w:t>
      </w:r>
      <w:r w:rsidRPr="00C02A93">
        <w:rPr>
          <w:rFonts w:ascii="Arial" w:hAnsi="Arial" w:cs="Arial"/>
          <w:sz w:val="22"/>
          <w:szCs w:val="22"/>
        </w:rPr>
        <w:t xml:space="preserve">-transformed normalized expression between baseline and 7 days for miR-3613-5p and miR-3690-5p.  A Wilcoxon </w:t>
      </w:r>
      <w:r w:rsidR="0083673E" w:rsidRPr="00C02A93">
        <w:rPr>
          <w:rFonts w:ascii="Arial" w:hAnsi="Arial" w:cs="Arial"/>
          <w:sz w:val="22"/>
          <w:szCs w:val="22"/>
        </w:rPr>
        <w:t xml:space="preserve">(nonparametric) test </w:t>
      </w:r>
      <w:r w:rsidRPr="00C02A93">
        <w:rPr>
          <w:rFonts w:ascii="Arial" w:hAnsi="Arial" w:cs="Arial"/>
          <w:sz w:val="22"/>
          <w:szCs w:val="22"/>
        </w:rPr>
        <w:t>was used to evaluate the binary variables (Yes/No), while the Spearman correlation coefficients and corresponding p-values were calculated for the continuous variables (age, ICH volume).</w:t>
      </w:r>
      <w:r w:rsidR="00292083">
        <w:rPr>
          <w:rFonts w:ascii="Arial" w:hAnsi="Arial" w:cs="Arial"/>
          <w:sz w:val="22"/>
          <w:szCs w:val="22"/>
        </w:rPr>
        <w:br w:type="page"/>
      </w:r>
    </w:p>
    <w:p w14:paraId="4F483833" w14:textId="2AD3E795" w:rsidR="00FA4BA5" w:rsidRPr="00FA4BA5" w:rsidRDefault="00FB61F1" w:rsidP="00FB61F1">
      <w:pPr>
        <w:pStyle w:val="Standard"/>
        <w:rPr>
          <w:rFonts w:ascii="Arial" w:hAnsi="Arial" w:cs="Arial"/>
          <w:b/>
          <w:bCs/>
          <w:sz w:val="22"/>
          <w:szCs w:val="22"/>
        </w:rPr>
      </w:pPr>
      <w:r w:rsidRPr="00FB61F1">
        <w:rPr>
          <w:rFonts w:ascii="Arial" w:hAnsi="Arial" w:cs="Arial"/>
          <w:b/>
          <w:bCs/>
          <w:sz w:val="22"/>
          <w:szCs w:val="22"/>
        </w:rPr>
        <w:lastRenderedPageBreak/>
        <w:t xml:space="preserve">Supplemental Figure S1. </w:t>
      </w:r>
      <w:r w:rsidR="00FA4BA5">
        <w:rPr>
          <w:rFonts w:ascii="Arial" w:hAnsi="Arial" w:cs="Arial"/>
          <w:b/>
          <w:bCs/>
          <w:sz w:val="22"/>
          <w:szCs w:val="22"/>
        </w:rPr>
        <w:t>Diagonal Split Heatmap of correlation and p-value at day 7</w:t>
      </w:r>
    </w:p>
    <w:p w14:paraId="555DE50B" w14:textId="77777777" w:rsidR="00FA4BA5" w:rsidRDefault="00FA4BA5" w:rsidP="00FB61F1">
      <w:pPr>
        <w:pStyle w:val="Standard"/>
        <w:rPr>
          <w:rFonts w:ascii="Arial" w:hAnsi="Arial" w:cs="Arial"/>
          <w:b/>
          <w:bCs/>
          <w:sz w:val="22"/>
          <w:szCs w:val="22"/>
        </w:rPr>
      </w:pPr>
    </w:p>
    <w:p w14:paraId="093D2F17" w14:textId="20A0D6D1" w:rsidR="00FB61F1" w:rsidRDefault="00FB61F1" w:rsidP="00FB61F1">
      <w:pPr>
        <w:pStyle w:val="Standard"/>
        <w:rPr>
          <w:rFonts w:ascii="Arial" w:hAnsi="Arial" w:cs="Arial"/>
          <w:sz w:val="22"/>
          <w:szCs w:val="22"/>
        </w:rPr>
      </w:pPr>
      <w:proofErr w:type="spellStart"/>
      <w:r w:rsidRPr="00FB61F1">
        <w:rPr>
          <w:rFonts w:ascii="Arial" w:hAnsi="Arial" w:cs="Arial"/>
          <w:sz w:val="22"/>
          <w:szCs w:val="22"/>
        </w:rPr>
        <w:t>Unclustered</w:t>
      </w:r>
      <w:proofErr w:type="spellEnd"/>
      <w:r w:rsidRPr="00FB61F1">
        <w:rPr>
          <w:rFonts w:ascii="Arial" w:hAnsi="Arial" w:cs="Arial"/>
          <w:sz w:val="22"/>
          <w:szCs w:val="22"/>
        </w:rPr>
        <w:t xml:space="preserve"> heatmap for the combined Spearman correlation coefficient (r) and the -log10(p-value) between miRNAs and mRNAs from the neutrophil degranulation pathway. Each square on the heatmap is separated by a diagonal line with upper left showing the -log10(p-value) and the lower right showing the Spearman correlation coefficient after filtering the </w:t>
      </w:r>
      <w:r w:rsidRPr="00FB61F1">
        <w:rPr>
          <w:rFonts w:ascii="Arial" w:hAnsi="Arial" w:cs="Arial"/>
          <w:b/>
          <w:bCs/>
          <w:sz w:val="22"/>
          <w:szCs w:val="22"/>
        </w:rPr>
        <w:t xml:space="preserve">Spearman correlation coefficient (r) &lt; 0 and p-value &lt;0.05. </w:t>
      </w:r>
      <w:r w:rsidRPr="00FB61F1">
        <w:rPr>
          <w:rFonts w:ascii="Arial" w:hAnsi="Arial" w:cs="Arial"/>
          <w:sz w:val="22"/>
          <w:szCs w:val="22"/>
        </w:rPr>
        <w:t>The focus on negative correlations is based on the biologic relationship between miRNA and mRNA expression.</w:t>
      </w:r>
    </w:p>
    <w:p w14:paraId="6CB37093" w14:textId="77777777" w:rsidR="00292083" w:rsidRDefault="00292083" w:rsidP="00FB61F1">
      <w:pPr>
        <w:pStyle w:val="Standard"/>
        <w:rPr>
          <w:rFonts w:ascii="Arial" w:hAnsi="Arial" w:cs="Arial"/>
          <w:sz w:val="22"/>
          <w:szCs w:val="22"/>
        </w:rPr>
      </w:pPr>
    </w:p>
    <w:p w14:paraId="05C059BB" w14:textId="7664D15D" w:rsidR="00292083" w:rsidRDefault="00292083" w:rsidP="00FB61F1">
      <w:pPr>
        <w:pStyle w:val="Standard"/>
        <w:rPr>
          <w:rFonts w:ascii="Arial" w:hAnsi="Arial" w:cs="Arial"/>
          <w:sz w:val="22"/>
          <w:szCs w:val="22"/>
        </w:rPr>
      </w:pPr>
      <w:r w:rsidRPr="00292083">
        <w:rPr>
          <w:rFonts w:ascii="Arial" w:hAnsi="Arial" w:cs="Arial"/>
          <w:b/>
          <w:bCs/>
          <w:sz w:val="22"/>
          <w:szCs w:val="22"/>
        </w:rPr>
        <w:t>Supplemental Figure S2.</w:t>
      </w:r>
      <w:r>
        <w:rPr>
          <w:rFonts w:ascii="Arial" w:hAnsi="Arial" w:cs="Arial"/>
          <w:sz w:val="22"/>
          <w:szCs w:val="22"/>
        </w:rPr>
        <w:t xml:space="preserve"> Pathway Analysis of differentially expressed mRNA between 72 hours vs. baseline.</w:t>
      </w:r>
    </w:p>
    <w:p w14:paraId="6EB45F5C" w14:textId="77777777" w:rsidR="00292083" w:rsidRDefault="00292083" w:rsidP="00FB61F1">
      <w:pPr>
        <w:pStyle w:val="Standard"/>
        <w:rPr>
          <w:rFonts w:ascii="Arial" w:hAnsi="Arial" w:cs="Arial"/>
          <w:sz w:val="22"/>
          <w:szCs w:val="22"/>
        </w:rPr>
      </w:pPr>
    </w:p>
    <w:p w14:paraId="54F9DFAD" w14:textId="13FC299D" w:rsidR="00292083" w:rsidRDefault="00292083" w:rsidP="00292083">
      <w:pPr>
        <w:pStyle w:val="Standard"/>
        <w:rPr>
          <w:rFonts w:ascii="Arial" w:hAnsi="Arial" w:cs="Arial"/>
          <w:sz w:val="22"/>
          <w:szCs w:val="22"/>
        </w:rPr>
      </w:pPr>
      <w:r w:rsidRPr="00292083">
        <w:rPr>
          <w:rFonts w:ascii="Arial" w:hAnsi="Arial" w:cs="Arial"/>
          <w:b/>
          <w:bCs/>
          <w:sz w:val="22"/>
          <w:szCs w:val="22"/>
        </w:rPr>
        <w:t>Supplemental Figure S3.</w:t>
      </w:r>
      <w:r>
        <w:rPr>
          <w:rFonts w:ascii="Arial" w:hAnsi="Arial" w:cs="Arial"/>
          <w:sz w:val="22"/>
          <w:szCs w:val="22"/>
        </w:rPr>
        <w:t xml:space="preserve"> Pathway Analysis of differentially expressed mRNA between 7 days vs. baseline.</w:t>
      </w:r>
    </w:p>
    <w:p w14:paraId="7099BD23" w14:textId="77777777" w:rsidR="00292083" w:rsidRDefault="00292083" w:rsidP="00FB61F1">
      <w:pPr>
        <w:pStyle w:val="Standard"/>
        <w:rPr>
          <w:rFonts w:ascii="Arial" w:hAnsi="Arial" w:cs="Arial"/>
          <w:sz w:val="22"/>
          <w:szCs w:val="22"/>
        </w:rPr>
      </w:pPr>
    </w:p>
    <w:p w14:paraId="0A4CE026" w14:textId="3F3EFE73" w:rsidR="00292083" w:rsidRPr="00FB61F1" w:rsidRDefault="00292083" w:rsidP="00FB61F1">
      <w:pPr>
        <w:pStyle w:val="Standard"/>
        <w:rPr>
          <w:rFonts w:ascii="Arial" w:hAnsi="Arial" w:cs="Arial"/>
          <w:b/>
          <w:bCs/>
          <w:sz w:val="22"/>
          <w:szCs w:val="22"/>
        </w:rPr>
      </w:pPr>
      <w:r>
        <w:rPr>
          <w:rFonts w:ascii="Arial" w:hAnsi="Arial" w:cs="Arial"/>
          <w:sz w:val="22"/>
          <w:szCs w:val="22"/>
        </w:rPr>
        <w:t xml:space="preserve"> </w:t>
      </w:r>
    </w:p>
    <w:p w14:paraId="0B443A55" w14:textId="77777777" w:rsidR="00FB61F1" w:rsidRDefault="00FB61F1" w:rsidP="00FB61F1">
      <w:pPr>
        <w:pStyle w:val="Standard"/>
        <w:rPr>
          <w:rFonts w:hint="eastAsia"/>
          <w:b/>
          <w:bCs/>
        </w:rPr>
      </w:pPr>
    </w:p>
    <w:p w14:paraId="7F07FB73" w14:textId="537E9277" w:rsidR="008E125C" w:rsidRDefault="008E125C">
      <w:pPr>
        <w:rPr>
          <w:rFonts w:ascii="Arial" w:hAnsi="Arial" w:cs="Arial"/>
          <w:sz w:val="22"/>
          <w:szCs w:val="22"/>
        </w:rPr>
      </w:pPr>
    </w:p>
    <w:p w14:paraId="2AA319F5" w14:textId="77777777" w:rsidR="00FB61F1" w:rsidRPr="00C02A93" w:rsidRDefault="00FB61F1">
      <w:pPr>
        <w:rPr>
          <w:rFonts w:ascii="Arial" w:hAnsi="Arial" w:cs="Arial"/>
          <w:sz w:val="22"/>
          <w:szCs w:val="22"/>
        </w:rPr>
      </w:pPr>
    </w:p>
    <w:sectPr w:rsidR="00FB61F1" w:rsidRPr="00C02A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FC0"/>
    <w:rsid w:val="00024373"/>
    <w:rsid w:val="00051CB0"/>
    <w:rsid w:val="00292083"/>
    <w:rsid w:val="002E31F7"/>
    <w:rsid w:val="002F4798"/>
    <w:rsid w:val="004B5A7A"/>
    <w:rsid w:val="00560106"/>
    <w:rsid w:val="006362F8"/>
    <w:rsid w:val="00653308"/>
    <w:rsid w:val="00745FF7"/>
    <w:rsid w:val="0083673E"/>
    <w:rsid w:val="008E125C"/>
    <w:rsid w:val="00B345DD"/>
    <w:rsid w:val="00B80FC0"/>
    <w:rsid w:val="00C01E45"/>
    <w:rsid w:val="00C02A93"/>
    <w:rsid w:val="00C40FC1"/>
    <w:rsid w:val="00C8784C"/>
    <w:rsid w:val="00CE6458"/>
    <w:rsid w:val="00D31B31"/>
    <w:rsid w:val="00D64665"/>
    <w:rsid w:val="00FA4BA5"/>
    <w:rsid w:val="00FB6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AAF1E"/>
  <w15:chartTrackingRefBased/>
  <w15:docId w15:val="{5152B617-BBB0-9040-B4F1-0C0D9B120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F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0F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0F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F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F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F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F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F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F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F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F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F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F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F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F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F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F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FC0"/>
    <w:rPr>
      <w:rFonts w:eastAsiaTheme="majorEastAsia" w:cstheme="majorBidi"/>
      <w:color w:val="272727" w:themeColor="text1" w:themeTint="D8"/>
    </w:rPr>
  </w:style>
  <w:style w:type="paragraph" w:styleId="Title">
    <w:name w:val="Title"/>
    <w:basedOn w:val="Normal"/>
    <w:next w:val="Normal"/>
    <w:link w:val="TitleChar"/>
    <w:uiPriority w:val="10"/>
    <w:qFormat/>
    <w:rsid w:val="00B80F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F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F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F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F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0FC0"/>
    <w:rPr>
      <w:i/>
      <w:iCs/>
      <w:color w:val="404040" w:themeColor="text1" w:themeTint="BF"/>
    </w:rPr>
  </w:style>
  <w:style w:type="paragraph" w:styleId="ListParagraph">
    <w:name w:val="List Paragraph"/>
    <w:basedOn w:val="Normal"/>
    <w:uiPriority w:val="34"/>
    <w:qFormat/>
    <w:rsid w:val="00B80FC0"/>
    <w:pPr>
      <w:ind w:left="720"/>
      <w:contextualSpacing/>
    </w:pPr>
  </w:style>
  <w:style w:type="character" w:styleId="IntenseEmphasis">
    <w:name w:val="Intense Emphasis"/>
    <w:basedOn w:val="DefaultParagraphFont"/>
    <w:uiPriority w:val="21"/>
    <w:qFormat/>
    <w:rsid w:val="00B80FC0"/>
    <w:rPr>
      <w:i/>
      <w:iCs/>
      <w:color w:val="0F4761" w:themeColor="accent1" w:themeShade="BF"/>
    </w:rPr>
  </w:style>
  <w:style w:type="paragraph" w:styleId="IntenseQuote">
    <w:name w:val="Intense Quote"/>
    <w:basedOn w:val="Normal"/>
    <w:next w:val="Normal"/>
    <w:link w:val="IntenseQuoteChar"/>
    <w:uiPriority w:val="30"/>
    <w:qFormat/>
    <w:rsid w:val="00B80F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FC0"/>
    <w:rPr>
      <w:i/>
      <w:iCs/>
      <w:color w:val="0F4761" w:themeColor="accent1" w:themeShade="BF"/>
    </w:rPr>
  </w:style>
  <w:style w:type="character" w:styleId="IntenseReference">
    <w:name w:val="Intense Reference"/>
    <w:basedOn w:val="DefaultParagraphFont"/>
    <w:uiPriority w:val="32"/>
    <w:qFormat/>
    <w:rsid w:val="00B80FC0"/>
    <w:rPr>
      <w:b/>
      <w:bCs/>
      <w:smallCaps/>
      <w:color w:val="0F4761" w:themeColor="accent1" w:themeShade="BF"/>
      <w:spacing w:val="5"/>
    </w:rPr>
  </w:style>
  <w:style w:type="paragraph" w:customStyle="1" w:styleId="Standard">
    <w:name w:val="Standard"/>
    <w:rsid w:val="00FB61F1"/>
    <w:pPr>
      <w:suppressAutoHyphens/>
      <w:autoSpaceDN w:val="0"/>
      <w:textAlignment w:val="baseline"/>
    </w:pPr>
    <w:rPr>
      <w:rFonts w:ascii="Liberation Serif" w:eastAsia="NSimSun" w:hAnsi="Liberation Serif" w:cs="Lucida Sans"/>
      <w:kern w:val="3"/>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852</TotalTime>
  <Pages>2</Pages>
  <Words>571</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Marion</dc:creator>
  <cp:keywords/>
  <dc:description/>
  <cp:lastModifiedBy>Walsh, Kyle (walshk4)</cp:lastModifiedBy>
  <cp:revision>14</cp:revision>
  <cp:lastPrinted>2025-07-24T22:00:00Z</cp:lastPrinted>
  <dcterms:created xsi:type="dcterms:W3CDTF">2025-07-24T21:05:00Z</dcterms:created>
  <dcterms:modified xsi:type="dcterms:W3CDTF">2025-07-28T02:36:00Z</dcterms:modified>
</cp:coreProperties>
</file>