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6E" w:rsidRDefault="006D326E" w:rsidP="006D326E">
      <w:pPr>
        <w:pStyle w:val="NormalWeb"/>
      </w:pPr>
      <w:r>
        <w:t>Supplementary Table S1: Sensitivity Analyses for Associations Between Dietary Indices and Migraine Outcomes</w:t>
      </w:r>
    </w:p>
    <w:p w:rsidR="00D25B30" w:rsidRDefault="00D25B30" w:rsidP="00D25B30">
      <w:pPr>
        <w:pStyle w:val="NormalWeb"/>
        <w:jc w:val="both"/>
      </w:pPr>
      <w:r>
        <w:t xml:space="preserve">Note: This table presents the results from sensitivity analyses where the adjusted models include the original confounders (age, BMI, physical activity [MET-min/week], medication use [yes/no], and socioeconomic score) plus smoking status (never, current, former) and family history of migraine (yes/no). Results are shown for higher </w:t>
      </w:r>
      <w:proofErr w:type="spellStart"/>
      <w:r>
        <w:t>tertiles</w:t>
      </w:r>
      <w:proofErr w:type="spellEnd"/>
      <w:r>
        <w:t xml:space="preserve"> (T3 vs. T1 reference) and are largely unchanged from the primary adjusted models, confirming robustness.</w:t>
      </w:r>
    </w:p>
    <w:p w:rsidR="00D25B30" w:rsidRDefault="00D25B30" w:rsidP="006D326E">
      <w:pPr>
        <w:pStyle w:val="NormalWeb"/>
      </w:pPr>
    </w:p>
    <w:p w:rsidR="00AC7AA6" w:rsidRPr="006D326E" w:rsidRDefault="006D326E" w:rsidP="006D326E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24"/>
          <w:szCs w:val="24"/>
        </w:rPr>
      </w:pPr>
      <w:r w:rsidRPr="006D326E">
        <w:rPr>
          <w:rFonts w:asciiTheme="majorBidi" w:hAnsiTheme="majorBidi" w:cstheme="majorBidi"/>
          <w:sz w:val="24"/>
          <w:szCs w:val="24"/>
        </w:rPr>
        <w:t>Alternative Healthy Eating Index (AHEI) Score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1058"/>
        <w:gridCol w:w="949"/>
        <w:gridCol w:w="683"/>
        <w:gridCol w:w="2111"/>
        <w:gridCol w:w="949"/>
        <w:gridCol w:w="709"/>
      </w:tblGrid>
      <w:tr w:rsidR="006D326E" w:rsidRPr="006D326E" w:rsidTr="006D326E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Crude 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Sensitivity Adjusted Models**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OR/β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OR/β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VAS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Mild </w:t>
            </w:r>
            <w:proofErr w:type="spellStart"/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pain</w:t>
            </w: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Moderate pain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0.68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0.49-0.88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0.77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0.56-1.06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0.09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pain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0.65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0.44-0.81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0.71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0.52-0.92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0.012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MIDAS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Without </w:t>
            </w:r>
            <w:proofErr w:type="spellStart"/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disability</w:t>
            </w: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Mild disability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0.87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0.63-1.28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0.48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0.94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0.69-1.37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0.67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Moderate disability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0.84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0.61-1.30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0.88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0.66-1.34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0.60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disability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0.58-1.25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0.63-1.30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0.43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Mean duration of each headache </w:t>
            </w:r>
            <w:proofErr w:type="spellStart"/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attack</w:t>
            </w: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14:ligatures w14:val="none"/>
              </w:rPr>
              <w:t>c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-1.76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-2.88 to -0.43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-1.55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-2.70 to -0.40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0.010</w:t>
            </w:r>
          </w:p>
        </w:tc>
      </w:tr>
    </w:tbl>
    <w:p w:rsidR="006D326E" w:rsidRDefault="006D326E" w:rsidP="006D326E">
      <w:pPr>
        <w:bidi w:val="0"/>
        <w:rPr>
          <w:rFonts w:asciiTheme="majorBidi" w:hAnsiTheme="majorBidi" w:cstheme="majorBidi"/>
          <w:sz w:val="24"/>
          <w:szCs w:val="24"/>
        </w:rPr>
      </w:pPr>
    </w:p>
    <w:p w:rsidR="006D326E" w:rsidRPr="006D326E" w:rsidRDefault="006D326E" w:rsidP="006D326E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24"/>
          <w:szCs w:val="24"/>
        </w:rPr>
      </w:pPr>
      <w:r w:rsidRPr="006D326E">
        <w:rPr>
          <w:rFonts w:asciiTheme="majorBidi" w:hAnsiTheme="majorBidi" w:cstheme="majorBidi"/>
          <w:sz w:val="24"/>
          <w:szCs w:val="24"/>
        </w:rPr>
        <w:t>Net Endogenous Acid Production (NEAP) Score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7"/>
        <w:gridCol w:w="1072"/>
        <w:gridCol w:w="884"/>
        <w:gridCol w:w="697"/>
        <w:gridCol w:w="2150"/>
        <w:gridCol w:w="884"/>
        <w:gridCol w:w="712"/>
      </w:tblGrid>
      <w:tr w:rsidR="006D326E" w:rsidRPr="006D326E" w:rsidTr="00D25B3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Crude 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Sensitivity Adjusted Models**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D326E" w:rsidRPr="006D326E" w:rsidTr="00D25B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OR/β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OR/β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VAS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Mild </w:t>
            </w:r>
            <w:proofErr w:type="spellStart"/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pain</w:t>
            </w: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Moderate pain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1.09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0.85-1.38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0.38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0.90-1.31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0.20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pain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1.31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1.05-1.59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0.026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1.40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1.09-1.68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0.019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MIDAS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Without </w:t>
            </w:r>
            <w:proofErr w:type="spellStart"/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disability</w:t>
            </w: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Mild disability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0.79-1.30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0.22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0.84-1.35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0.16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Moderate disability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1.05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0.65-1.19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0.31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0.72-1.27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0.28</w:t>
            </w:r>
          </w:p>
        </w:tc>
      </w:tr>
      <w:tr w:rsidR="006D326E" w:rsidRPr="006D326E" w:rsidTr="006D32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disability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0.96-1.45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0.09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1.31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1.03-1.58</w:t>
            </w:r>
          </w:p>
        </w:tc>
        <w:tc>
          <w:tcPr>
            <w:tcW w:w="0" w:type="auto"/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0.040</w:t>
            </w:r>
          </w:p>
        </w:tc>
      </w:tr>
      <w:tr w:rsidR="006D326E" w:rsidRPr="006D326E" w:rsidTr="00D25B3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Mean duration of each headache </w:t>
            </w:r>
            <w:proofErr w:type="spellStart"/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attack</w:t>
            </w:r>
            <w:r w:rsidRPr="006D32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14:ligatures w14:val="none"/>
              </w:rPr>
              <w:t>c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0.32 to 2.15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0.23 to 2.27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D326E" w:rsidRPr="006D326E" w:rsidRDefault="006D326E" w:rsidP="006D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3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0.018</w:t>
            </w:r>
          </w:p>
        </w:tc>
      </w:tr>
    </w:tbl>
    <w:p w:rsidR="006D326E" w:rsidRDefault="006D326E" w:rsidP="006D326E">
      <w:pPr>
        <w:bidi w:val="0"/>
        <w:ind w:left="360"/>
        <w:rPr>
          <w:rFonts w:asciiTheme="majorBidi" w:hAnsiTheme="majorBidi" w:cstheme="majorBidi"/>
          <w:sz w:val="24"/>
          <w:szCs w:val="24"/>
        </w:rPr>
      </w:pPr>
    </w:p>
    <w:p w:rsidR="00D25B30" w:rsidRPr="00D25B30" w:rsidRDefault="00D25B30" w:rsidP="00D25B30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24"/>
          <w:szCs w:val="24"/>
        </w:rPr>
      </w:pPr>
      <w:r w:rsidRPr="00D25B30">
        <w:rPr>
          <w:rFonts w:asciiTheme="majorBidi" w:hAnsiTheme="majorBidi" w:cstheme="majorBidi"/>
          <w:sz w:val="24"/>
          <w:szCs w:val="24"/>
        </w:rPr>
        <w:t>Dietary Antioxidant Index (DAI) Score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3"/>
        <w:gridCol w:w="1057"/>
        <w:gridCol w:w="948"/>
        <w:gridCol w:w="693"/>
        <w:gridCol w:w="2109"/>
        <w:gridCol w:w="948"/>
        <w:gridCol w:w="708"/>
      </w:tblGrid>
      <w:tr w:rsidR="00D25B30" w:rsidRPr="00D25B30" w:rsidTr="00D25B3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Crude 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Sensitivity Adjusted Models**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OR/β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OR/β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VAS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Mild </w:t>
            </w:r>
            <w:proofErr w:type="spellStart"/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pain</w:t>
            </w: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Moderate pain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0.32-0.77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0.023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0.61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0.42-0.85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0.033</w:t>
            </w: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pain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0.45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0.29-0.69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0.49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0.34-0.76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0.022</w:t>
            </w: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MIDAS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Without </w:t>
            </w:r>
            <w:proofErr w:type="spellStart"/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disability</w:t>
            </w: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Mild disability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0.77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0.55-1.03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0.80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0.56-1.10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0.10</w:t>
            </w: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Moderate disability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0.70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0.51-0.91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0.045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0.75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0.53-0.99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0.046</w:t>
            </w: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disability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0.67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0.45-0.87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0.036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0.71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0.48-0.93</w:t>
            </w:r>
          </w:p>
        </w:tc>
        <w:tc>
          <w:tcPr>
            <w:tcW w:w="0" w:type="auto"/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0.036</w:t>
            </w:r>
          </w:p>
        </w:tc>
      </w:tr>
      <w:tr w:rsidR="00D25B30" w:rsidRPr="00D25B30" w:rsidTr="00D25B3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Mean duration of each headache </w:t>
            </w:r>
            <w:proofErr w:type="spellStart"/>
            <w:r w:rsidRPr="00D25B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attack</w:t>
            </w:r>
            <w:r w:rsidRPr="00D25B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14:ligatures w14:val="none"/>
              </w:rPr>
              <w:t>c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-2.44 to -0.39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-2.29 to -0.33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25B30" w:rsidRPr="00D25B30" w:rsidRDefault="00D25B30" w:rsidP="00D25B3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5B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0.010</w:t>
            </w:r>
          </w:p>
        </w:tc>
      </w:tr>
    </w:tbl>
    <w:p w:rsidR="00D25B30" w:rsidRDefault="00D25B30" w:rsidP="00D25B30">
      <w:pPr>
        <w:pStyle w:val="NormalWeb"/>
      </w:pPr>
      <w:r>
        <w:t xml:space="preserve">Footnotes: </w:t>
      </w:r>
      <w:proofErr w:type="gramStart"/>
      <w:r w:rsidRPr="00D25B30">
        <w:rPr>
          <w:vertAlign w:val="superscript"/>
        </w:rPr>
        <w:t>a</w:t>
      </w:r>
      <w:r>
        <w:t xml:space="preserve"> VAS categories</w:t>
      </w:r>
      <w:proofErr w:type="gramEnd"/>
      <w:r>
        <w:t>: mild pain (1–3), moderate pain (4–7), severe pain (8–10). b MIDAS grades: without disability (0–5), mild disability (6–10), moderate disability (11–20), severe disability (&gt;20). Reference groups for VAS (mild pain) and MIDAS (without disability). c β coefficients reported for mean headache duration (hours). ** Adjusted for age, BMI, physical activity (MET-min/week), medication use (yes/no), socioeconomic score, smoking status (never/current/former), and family history of migraine (yes/no).</w:t>
      </w:r>
    </w:p>
    <w:p w:rsidR="00660972" w:rsidRDefault="00660972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660972" w:rsidRPr="00660972" w:rsidRDefault="00660972" w:rsidP="00660972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609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Supplementary Table S2: P-Values from Univariate Analyses for Potential Confounders</w:t>
      </w:r>
    </w:p>
    <w:p w:rsidR="00660972" w:rsidRPr="00660972" w:rsidRDefault="00660972" w:rsidP="006609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09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Note:</w:t>
      </w:r>
      <w:r w:rsidRPr="00660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This table presents p-values from univariate analyses testing associations between potential confounders and dietary index </w:t>
      </w:r>
      <w:proofErr w:type="spellStart"/>
      <w:r w:rsidRPr="00660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tertiles</w:t>
      </w:r>
      <w:proofErr w:type="spellEnd"/>
      <w:r w:rsidRPr="00660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(exposures: AHEI, NEAP, DAI) or migraine outcomes (VAS categories, MIDAS grades, mean headache duration). Continuous confounders (age, BMI, physical activity [MET-min/week], socioeconomic score, headache duration) were tested using one-way ANOVA across </w:t>
      </w:r>
      <w:proofErr w:type="spellStart"/>
      <w:r w:rsidRPr="00660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tertiles</w:t>
      </w:r>
      <w:proofErr w:type="spellEnd"/>
      <w:r w:rsidRPr="00660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/categories. Categorical confounders (medication use [yes/no], smoking status [never/current/former], family history of migraine [yes/no]) were tested using chi-square tests across </w:t>
      </w:r>
      <w:proofErr w:type="spellStart"/>
      <w:r w:rsidRPr="00660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tertiles</w:t>
      </w:r>
      <w:proofErr w:type="spellEnd"/>
      <w:r w:rsidRPr="00660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/categories. For associations with headache duration (continuous outcome), Pearson correlation was used for continuous confounders, and ANOVA/t-tests for categorical confounders. P-values &lt;0.20 indicate potential confounding and justified inclusion in adjusted models if associated with at least one exposure or outcome. Bold p-values highlight those &lt;0.20.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981"/>
        <w:gridCol w:w="984"/>
        <w:gridCol w:w="967"/>
        <w:gridCol w:w="1276"/>
        <w:gridCol w:w="1005"/>
        <w:gridCol w:w="1248"/>
      </w:tblGrid>
      <w:tr w:rsidR="00660972" w:rsidRPr="00660972" w:rsidTr="00660972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AHEI </w:t>
            </w:r>
            <w:proofErr w:type="spellStart"/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Tertiles</w:t>
            </w:r>
            <w:proofErr w:type="spellEnd"/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(p-value)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NEAP </w:t>
            </w:r>
            <w:proofErr w:type="spellStart"/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Tertiles</w:t>
            </w:r>
            <w:proofErr w:type="spellEnd"/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(p-value)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DAI </w:t>
            </w:r>
            <w:proofErr w:type="spellStart"/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Tertiles</w:t>
            </w:r>
            <w:proofErr w:type="spellEnd"/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(p-value)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VAS Categories (p-value)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MIDAS Grades (p-value)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Headache Duration (p-value)</w:t>
            </w:r>
          </w:p>
        </w:tc>
      </w:tr>
      <w:tr w:rsidR="00660972" w:rsidRPr="00660972" w:rsidTr="00660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Age (years)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0.22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0.09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0.15</w:t>
            </w:r>
          </w:p>
        </w:tc>
      </w:tr>
      <w:tr w:rsidR="00660972" w:rsidRPr="00660972" w:rsidTr="00660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BMI (kg/m²)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0.21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0.07</w:t>
            </w:r>
          </w:p>
        </w:tc>
      </w:tr>
      <w:tr w:rsidR="00660972" w:rsidRPr="00660972" w:rsidTr="00660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Physical activity (MET-min/week)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0.24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0.19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0.12</w:t>
            </w:r>
          </w:p>
        </w:tc>
      </w:tr>
      <w:tr w:rsidR="00660972" w:rsidRPr="00660972" w:rsidTr="00660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Medication use (yes/no)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0.26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0.09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0.14</w:t>
            </w:r>
          </w:p>
        </w:tc>
      </w:tr>
      <w:tr w:rsidR="00660972" w:rsidRPr="00660972" w:rsidTr="00660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Socioeconomic status score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0.23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0.10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0.21</w:t>
            </w:r>
          </w:p>
        </w:tc>
      </w:tr>
      <w:tr w:rsidR="00660972" w:rsidRPr="00660972" w:rsidTr="00660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Smoking status (never/current/former)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0.35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0.42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0.28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0.31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0.37</w:t>
            </w:r>
          </w:p>
        </w:tc>
        <w:tc>
          <w:tcPr>
            <w:tcW w:w="0" w:type="auto"/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0.25</w:t>
            </w:r>
          </w:p>
        </w:tc>
      </w:tr>
      <w:tr w:rsidR="00660972" w:rsidRPr="00660972" w:rsidTr="00660972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Family history of migraine (yes/no)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60972" w:rsidRPr="00660972" w:rsidRDefault="00660972" w:rsidP="006609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609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0.44</w:t>
            </w:r>
          </w:p>
        </w:tc>
      </w:tr>
    </w:tbl>
    <w:p w:rsidR="00D25B30" w:rsidRDefault="00D25B30" w:rsidP="00D25B30">
      <w:pPr>
        <w:bidi w:val="0"/>
        <w:ind w:left="360"/>
        <w:rPr>
          <w:rFonts w:asciiTheme="majorBidi" w:hAnsiTheme="majorBidi" w:cstheme="majorBidi"/>
          <w:sz w:val="24"/>
          <w:szCs w:val="24"/>
        </w:rPr>
      </w:pPr>
    </w:p>
    <w:p w:rsidR="009B72AE" w:rsidRDefault="009B72AE" w:rsidP="009B72AE">
      <w:pPr>
        <w:bidi w:val="0"/>
        <w:ind w:left="360"/>
        <w:rPr>
          <w:rFonts w:asciiTheme="majorBidi" w:hAnsiTheme="majorBidi" w:cstheme="majorBidi"/>
          <w:sz w:val="24"/>
          <w:szCs w:val="24"/>
        </w:rPr>
      </w:pPr>
    </w:p>
    <w:p w:rsidR="009B72AE" w:rsidRDefault="009B72AE" w:rsidP="009B72AE">
      <w:pPr>
        <w:bidi w:val="0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 w:rsidRPr="009B72AE">
        <w:rPr>
          <w:rFonts w:asciiTheme="majorBidi" w:hAnsiTheme="majorBidi" w:cstheme="majorBidi"/>
          <w:b/>
          <w:bCs/>
          <w:sz w:val="24"/>
          <w:szCs w:val="24"/>
        </w:rPr>
        <w:t>Supplementary Table S3: Post-Hoc Power Calculations for Observed Effect Sizes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0"/>
        <w:gridCol w:w="1869"/>
        <w:gridCol w:w="2113"/>
        <w:gridCol w:w="701"/>
        <w:gridCol w:w="1850"/>
        <w:gridCol w:w="1363"/>
      </w:tblGrid>
      <w:tr w:rsidR="009B72AE" w:rsidRPr="009B72AE" w:rsidTr="009B72AE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Dietary Index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Observed Adjusted OR (95% CI)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Assumed Base Prevalence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Post-Hoc Power (%)</w:t>
            </w:r>
          </w:p>
        </w:tc>
      </w:tr>
      <w:tr w:rsidR="009B72AE" w:rsidRPr="009B72AE" w:rsidTr="009B72A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AHEI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Pain (VAS)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0.69 (0.51–0.89)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</w:t>
            </w:r>
          </w:p>
        </w:tc>
      </w:tr>
      <w:tr w:rsidR="009B72AE" w:rsidRPr="009B72AE" w:rsidTr="009B7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NEAP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Pain (VAS)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1.38 (1.08–1.66)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0.021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72</w:t>
            </w:r>
          </w:p>
        </w:tc>
      </w:tr>
      <w:tr w:rsidR="009B72AE" w:rsidRPr="009B72AE" w:rsidTr="009B7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NEAP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Disability (MIDAS)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1.29 (1.02–1.56)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0.044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25%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68</w:t>
            </w:r>
          </w:p>
        </w:tc>
      </w:tr>
      <w:tr w:rsidR="009B72AE" w:rsidRPr="009B72AE" w:rsidTr="009B7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DAI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Moderate Pain (VAS)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0.59 (0.41–0.83)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0.035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40%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85</w:t>
            </w:r>
          </w:p>
        </w:tc>
      </w:tr>
      <w:tr w:rsidR="009B72AE" w:rsidRPr="009B72AE" w:rsidTr="009B7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DAI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Pain (VAS)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0.47 (0.33–0.74)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0.024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</w:t>
            </w:r>
          </w:p>
        </w:tc>
      </w:tr>
      <w:tr w:rsidR="009B72AE" w:rsidRPr="009B72AE" w:rsidTr="009B7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DAI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Moderate Disability (MIDAS)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0.73 (0.52–0.97)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0.048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78</w:t>
            </w:r>
          </w:p>
        </w:tc>
      </w:tr>
      <w:tr w:rsidR="009B72AE" w:rsidRPr="009B72AE" w:rsidTr="005F50C1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Severe Disability (MIDAS)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0.69 (0.47–0.91)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B72AE" w:rsidRPr="009B72AE" w:rsidRDefault="009B72AE" w:rsidP="009B72A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B7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</w:t>
            </w:r>
          </w:p>
        </w:tc>
      </w:tr>
    </w:tbl>
    <w:p w:rsidR="005F50C1" w:rsidRDefault="005F50C1" w:rsidP="005F50C1">
      <w:pPr>
        <w:pStyle w:val="NormalWeb"/>
      </w:pPr>
      <w:r>
        <w:t>Note: Calculated using G*Power for binomial logistic regression approximation (two-sided alpha=0.05, n=280, no covariates for simplicity; base prevalence estimated from literature for reference category [36]). Power for protective ORs calculated using inverse (risk in low-exposure group). Actual multinomial models may have slightly higher power due to shared variance. For linear outcomes (headache duration), post-hoc power was high (&gt;85%) for observed β coefficients but is not tabulated here as the focus is on logistic associations.</w:t>
      </w:r>
    </w:p>
    <w:p w:rsidR="009B72AE" w:rsidRPr="009B72AE" w:rsidRDefault="009B72AE" w:rsidP="009B72AE">
      <w:pPr>
        <w:bidi w:val="0"/>
        <w:ind w:left="360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bookmarkStart w:id="0" w:name="_GoBack"/>
      <w:bookmarkEnd w:id="0"/>
    </w:p>
    <w:sectPr w:rsidR="009B72AE" w:rsidRPr="009B72AE" w:rsidSect="0046321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154FA"/>
    <w:multiLevelType w:val="hybridMultilevel"/>
    <w:tmpl w:val="8FA08C3A"/>
    <w:lvl w:ilvl="0" w:tplc="D0AE277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6E"/>
    <w:rsid w:val="00407949"/>
    <w:rsid w:val="00463219"/>
    <w:rsid w:val="005F50C1"/>
    <w:rsid w:val="00660972"/>
    <w:rsid w:val="006D326E"/>
    <w:rsid w:val="009B72AE"/>
    <w:rsid w:val="00AC7AA6"/>
    <w:rsid w:val="00D2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02C95F"/>
  <w15:chartTrackingRefBased/>
  <w15:docId w15:val="{BED83EFF-A476-4E45-A897-C2CA0B61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32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D3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834</Words>
  <Characters>4758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Supplementary Table S2: P-Values from Univariate Analyses for Potential Confound</vt:lpstr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Mehran</dc:creator>
  <cp:keywords/>
  <dc:description/>
  <cp:lastModifiedBy>Mehran</cp:lastModifiedBy>
  <cp:revision>4</cp:revision>
  <dcterms:created xsi:type="dcterms:W3CDTF">2025-12-14T18:17:00Z</dcterms:created>
  <dcterms:modified xsi:type="dcterms:W3CDTF">2025-12-14T19:54:00Z</dcterms:modified>
</cp:coreProperties>
</file>