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65987">
      <w:pPr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Supplementary Table 4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.</w:t>
      </w:r>
    </w:p>
    <w:tbl>
      <w:tblPr>
        <w:tblStyle w:val="2"/>
        <w:tblpPr w:leftFromText="180" w:rightFromText="180" w:vertAnchor="page" w:horzAnchor="page" w:tblpX="2294" w:tblpY="3618"/>
        <w:tblOverlap w:val="never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888"/>
        <w:gridCol w:w="1193"/>
        <w:gridCol w:w="864"/>
        <w:gridCol w:w="1421"/>
        <w:gridCol w:w="1990"/>
      </w:tblGrid>
      <w:tr w14:paraId="294E06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1BA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Subject ID</w:t>
            </w:r>
          </w:p>
        </w:tc>
        <w:tc>
          <w:tcPr>
            <w:tcW w:w="521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904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700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6D9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Age(years)</w:t>
            </w:r>
          </w:p>
        </w:tc>
        <w:tc>
          <w:tcPr>
            <w:tcW w:w="507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F35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834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36E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GBS Subtype</w:t>
            </w:r>
          </w:p>
        </w:tc>
        <w:tc>
          <w:tcPr>
            <w:tcW w:w="1167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B7F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Time of onset(days)</w:t>
            </w:r>
          </w:p>
        </w:tc>
      </w:tr>
      <w:tr w14:paraId="6B0F0E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2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GBS-01</w:t>
            </w:r>
          </w:p>
        </w:tc>
        <w:tc>
          <w:tcPr>
            <w:tcW w:w="521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C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Patient</w:t>
            </w:r>
          </w:p>
        </w:tc>
        <w:tc>
          <w:tcPr>
            <w:tcW w:w="700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C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07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E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834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F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AIDP</w:t>
            </w:r>
          </w:p>
        </w:tc>
        <w:tc>
          <w:tcPr>
            <w:tcW w:w="1167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A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151997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B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GBS-02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7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Patient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C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4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Male </w:t>
            </w:r>
          </w:p>
        </w:tc>
        <w:tc>
          <w:tcPr>
            <w:tcW w:w="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0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AMAN</w:t>
            </w:r>
          </w:p>
        </w:tc>
        <w:tc>
          <w:tcPr>
            <w:tcW w:w="11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E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9D522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6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GBS-03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0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Patient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3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0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1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AIDP</w:t>
            </w:r>
          </w:p>
        </w:tc>
        <w:tc>
          <w:tcPr>
            <w:tcW w:w="11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9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00E12A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3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Healthy Control-01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0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3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B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D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  <w:tc>
          <w:tcPr>
            <w:tcW w:w="11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C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</w:tr>
      <w:tr w14:paraId="2D52E1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E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Healthy Control-02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B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9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6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9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  <w:tc>
          <w:tcPr>
            <w:tcW w:w="11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1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</w:tr>
      <w:tr w14:paraId="7E47C4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0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Healthy Control-03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0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E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5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0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  <w:tc>
          <w:tcPr>
            <w:tcW w:w="11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AE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</w:tr>
    </w:tbl>
    <w:p w14:paraId="74A059CB">
      <w:pPr>
        <w:jc w:val="center"/>
        <w:rPr>
          <w:rFonts w:hint="eastAsia" w:eastAsiaTheme="minorEastAsia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</w:t>
      </w:r>
      <w:r>
        <w:rPr>
          <w:rFonts w:hint="default" w:ascii="Times New Roman" w:hAnsi="Times New Roman" w:cs="Times New Roman"/>
          <w:sz w:val="28"/>
          <w:szCs w:val="36"/>
        </w:rPr>
        <w:t>Baseline characteristics of GBS patients and healthy controls in the qR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36"/>
        </w:rPr>
        <w:t>T-PCR validation cohort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14F58"/>
    <w:rsid w:val="11B32894"/>
    <w:rsid w:val="14C617B6"/>
    <w:rsid w:val="19314F58"/>
    <w:rsid w:val="447C0AC8"/>
    <w:rsid w:val="58881191"/>
    <w:rsid w:val="5AA7634B"/>
    <w:rsid w:val="5EE811DA"/>
    <w:rsid w:val="62767495"/>
    <w:rsid w:val="65D57BE0"/>
    <w:rsid w:val="6D54588F"/>
    <w:rsid w:val="77AB69F3"/>
    <w:rsid w:val="7D042C28"/>
    <w:rsid w:val="7E06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  <w:jc w:val="left"/>
    </w:pPr>
    <w:rPr>
      <w:rFonts w:hint="eastAsia" w:ascii="宋体" w:hAnsi="宋体" w:eastAsia="宋体" w:cs="Times New Roman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344</Characters>
  <Lines>0</Lines>
  <Paragraphs>0</Paragraphs>
  <TotalTime>0</TotalTime>
  <ScaleCrop>false</ScaleCrop>
  <LinksUpToDate>false</LinksUpToDate>
  <CharactersWithSpaces>367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2025-10-29T13:57:00Z</dcterms:created>
  <dc:creator>shindn</dc:creator>
  <cp:lastModifiedBy>HONOR</cp:lastModifiedBy>
  <dcterms:modified xsi:type="dcterms:W3CDTF">2025-11-04T10:37:46Z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A4C868C7948A4419BB0D62CE1A8F51BE_13</vt:lpwstr>
  </property>
  <property fmtid="{D5CDD505-2E9C-101B-9397-08002B2CF9AE}" pid="4" name="KSOTemplateDocerSaveRecord">
    <vt:lpwstr>eyJoZGlkIjoiNjBkYjI4MGQzMTc3MDFkOTZhOGRkNmNhMGZmODdhNzAiLCJ1c2VySWQiOiIzMjIwNDQ0MzMifQ==</vt:lpwstr>
  </property>
</Properties>
</file>