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D563" w14:textId="77777777" w:rsidR="001C60C4" w:rsidRDefault="001C60C4" w:rsidP="001C60C4">
      <w:pPr>
        <w:spacing w:line="360" w:lineRule="auto"/>
        <w:jc w:val="center"/>
        <w:rPr>
          <w:rFonts w:ascii="Times New Roman" w:hAnsi="Times New Roman" w:cs="Times New Roman"/>
          <w:sz w:val="24"/>
        </w:rPr>
      </w:pPr>
      <w:r>
        <w:rPr>
          <w:rFonts w:ascii="Times New Roman" w:hAnsi="Times New Roman" w:cs="Times New Roman"/>
          <w:b/>
          <w:bCs/>
          <w:sz w:val="24"/>
        </w:rPr>
        <w:t>Supplementary material</w:t>
      </w:r>
    </w:p>
    <w:p w14:paraId="75494A9D" w14:textId="77777777" w:rsidR="00BD5FD9" w:rsidRDefault="00BD5FD9">
      <w:pPr>
        <w:rPr>
          <w:rFonts w:hint="eastAsia"/>
        </w:rPr>
      </w:pPr>
    </w:p>
    <w:p w14:paraId="27D85011" w14:textId="77777777" w:rsidR="003067AD" w:rsidRDefault="003067AD">
      <w:pPr>
        <w:rPr>
          <w:rFonts w:hint="eastAsia"/>
        </w:rPr>
      </w:pPr>
    </w:p>
    <w:p w14:paraId="61A130D7" w14:textId="77777777" w:rsidR="001C60C4" w:rsidRDefault="001C60C4" w:rsidP="001C60C4">
      <w:pPr>
        <w:widowControl/>
        <w:numPr>
          <w:ilvl w:val="0"/>
          <w:numId w:val="2"/>
        </w:numPr>
        <w:adjustRightInd w:val="0"/>
        <w:snapToGrid w:val="0"/>
        <w:spacing w:line="360" w:lineRule="auto"/>
        <w:jc w:val="left"/>
        <w:rPr>
          <w:rFonts w:ascii="Times New Roman" w:eastAsia="宋体" w:hAnsi="Times New Roman" w:cs="Times New Roman"/>
          <w:b/>
          <w:sz w:val="24"/>
          <w:lang w:bidi="ar"/>
        </w:rPr>
      </w:pPr>
      <w:r>
        <w:rPr>
          <w:rFonts w:ascii="Times New Roman" w:eastAsia="宋体" w:hAnsi="Times New Roman" w:cs="Times New Roman"/>
          <w:b/>
          <w:sz w:val="24"/>
          <w:lang w:bidi="ar"/>
        </w:rPr>
        <w:t>Standardization of data</w:t>
      </w:r>
    </w:p>
    <w:p w14:paraId="7FDB9EB7" w14:textId="77777777" w:rsidR="001C60C4" w:rsidRDefault="001C60C4" w:rsidP="001C60C4">
      <w:pPr>
        <w:autoSpaceDE w:val="0"/>
        <w:spacing w:line="360" w:lineRule="auto"/>
        <w:ind w:firstLineChars="200" w:firstLine="480"/>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lang w:bidi="ar"/>
        </w:rPr>
        <w:t xml:space="preserve">The extracted features were standardized before dimension reduction, which removed the unit limits of the data of each feature and converted it into a dimensionless pure value. This allowed the indices of different units or orders to be compared and weighted. We used Z-score normalization to make the feature intensities fit a standard normal distribution with </w:t>
      </w:r>
      <w:r>
        <w:rPr>
          <w:rFonts w:ascii="Times New Roman" w:eastAsia="宋体" w:hAnsi="Times New Roman" w:cs="Times New Roman" w:hint="eastAsia"/>
          <w:color w:val="000000"/>
          <w:kern w:val="0"/>
          <w:sz w:val="24"/>
          <w:lang w:bidi="ar"/>
        </w:rPr>
        <w:t>μ</w:t>
      </w:r>
      <w:r>
        <w:rPr>
          <w:rFonts w:ascii="Times New Roman" w:eastAsia="宋体" w:hAnsi="Times New Roman" w:cs="Times New Roman"/>
          <w:color w:val="000000"/>
          <w:kern w:val="0"/>
          <w:sz w:val="24"/>
          <w:lang w:bidi="ar"/>
        </w:rPr>
        <w:t xml:space="preserve"> and σ, wherein </w:t>
      </w:r>
      <w:r>
        <w:rPr>
          <w:rFonts w:ascii="Times New Roman" w:eastAsia="宋体" w:hAnsi="Times New Roman" w:cs="Times New Roman" w:hint="eastAsia"/>
          <w:color w:val="000000"/>
          <w:kern w:val="0"/>
          <w:sz w:val="24"/>
          <w:lang w:bidi="ar"/>
        </w:rPr>
        <w:t>μ</w:t>
      </w:r>
      <w:r>
        <w:rPr>
          <w:rFonts w:ascii="Times New Roman" w:eastAsia="宋体" w:hAnsi="Times New Roman" w:cs="Times New Roman"/>
          <w:color w:val="000000"/>
          <w:kern w:val="0"/>
          <w:sz w:val="24"/>
          <w:lang w:bidi="ar"/>
        </w:rPr>
        <w:t xml:space="preserve"> is the mean value of the features and σ is the standard deviation. The normalized values (also called Z-scores) of the feature intensities (x) were calculated as follows:</w:t>
      </w:r>
    </w:p>
    <w:p w14:paraId="2764C0ED" w14:textId="77777777" w:rsidR="001C60C4" w:rsidRDefault="001C60C4" w:rsidP="001C60C4">
      <w:pPr>
        <w:autoSpaceDE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noProof/>
          <w:color w:val="000000"/>
          <w:kern w:val="0"/>
          <w:sz w:val="24"/>
        </w:rPr>
        <w:drawing>
          <wp:inline distT="0" distB="0" distL="114300" distR="114300" wp14:anchorId="5F4A140B" wp14:editId="37EFE2EE">
            <wp:extent cx="609600" cy="4191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609600" cy="419100"/>
                    </a:xfrm>
                    <a:prstGeom prst="rect">
                      <a:avLst/>
                    </a:prstGeom>
                  </pic:spPr>
                </pic:pic>
              </a:graphicData>
            </a:graphic>
          </wp:inline>
        </w:drawing>
      </w:r>
    </w:p>
    <w:p w14:paraId="347F1EBF" w14:textId="77777777" w:rsidR="003067AD" w:rsidRDefault="003067AD" w:rsidP="003067AD">
      <w:pPr>
        <w:rPr>
          <w:rFonts w:hint="eastAsia"/>
        </w:rPr>
      </w:pPr>
    </w:p>
    <w:p w14:paraId="0BCB612D" w14:textId="77777777" w:rsidR="003067AD" w:rsidRDefault="003067AD" w:rsidP="003067AD">
      <w:pPr>
        <w:rPr>
          <w:rFonts w:hint="eastAsia"/>
        </w:rPr>
      </w:pPr>
    </w:p>
    <w:p w14:paraId="145BC262" w14:textId="188C0902" w:rsidR="003067AD" w:rsidRDefault="001C60C4" w:rsidP="003067AD">
      <w:pPr>
        <w:tabs>
          <w:tab w:val="left" w:pos="312"/>
        </w:tabs>
        <w:spacing w:line="480" w:lineRule="auto"/>
        <w:rPr>
          <w:rFonts w:ascii="Times New Roman" w:hAnsi="Times New Roman" w:cs="Times New Roman"/>
          <w:b/>
          <w:bCs/>
          <w:sz w:val="24"/>
        </w:rPr>
      </w:pPr>
      <w:r>
        <w:rPr>
          <w:rFonts w:ascii="Times New Roman" w:hAnsi="Times New Roman" w:cs="Times New Roman" w:hint="eastAsia"/>
          <w:b/>
          <w:bCs/>
        </w:rPr>
        <w:t>2</w:t>
      </w:r>
      <w:r w:rsidR="003067AD">
        <w:rPr>
          <w:rFonts w:ascii="Times New Roman" w:hAnsi="Times New Roman" w:cs="Times New Roman"/>
          <w:b/>
          <w:bCs/>
        </w:rPr>
        <w:t>.</w:t>
      </w:r>
      <w:r w:rsidR="003067AD">
        <w:rPr>
          <w:rFonts w:ascii="Times New Roman" w:hAnsi="Times New Roman" w:cs="Times New Roman"/>
        </w:rPr>
        <w:t xml:space="preserve"> </w:t>
      </w:r>
      <w:r w:rsidR="003067AD">
        <w:rPr>
          <w:rFonts w:ascii="Times New Roman" w:hAnsi="Times New Roman" w:cs="Times New Roman"/>
          <w:b/>
          <w:bCs/>
          <w:sz w:val="24"/>
        </w:rPr>
        <w:t>Details of Dimension reduction</w:t>
      </w:r>
    </w:p>
    <w:p w14:paraId="1F3CE493" w14:textId="2F40DDB3" w:rsidR="003067AD" w:rsidRDefault="003067AD" w:rsidP="003067AD">
      <w:pPr>
        <w:spacing w:line="480" w:lineRule="auto"/>
        <w:ind w:firstLineChars="150" w:firstLine="360"/>
        <w:rPr>
          <w:rFonts w:ascii="Times New Roman" w:hAnsi="Times New Roman" w:cs="Times New Roman"/>
          <w:sz w:val="24"/>
        </w:rPr>
      </w:pPr>
      <w:r>
        <w:rPr>
          <w:rFonts w:ascii="Times New Roman" w:hAnsi="Times New Roman" w:cs="Times New Roman"/>
          <w:sz w:val="24"/>
        </w:rPr>
        <w:t xml:space="preserve">First, the minimum redundancy maximum relevance (mRMR) algorithm was used to extract robust features from the dataset. The aim of the the minimum redundancy process ensured that the selected features had minimal redundancy among the other features. At the same time, maximum relevance procedure was to select features having the maximum correlation with the actual </w:t>
      </w:r>
      <w:r w:rsidR="00AF1738" w:rsidRPr="00AF1738">
        <w:rPr>
          <w:rFonts w:ascii="Times New Roman" w:hAnsi="Times New Roman" w:cs="Times New Roman" w:hint="eastAsia"/>
          <w:sz w:val="24"/>
        </w:rPr>
        <w:t>depression</w:t>
      </w:r>
      <w:r w:rsidRPr="006C5639">
        <w:rPr>
          <w:rFonts w:ascii="Times New Roman" w:hAnsi="Times New Roman" w:cs="Times New Roman"/>
          <w:sz w:val="24"/>
        </w:rPr>
        <w:t xml:space="preserve"> progression</w:t>
      </w:r>
      <w:r>
        <w:rPr>
          <w:rFonts w:ascii="Times New Roman" w:hAnsi="Times New Roman" w:cs="Times New Roman"/>
          <w:sz w:val="24"/>
        </w:rPr>
        <w:t>，</w:t>
      </w:r>
      <w:r>
        <w:rPr>
          <w:rFonts w:ascii="Times New Roman" w:hAnsi="Times New Roman" w:cs="Times New Roman"/>
          <w:sz w:val="24"/>
        </w:rPr>
        <w:t xml:space="preserve">and we selected features with correlation coefficients greater than 0.8 and 0.1 as high correlation and low redundancy features, respectively. Then, the mRMR method was used to obtain an optimal feature set with a high correlation and low redundancy. </w:t>
      </w:r>
      <w:r w:rsidRPr="00DA17F9">
        <w:rPr>
          <w:rFonts w:ascii="Times New Roman" w:hAnsi="Times New Roman" w:cs="Times New Roman"/>
          <w:sz w:val="24"/>
        </w:rPr>
        <w:t>20 features were retained</w:t>
      </w:r>
      <w:r>
        <w:rPr>
          <w:rFonts w:ascii="Times New Roman" w:hAnsi="Times New Roman" w:cs="Times New Roman"/>
          <w:sz w:val="24"/>
        </w:rPr>
        <w:t xml:space="preserve"> by mRMR</w:t>
      </w:r>
      <w:r w:rsidRPr="00DA17F9">
        <w:rPr>
          <w:rFonts w:ascii="Times New Roman" w:hAnsi="Times New Roman" w:cs="Times New Roman"/>
          <w:sz w:val="24"/>
        </w:rPr>
        <w:t>.</w:t>
      </w:r>
    </w:p>
    <w:p w14:paraId="7E198D00" w14:textId="2CACF90B" w:rsidR="003067AD" w:rsidRPr="0004255A" w:rsidRDefault="003067AD" w:rsidP="003067AD">
      <w:pPr>
        <w:spacing w:line="480" w:lineRule="auto"/>
        <w:ind w:firstLineChars="150" w:firstLine="360"/>
        <w:rPr>
          <w:rFonts w:ascii="Times New Roman" w:hAnsi="Times New Roman" w:cs="Times New Roman"/>
          <w:sz w:val="24"/>
        </w:rPr>
      </w:pPr>
      <w:r>
        <w:rPr>
          <w:rFonts w:ascii="Times New Roman" w:hAnsi="Times New Roman" w:cs="Times New Roman"/>
          <w:kern w:val="0"/>
          <w:sz w:val="24"/>
          <w:szCs w:val="24"/>
        </w:rPr>
        <w:t>Finally,</w:t>
      </w:r>
      <w:r w:rsidRPr="00066F55">
        <w:rPr>
          <w:rFonts w:ascii="Times New Roman" w:hAnsi="Times New Roman"/>
          <w:sz w:val="24"/>
        </w:rPr>
        <w:t xml:space="preserve"> dimensionality reduction of the selected features was performed using the least absolute shrinkage and selection operator (LASSO) method. LASSO is a powerful </w:t>
      </w:r>
      <w:r w:rsidRPr="00066F55">
        <w:rPr>
          <w:rFonts w:ascii="Times New Roman" w:hAnsi="Times New Roman"/>
          <w:sz w:val="24"/>
        </w:rPr>
        <w:lastRenderedPageBreak/>
        <w:t xml:space="preserve">algorithm for regression analysis with high dimensional predictors. The LASSO algorithm shrinks some coefficients and reduces others to exactly 0 via an absolute constraint. Thus, LASSO is an outstanding method for feature selection as it retains good features using both a subset selection and ridge regression. In this study, LASSO selected </w:t>
      </w:r>
      <w:r>
        <w:rPr>
          <w:rFonts w:ascii="Times New Roman" w:hAnsi="Times New Roman"/>
          <w:sz w:val="24"/>
        </w:rPr>
        <w:t>8</w:t>
      </w:r>
      <w:r w:rsidRPr="00066F55">
        <w:rPr>
          <w:rFonts w:ascii="Times New Roman" w:hAnsi="Times New Roman"/>
          <w:sz w:val="24"/>
        </w:rPr>
        <w:t xml:space="preserve"> nonzero coefficients</w:t>
      </w:r>
      <w:r>
        <w:rPr>
          <w:rFonts w:ascii="Times New Roman" w:hAnsi="Times New Roman" w:hint="eastAsia"/>
          <w:sz w:val="24"/>
        </w:rPr>
        <w:t>,</w:t>
      </w:r>
      <w:r>
        <w:rPr>
          <w:rFonts w:ascii="Times New Roman" w:hAnsi="Times New Roman"/>
          <w:sz w:val="24"/>
        </w:rPr>
        <w:t xml:space="preserve"> d</w:t>
      </w:r>
      <w:r w:rsidRPr="000C6A24">
        <w:rPr>
          <w:rFonts w:ascii="Times New Roman" w:hAnsi="Times New Roman"/>
          <w:sz w:val="24"/>
        </w:rPr>
        <w:t>etails of LASSO</w:t>
      </w:r>
      <w:r w:rsidR="00A36A8A">
        <w:rPr>
          <w:rFonts w:ascii="Times New Roman" w:hAnsi="Times New Roman" w:hint="eastAsia"/>
          <w:sz w:val="24"/>
        </w:rPr>
        <w:t xml:space="preserve"> and features</w:t>
      </w:r>
      <w:r w:rsidRPr="000C6A24">
        <w:rPr>
          <w:rFonts w:ascii="Times New Roman" w:hAnsi="Times New Roman"/>
          <w:sz w:val="24"/>
        </w:rPr>
        <w:t xml:space="preserve"> can be found in Figure S1</w:t>
      </w:r>
      <w:r w:rsidR="00A36A8A">
        <w:rPr>
          <w:rFonts w:ascii="Times New Roman" w:hAnsi="Times New Roman" w:hint="eastAsia"/>
          <w:sz w:val="24"/>
        </w:rPr>
        <w:t xml:space="preserve"> and S2</w:t>
      </w:r>
      <w:r>
        <w:rPr>
          <w:rFonts w:ascii="Times New Roman" w:hAnsi="Times New Roman"/>
          <w:sz w:val="24"/>
        </w:rPr>
        <w:t>.</w:t>
      </w:r>
      <w:r w:rsidR="00AE182C">
        <w:rPr>
          <w:rFonts w:ascii="Times New Roman" w:hAnsi="Times New Roman" w:hint="eastAsia"/>
          <w:sz w:val="24"/>
        </w:rPr>
        <w:t xml:space="preserve"> </w:t>
      </w:r>
      <w:r w:rsidR="00AE182C" w:rsidRPr="00AE182C">
        <w:rPr>
          <w:rFonts w:ascii="Times New Roman" w:hAnsi="Times New Roman" w:hint="eastAsia"/>
          <w:sz w:val="24"/>
        </w:rPr>
        <w:t>The formula for the radiomics biomarker constructed using logistic regression based on the 8 selected features is as follows:</w:t>
      </w:r>
    </w:p>
    <w:p w14:paraId="635A3883" w14:textId="77777777" w:rsidR="003067AD" w:rsidRDefault="003067AD">
      <w:pPr>
        <w:rPr>
          <w:rFonts w:hint="eastAsia"/>
        </w:rPr>
      </w:pPr>
    </w:p>
    <w:p w14:paraId="3120010F" w14:textId="77777777" w:rsidR="00AE182C" w:rsidRDefault="00AE182C">
      <w:pPr>
        <w:rPr>
          <w:rFonts w:hint="eastAsia"/>
        </w:rPr>
      </w:pPr>
    </w:p>
    <w:p w14:paraId="607A6D52" w14:textId="77777777" w:rsidR="00AE182C" w:rsidRDefault="00AE182C" w:rsidP="00AE182C">
      <w:pPr>
        <w:rPr>
          <w:rFonts w:ascii="Times New Roman" w:hAnsi="Times New Roman"/>
          <w:b/>
          <w:bCs/>
          <w:sz w:val="24"/>
        </w:rPr>
      </w:pPr>
      <w:r>
        <w:rPr>
          <w:rFonts w:ascii="Times New Roman" w:hAnsi="Times New Roman"/>
          <w:b/>
          <w:bCs/>
          <w:sz w:val="24"/>
        </w:rPr>
        <w:t>alculation formula:</w:t>
      </w:r>
    </w:p>
    <w:p w14:paraId="53C0C039" w14:textId="5BEF8C79" w:rsidR="00AE182C" w:rsidRDefault="00AE182C" w:rsidP="00AE182C">
      <w:pPr>
        <w:spacing w:line="225" w:lineRule="atLeast"/>
        <w:ind w:firstLineChars="250" w:firstLine="600"/>
        <w:rPr>
          <w:rFonts w:ascii="Times New Roman" w:hAnsi="Times New Roman"/>
          <w:sz w:val="24"/>
        </w:rPr>
      </w:pPr>
      <w:r>
        <w:rPr>
          <w:rFonts w:ascii="Times New Roman" w:hAnsi="Times New Roman"/>
          <w:i/>
          <w:iCs/>
          <w:sz w:val="24"/>
        </w:rPr>
        <w:t>Rad score</w:t>
      </w:r>
      <w:r>
        <w:rPr>
          <w:rFonts w:ascii="Times New Roman" w:hAnsi="Times New Roman"/>
          <w:sz w:val="24"/>
        </w:rPr>
        <w:t xml:space="preserve"> = </w:t>
      </w:r>
      <w:r>
        <w:rPr>
          <w:rFonts w:ascii="Times New Roman" w:hAnsi="Times New Roman"/>
        </w:rPr>
        <w:t>-0.</w:t>
      </w:r>
      <w:r w:rsidR="00BF71F0">
        <w:rPr>
          <w:rFonts w:ascii="Times New Roman" w:hAnsi="Times New Roman" w:hint="eastAsia"/>
        </w:rPr>
        <w:t>944</w:t>
      </w:r>
      <w:r>
        <w:rPr>
          <w:rFonts w:ascii="Times New Roman" w:hAnsi="Times New Roman"/>
          <w:sz w:val="24"/>
        </w:rPr>
        <w:t xml:space="preserve"> +</w:t>
      </w:r>
      <w:r>
        <w:rPr>
          <w:rFonts w:ascii="Times New Roman" w:hAnsi="Times New Roman"/>
        </w:rPr>
        <w:t xml:space="preserve"> 0.</w:t>
      </w:r>
      <w:r w:rsidR="00BF71F0">
        <w:rPr>
          <w:rFonts w:ascii="Times New Roman" w:hAnsi="Times New Roman" w:hint="eastAsia"/>
        </w:rPr>
        <w:t>072</w:t>
      </w:r>
      <w:r>
        <w:rPr>
          <w:rFonts w:ascii="Times New Roman" w:hAnsi="Times New Roman"/>
          <w:sz w:val="24"/>
        </w:rPr>
        <w:t>×</w:t>
      </w:r>
      <w:r w:rsidR="00DA78AF" w:rsidRPr="00DA78AF">
        <w:rPr>
          <w:rFonts w:ascii="Times New Roman" w:hAnsi="Times New Roman" w:hint="eastAsia"/>
        </w:rPr>
        <w:t>original_firstorder_Kurtosis_c2</w:t>
      </w:r>
    </w:p>
    <w:p w14:paraId="249B37F4" w14:textId="3E8FD500" w:rsidR="00AE182C" w:rsidRDefault="00AE182C" w:rsidP="00AE182C">
      <w:pPr>
        <w:spacing w:line="225" w:lineRule="atLeast"/>
        <w:ind w:firstLineChars="800" w:firstLine="1680"/>
        <w:rPr>
          <w:rFonts w:ascii="Times New Roman" w:hAnsi="Times New Roman"/>
          <w:sz w:val="24"/>
        </w:rPr>
      </w:pPr>
      <w:r>
        <w:rPr>
          <w:rFonts w:ascii="Times New Roman" w:hAnsi="Times New Roman"/>
        </w:rPr>
        <w:t>-0.</w:t>
      </w:r>
      <w:r w:rsidR="00BF71F0">
        <w:rPr>
          <w:rFonts w:ascii="Times New Roman" w:hAnsi="Times New Roman" w:hint="eastAsia"/>
        </w:rPr>
        <w:t>173</w:t>
      </w:r>
      <w:r>
        <w:rPr>
          <w:rFonts w:ascii="Times New Roman" w:hAnsi="Times New Roman"/>
          <w:sz w:val="24"/>
        </w:rPr>
        <w:t>×</w:t>
      </w:r>
      <w:r w:rsidR="00DA78AF" w:rsidRPr="00DA78AF">
        <w:rPr>
          <w:rFonts w:ascii="Times New Roman" w:hAnsi="Times New Roman" w:hint="eastAsia"/>
        </w:rPr>
        <w:t>wavelet-LHL_glcm_Idn_c2</w:t>
      </w:r>
    </w:p>
    <w:p w14:paraId="71BE5F08" w14:textId="2BDB934B" w:rsidR="00AE182C" w:rsidRDefault="00AE182C" w:rsidP="00AE182C">
      <w:pPr>
        <w:widowControl/>
        <w:ind w:firstLineChars="800" w:firstLine="1680"/>
        <w:rPr>
          <w:rFonts w:ascii="Times New Roman" w:hAnsi="Times New Roman"/>
          <w:color w:val="000000"/>
          <w:kern w:val="0"/>
          <w:sz w:val="22"/>
        </w:rPr>
      </w:pPr>
      <w:r>
        <w:rPr>
          <w:rFonts w:ascii="Times New Roman" w:hAnsi="Times New Roman"/>
        </w:rPr>
        <w:t>-0.</w:t>
      </w:r>
      <w:r w:rsidR="00BF71F0">
        <w:rPr>
          <w:rFonts w:ascii="Times New Roman" w:hAnsi="Times New Roman" w:hint="eastAsia"/>
        </w:rPr>
        <w:t>075</w:t>
      </w:r>
      <w:r>
        <w:rPr>
          <w:rFonts w:ascii="Times New Roman" w:hAnsi="Times New Roman"/>
          <w:sz w:val="24"/>
        </w:rPr>
        <w:t>×</w:t>
      </w:r>
      <w:r w:rsidR="00DA78AF" w:rsidRPr="00DA78AF">
        <w:rPr>
          <w:rFonts w:ascii="Times New Roman" w:hAnsi="Times New Roman" w:hint="eastAsia"/>
          <w:color w:val="000000"/>
          <w:kern w:val="0"/>
          <w:sz w:val="22"/>
        </w:rPr>
        <w:t>original_shape_MinorAxisLength_c2</w:t>
      </w:r>
    </w:p>
    <w:p w14:paraId="2F50BC7B" w14:textId="3D190EE3" w:rsidR="00AE182C" w:rsidRDefault="00BF71F0" w:rsidP="00AE182C">
      <w:pPr>
        <w:spacing w:line="225" w:lineRule="atLeast"/>
        <w:ind w:firstLineChars="800" w:firstLine="1680"/>
        <w:rPr>
          <w:rFonts w:ascii="Times New Roman" w:hAnsi="Times New Roman"/>
        </w:rPr>
      </w:pPr>
      <w:r>
        <w:rPr>
          <w:rFonts w:ascii="Times New Roman" w:hAnsi="Times New Roman" w:hint="eastAsia"/>
        </w:rPr>
        <w:t>0.075</w:t>
      </w:r>
      <w:r w:rsidR="00AE182C">
        <w:rPr>
          <w:rFonts w:ascii="Times New Roman" w:hAnsi="Times New Roman"/>
          <w:sz w:val="24"/>
        </w:rPr>
        <w:t>×</w:t>
      </w:r>
      <w:r w:rsidR="00DA78AF" w:rsidRPr="00DA78AF">
        <w:rPr>
          <w:rFonts w:ascii="Times New Roman" w:hAnsi="Times New Roman" w:hint="eastAsia"/>
        </w:rPr>
        <w:t>wavelet-LLL_glcm_ClusterTendency_c1</w:t>
      </w:r>
    </w:p>
    <w:p w14:paraId="475B76DA" w14:textId="5B246F65" w:rsidR="00AE182C" w:rsidRDefault="00BF71F0" w:rsidP="00AE182C">
      <w:pPr>
        <w:spacing w:line="225" w:lineRule="atLeast"/>
        <w:ind w:firstLineChars="800" w:firstLine="1680"/>
        <w:rPr>
          <w:rFonts w:ascii="Times New Roman" w:hAnsi="Times New Roman"/>
        </w:rPr>
      </w:pPr>
      <w:r>
        <w:rPr>
          <w:rFonts w:ascii="Times New Roman" w:hAnsi="Times New Roman" w:hint="eastAsia"/>
        </w:rPr>
        <w:t>-0.356</w:t>
      </w:r>
      <w:r w:rsidR="00AE182C">
        <w:rPr>
          <w:rFonts w:ascii="Times New Roman" w:hAnsi="Times New Roman"/>
          <w:sz w:val="24"/>
        </w:rPr>
        <w:t>×</w:t>
      </w:r>
      <w:r w:rsidR="00DA78AF" w:rsidRPr="00DA78AF">
        <w:rPr>
          <w:rFonts w:ascii="Times New Roman" w:hAnsi="Times New Roman" w:hint="eastAsia"/>
        </w:rPr>
        <w:t>log-sigma-4-0-mm-3D_firstorder_Kurtosis_c1</w:t>
      </w:r>
    </w:p>
    <w:p w14:paraId="1AEB5D91" w14:textId="6A8F7D5E" w:rsidR="00AE182C" w:rsidRDefault="00BF71F0" w:rsidP="00AE182C">
      <w:pPr>
        <w:spacing w:line="225" w:lineRule="atLeast"/>
        <w:ind w:firstLineChars="800" w:firstLine="1680"/>
        <w:rPr>
          <w:rFonts w:ascii="Times New Roman" w:hAnsi="Times New Roman"/>
        </w:rPr>
      </w:pPr>
      <w:r>
        <w:rPr>
          <w:rFonts w:ascii="Times New Roman" w:hAnsi="Times New Roman" w:hint="eastAsia"/>
        </w:rPr>
        <w:t>-0.388</w:t>
      </w:r>
      <w:r w:rsidR="00AE182C">
        <w:rPr>
          <w:rFonts w:ascii="Times New Roman" w:hAnsi="Times New Roman"/>
          <w:sz w:val="24"/>
        </w:rPr>
        <w:t>×</w:t>
      </w:r>
      <w:r w:rsidR="00DA78AF" w:rsidRPr="00DA78AF">
        <w:rPr>
          <w:rFonts w:ascii="Times New Roman" w:hAnsi="Times New Roman" w:hint="eastAsia"/>
        </w:rPr>
        <w:t>wavelet-HHL_glcm_ClusterShade_c1</w:t>
      </w:r>
    </w:p>
    <w:p w14:paraId="52714B62" w14:textId="5B3F670C" w:rsidR="00AE182C" w:rsidRDefault="00AE182C" w:rsidP="00AE182C">
      <w:pPr>
        <w:spacing w:line="225" w:lineRule="atLeast"/>
        <w:ind w:firstLineChars="800" w:firstLine="1680"/>
        <w:rPr>
          <w:rFonts w:ascii="Times New Roman" w:hAnsi="Times New Roman"/>
        </w:rPr>
      </w:pPr>
      <w:r>
        <w:rPr>
          <w:rFonts w:ascii="Times New Roman" w:hAnsi="Times New Roman"/>
        </w:rPr>
        <w:t>-0.</w:t>
      </w:r>
      <w:r w:rsidR="00BF71F0">
        <w:rPr>
          <w:rFonts w:ascii="Times New Roman" w:hAnsi="Times New Roman" w:hint="eastAsia"/>
        </w:rPr>
        <w:t>442</w:t>
      </w:r>
      <w:r>
        <w:rPr>
          <w:rFonts w:ascii="Times New Roman" w:hAnsi="Times New Roman"/>
          <w:sz w:val="24"/>
        </w:rPr>
        <w:t>×</w:t>
      </w:r>
      <w:r w:rsidR="00DA78AF" w:rsidRPr="00DA78AF">
        <w:rPr>
          <w:rFonts w:ascii="Times New Roman" w:hAnsi="Times New Roman" w:hint="eastAsia"/>
        </w:rPr>
        <w:t>log-sigma-5-0-mm-3D_firstorder_Skewness_c3</w:t>
      </w:r>
    </w:p>
    <w:p w14:paraId="7950EC2A" w14:textId="623A9A18" w:rsidR="00DA78AF" w:rsidRDefault="00DA78AF" w:rsidP="00DA78AF">
      <w:pPr>
        <w:spacing w:line="225" w:lineRule="atLeast"/>
        <w:ind w:firstLineChars="800" w:firstLine="1680"/>
        <w:rPr>
          <w:rFonts w:ascii="Times New Roman" w:hAnsi="Times New Roman"/>
        </w:rPr>
      </w:pPr>
      <w:r>
        <w:rPr>
          <w:rFonts w:ascii="Times New Roman" w:hAnsi="Times New Roman"/>
        </w:rPr>
        <w:t>-0.</w:t>
      </w:r>
      <w:r w:rsidR="00BF71F0">
        <w:rPr>
          <w:rFonts w:ascii="Times New Roman" w:hAnsi="Times New Roman" w:hint="eastAsia"/>
        </w:rPr>
        <w:t>25</w:t>
      </w:r>
      <w:r>
        <w:rPr>
          <w:rFonts w:ascii="Times New Roman" w:hAnsi="Times New Roman"/>
          <w:sz w:val="24"/>
        </w:rPr>
        <w:t>×</w:t>
      </w:r>
      <w:r w:rsidRPr="00DA78AF">
        <w:rPr>
          <w:rFonts w:ascii="Times New Roman" w:hAnsi="Times New Roman" w:hint="eastAsia"/>
        </w:rPr>
        <w:t>wavelet-LHL_glcm_Idmn_c3</w:t>
      </w:r>
    </w:p>
    <w:p w14:paraId="1B031647" w14:textId="30810344" w:rsidR="00AE182C" w:rsidRPr="00DA78AF" w:rsidRDefault="00AE182C">
      <w:pPr>
        <w:rPr>
          <w:rFonts w:hint="eastAsia"/>
        </w:rPr>
      </w:pPr>
    </w:p>
    <w:p w14:paraId="14D480E3" w14:textId="77777777" w:rsidR="00FB74E6" w:rsidRDefault="00FB74E6" w:rsidP="00FB74E6">
      <w:pPr>
        <w:rPr>
          <w:rFonts w:ascii="Times New Roman" w:hAnsi="Times New Roman" w:cs="Times New Roman"/>
        </w:rPr>
      </w:pPr>
      <w:r w:rsidRPr="00FB74E6">
        <w:rPr>
          <w:rFonts w:ascii="Times New Roman" w:hAnsi="Times New Roman" w:cs="Times New Roman"/>
        </w:rPr>
        <w:t>Notes:</w:t>
      </w:r>
      <w:r>
        <w:rPr>
          <w:rFonts w:hint="eastAsia"/>
        </w:rPr>
        <w:t xml:space="preserve"> </w:t>
      </w:r>
      <w:r w:rsidRPr="00E5268A">
        <w:rPr>
          <w:rFonts w:ascii="Times New Roman" w:hAnsi="Times New Roman" w:cs="Times New Roman" w:hint="eastAsia"/>
        </w:rPr>
        <w:t>c1 represents white matter, c2 represents gray matter, and c3 represents cerebrospinal fluid</w:t>
      </w:r>
      <w:r>
        <w:rPr>
          <w:rFonts w:ascii="Times New Roman" w:hAnsi="Times New Roman" w:cs="Times New Roman" w:hint="eastAsia"/>
        </w:rPr>
        <w:t>.</w:t>
      </w:r>
    </w:p>
    <w:p w14:paraId="08DFDD0F" w14:textId="37613CA9" w:rsidR="003067AD" w:rsidRPr="00FB74E6" w:rsidRDefault="003067AD">
      <w:pPr>
        <w:rPr>
          <w:rFonts w:hint="eastAsia"/>
        </w:rPr>
      </w:pPr>
    </w:p>
    <w:p w14:paraId="48E7DFBA" w14:textId="51E6C723" w:rsidR="003067AD" w:rsidRDefault="003067AD">
      <w:pPr>
        <w:rPr>
          <w:rFonts w:hint="eastAsia"/>
        </w:rPr>
      </w:pPr>
      <w:r>
        <w:rPr>
          <w:rFonts w:hint="eastAsia"/>
          <w:noProof/>
        </w:rPr>
        <w:lastRenderedPageBreak/>
        <w:drawing>
          <wp:inline distT="0" distB="0" distL="0" distR="0" wp14:anchorId="1D726595" wp14:editId="6AF7E3E6">
            <wp:extent cx="4465320" cy="5745887"/>
            <wp:effectExtent l="0" t="0" r="0" b="0"/>
            <wp:docPr id="483302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02532" name="图片 483302532"/>
                    <pic:cNvPicPr/>
                  </pic:nvPicPr>
                  <pic:blipFill>
                    <a:blip r:embed="rId8">
                      <a:extLst>
                        <a:ext uri="{28A0092B-C50C-407E-A947-70E740481C1C}">
                          <a14:useLocalDpi xmlns:a14="http://schemas.microsoft.com/office/drawing/2010/main" val="0"/>
                        </a:ext>
                      </a:extLst>
                    </a:blip>
                    <a:stretch>
                      <a:fillRect/>
                    </a:stretch>
                  </pic:blipFill>
                  <pic:spPr>
                    <a:xfrm>
                      <a:off x="0" y="0"/>
                      <a:ext cx="4467725" cy="5748981"/>
                    </a:xfrm>
                    <a:prstGeom prst="rect">
                      <a:avLst/>
                    </a:prstGeom>
                  </pic:spPr>
                </pic:pic>
              </a:graphicData>
            </a:graphic>
          </wp:inline>
        </w:drawing>
      </w:r>
    </w:p>
    <w:p w14:paraId="6119D35E" w14:textId="5946E950" w:rsidR="003067AD" w:rsidRDefault="003067AD">
      <w:pPr>
        <w:rPr>
          <w:rFonts w:ascii="Times New Roman" w:hAnsi="Times New Roman" w:cs="Times New Roman"/>
        </w:rPr>
      </w:pPr>
      <w:r w:rsidRPr="003067AD">
        <w:rPr>
          <w:rFonts w:ascii="Times New Roman" w:hAnsi="Times New Roman" w:cs="Times New Roman"/>
          <w:b/>
          <w:bCs/>
        </w:rPr>
        <w:t>Figure S1.</w:t>
      </w:r>
      <w:r w:rsidRPr="003067AD">
        <w:rPr>
          <w:rFonts w:ascii="Times New Roman" w:hAnsi="Times New Roman" w:cs="Times New Roman"/>
        </w:rPr>
        <w:t xml:space="preserve"> Figure A shows the Feature selection in the dimension reduction process of LASSO. Display the diagnostic bias of models constructed after dimensionality reduction corresponding to different hyperparameters (input values). The vertical dashed line on the left represents the minimum deviation value corresponding to the optimal input value; The dashed line on the right is the optimal input logarithmic function value. Figure B shows the changes of 8 featuress in different LASSO systems as the input values of hyperparameters change. The dashed vertical lines indicate the 8 obtained features with non zero coefficients.</w:t>
      </w:r>
    </w:p>
    <w:p w14:paraId="1AE25F79" w14:textId="77777777" w:rsidR="003067AD" w:rsidRDefault="003067AD">
      <w:pPr>
        <w:rPr>
          <w:rFonts w:ascii="Times New Roman" w:hAnsi="Times New Roman" w:cs="Times New Roman"/>
        </w:rPr>
      </w:pPr>
    </w:p>
    <w:p w14:paraId="57A4E343" w14:textId="77777777" w:rsidR="003067AD" w:rsidRDefault="003067AD">
      <w:pPr>
        <w:rPr>
          <w:rFonts w:ascii="Times New Roman" w:hAnsi="Times New Roman" w:cs="Times New Roman"/>
        </w:rPr>
      </w:pPr>
    </w:p>
    <w:p w14:paraId="40BA0BD9" w14:textId="44218565" w:rsidR="003067AD" w:rsidRDefault="00E5268A">
      <w:pPr>
        <w:rPr>
          <w:rFonts w:ascii="Times New Roman" w:hAnsi="Times New Roman" w:cs="Times New Roman"/>
        </w:rPr>
      </w:pPr>
      <w:r>
        <w:rPr>
          <w:noProof/>
        </w:rPr>
        <w:lastRenderedPageBreak/>
        <w:drawing>
          <wp:inline distT="0" distB="0" distL="0" distR="0" wp14:anchorId="55413C9A" wp14:editId="12AE15CA">
            <wp:extent cx="5274310" cy="3767455"/>
            <wp:effectExtent l="0" t="0" r="2540" b="4445"/>
            <wp:docPr id="20054513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767455"/>
                    </a:xfrm>
                    <a:prstGeom prst="rect">
                      <a:avLst/>
                    </a:prstGeom>
                    <a:noFill/>
                    <a:ln>
                      <a:noFill/>
                    </a:ln>
                  </pic:spPr>
                </pic:pic>
              </a:graphicData>
            </a:graphic>
          </wp:inline>
        </w:drawing>
      </w:r>
    </w:p>
    <w:p w14:paraId="35EEBCEA" w14:textId="1CED9BA0" w:rsidR="00E5268A" w:rsidRDefault="00E5268A">
      <w:pPr>
        <w:rPr>
          <w:rFonts w:ascii="Times New Roman" w:hAnsi="Times New Roman" w:cs="Times New Roman"/>
        </w:rPr>
      </w:pPr>
      <w:r w:rsidRPr="00DF7DD6">
        <w:rPr>
          <w:rFonts w:ascii="Times New Roman" w:hAnsi="Times New Roman" w:cs="Times New Roman" w:hint="eastAsia"/>
          <w:b/>
          <w:bCs/>
        </w:rPr>
        <w:t xml:space="preserve">Figure </w:t>
      </w:r>
      <w:r w:rsidR="00DC6223">
        <w:rPr>
          <w:rFonts w:ascii="Times New Roman" w:hAnsi="Times New Roman" w:cs="Times New Roman" w:hint="eastAsia"/>
          <w:b/>
          <w:bCs/>
        </w:rPr>
        <w:t>S</w:t>
      </w:r>
      <w:r w:rsidRPr="00DF7DD6">
        <w:rPr>
          <w:rFonts w:ascii="Times New Roman" w:hAnsi="Times New Roman" w:cs="Times New Roman" w:hint="eastAsia"/>
          <w:b/>
          <w:bCs/>
        </w:rPr>
        <w:t>2.</w:t>
      </w:r>
      <w:r>
        <w:rPr>
          <w:rFonts w:ascii="Times New Roman" w:hAnsi="Times New Roman" w:cs="Times New Roman" w:hint="eastAsia"/>
        </w:rPr>
        <w:t xml:space="preserve"> </w:t>
      </w:r>
      <w:r w:rsidRPr="00E5268A">
        <w:rPr>
          <w:rFonts w:ascii="Times New Roman" w:hAnsi="Times New Roman" w:cs="Times New Roman" w:hint="eastAsia"/>
        </w:rPr>
        <w:t>The remaining 8 features after dimensionality reduction are represented by the blue bar graph on the right, where c1 represents white matter, c2 represents gray matter, and c3 represents cerebrospinal fluid</w:t>
      </w:r>
      <w:r>
        <w:rPr>
          <w:rFonts w:ascii="Times New Roman" w:hAnsi="Times New Roman" w:cs="Times New Roman" w:hint="eastAsia"/>
        </w:rPr>
        <w:t>.</w:t>
      </w:r>
    </w:p>
    <w:p w14:paraId="19D8495D" w14:textId="77777777" w:rsidR="003067AD" w:rsidRDefault="003067AD">
      <w:pPr>
        <w:rPr>
          <w:rFonts w:ascii="Times New Roman" w:hAnsi="Times New Roman" w:cs="Times New Roman"/>
        </w:rPr>
      </w:pPr>
    </w:p>
    <w:p w14:paraId="04AAF93C" w14:textId="77777777" w:rsidR="001C60C4" w:rsidRDefault="001C60C4">
      <w:pPr>
        <w:rPr>
          <w:rFonts w:ascii="Times New Roman" w:hAnsi="Times New Roman" w:cs="Times New Roman"/>
        </w:rPr>
      </w:pPr>
    </w:p>
    <w:p w14:paraId="2BFBB06E" w14:textId="77777777" w:rsidR="00DC6223" w:rsidRDefault="00DC6223" w:rsidP="00DC6223">
      <w:pPr>
        <w:spacing w:line="360" w:lineRule="auto"/>
        <w:jc w:val="left"/>
        <w:rPr>
          <w:rFonts w:ascii="Times New Roman" w:hAnsi="Times New Roman"/>
          <w:b/>
          <w:bCs/>
          <w:kern w:val="0"/>
          <w:sz w:val="24"/>
        </w:rPr>
      </w:pPr>
      <w:r>
        <w:rPr>
          <w:rFonts w:ascii="Times New Roman" w:hAnsi="Times New Roman" w:hint="eastAsia"/>
          <w:b/>
          <w:bCs/>
          <w:kern w:val="0"/>
          <w:sz w:val="24"/>
        </w:rPr>
        <w:t>3.</w:t>
      </w:r>
      <w:r>
        <w:rPr>
          <w:rFonts w:ascii="Times New Roman" w:hAnsi="Times New Roman"/>
          <w:b/>
          <w:bCs/>
          <w:kern w:val="0"/>
          <w:sz w:val="24"/>
        </w:rPr>
        <w:t>Machine Learning Details</w:t>
      </w:r>
    </w:p>
    <w:p w14:paraId="71AC37B6" w14:textId="5CA7F244" w:rsidR="00DC6223" w:rsidRDefault="00DC6223" w:rsidP="00DC6223">
      <w:pPr>
        <w:spacing w:line="360" w:lineRule="auto"/>
        <w:rPr>
          <w:rFonts w:ascii="Times New Roman" w:hAnsi="Times New Roman" w:cs="Times New Roman" w:hint="eastAsia"/>
          <w:sz w:val="24"/>
        </w:rPr>
      </w:pPr>
      <w:r>
        <w:rPr>
          <w:rFonts w:ascii="Times New Roman" w:hAnsi="Times New Roman"/>
          <w:kern w:val="0"/>
          <w:sz w:val="24"/>
        </w:rPr>
        <w:t xml:space="preserve">In our study, </w:t>
      </w:r>
      <w:r w:rsidRPr="00981A77">
        <w:rPr>
          <w:rFonts w:ascii="Times New Roman" w:hAnsi="Times New Roman"/>
          <w:kern w:val="0"/>
          <w:sz w:val="24"/>
        </w:rPr>
        <w:t xml:space="preserve">we used </w:t>
      </w:r>
      <w:r w:rsidR="003E6AFB">
        <w:rPr>
          <w:rFonts w:ascii="Times New Roman" w:hAnsi="Times New Roman" w:hint="eastAsia"/>
          <w:kern w:val="0"/>
          <w:sz w:val="24"/>
        </w:rPr>
        <w:t>4</w:t>
      </w:r>
      <w:r w:rsidRPr="00981A77">
        <w:rPr>
          <w:rFonts w:ascii="Times New Roman" w:hAnsi="Times New Roman"/>
          <w:kern w:val="0"/>
          <w:sz w:val="24"/>
        </w:rPr>
        <w:t xml:space="preserve"> machine-learning classifiers (</w:t>
      </w:r>
      <w:r w:rsidR="003E6AFB">
        <w:rPr>
          <w:rFonts w:ascii="Times New Roman" w:hAnsi="Times New Roman" w:hint="eastAsia"/>
          <w:kern w:val="0"/>
          <w:sz w:val="24"/>
        </w:rPr>
        <w:t>XGBoot</w:t>
      </w:r>
      <w:r w:rsidRPr="00981A77">
        <w:rPr>
          <w:rFonts w:ascii="Times New Roman" w:hAnsi="Times New Roman"/>
          <w:kern w:val="0"/>
          <w:sz w:val="24"/>
        </w:rPr>
        <w:t xml:space="preserve">, Decision tree, </w:t>
      </w:r>
      <w:proofErr w:type="gramStart"/>
      <w:r w:rsidRPr="00981A77">
        <w:rPr>
          <w:rFonts w:ascii="Times New Roman" w:hAnsi="Times New Roman"/>
          <w:kern w:val="0"/>
          <w:sz w:val="24"/>
        </w:rPr>
        <w:t>Random forest</w:t>
      </w:r>
      <w:proofErr w:type="gramEnd"/>
      <w:r w:rsidRPr="00981A77">
        <w:rPr>
          <w:rFonts w:ascii="Times New Roman" w:hAnsi="Times New Roman"/>
          <w:kern w:val="0"/>
          <w:sz w:val="24"/>
        </w:rPr>
        <w:t xml:space="preserve"> and Support vector machines)</w:t>
      </w:r>
      <w:r>
        <w:rPr>
          <w:rFonts w:ascii="Times New Roman" w:hAnsi="Times New Roman"/>
          <w:kern w:val="0"/>
          <w:sz w:val="24"/>
        </w:rPr>
        <w:t xml:space="preserve"> for identify </w:t>
      </w:r>
      <w:r>
        <w:rPr>
          <w:rFonts w:ascii="Times New Roman" w:hAnsi="Times New Roman" w:hint="eastAsia"/>
          <w:kern w:val="0"/>
          <w:sz w:val="24"/>
        </w:rPr>
        <w:t>s</w:t>
      </w:r>
      <w:r w:rsidRPr="000F04AF">
        <w:rPr>
          <w:rFonts w:ascii="Times New Roman" w:hAnsi="Times New Roman"/>
          <w:kern w:val="0"/>
          <w:sz w:val="24"/>
        </w:rPr>
        <w:t>ports subtype</w:t>
      </w:r>
      <w:r>
        <w:rPr>
          <w:rFonts w:ascii="Times New Roman" w:hAnsi="Times New Roman" w:hint="eastAsia"/>
          <w:kern w:val="0"/>
          <w:sz w:val="24"/>
        </w:rPr>
        <w:t xml:space="preserve"> of</w:t>
      </w:r>
      <w:r>
        <w:rPr>
          <w:rFonts w:ascii="Times New Roman" w:hAnsi="Times New Roman"/>
          <w:kern w:val="0"/>
          <w:sz w:val="24"/>
        </w:rPr>
        <w:t xml:space="preserve"> PD patients. Th</w:t>
      </w:r>
      <w:r>
        <w:rPr>
          <w:rFonts w:ascii="Times New Roman" w:hAnsi="Times New Roman" w:hint="eastAsia"/>
          <w:kern w:val="0"/>
          <w:sz w:val="24"/>
        </w:rPr>
        <w:t>ese</w:t>
      </w:r>
      <w:r>
        <w:rPr>
          <w:rFonts w:ascii="Times New Roman" w:hAnsi="Times New Roman"/>
          <w:kern w:val="0"/>
          <w:sz w:val="24"/>
        </w:rPr>
        <w:t xml:space="preserve"> classifiers were implemented using R package caret [</w:t>
      </w:r>
      <w:r>
        <w:rPr>
          <w:rFonts w:ascii="Times New Roman" w:hAnsi="Times New Roman" w:hint="eastAsia"/>
          <w:kern w:val="0"/>
          <w:sz w:val="24"/>
        </w:rPr>
        <w:t>1</w:t>
      </w:r>
      <w:r>
        <w:rPr>
          <w:rFonts w:ascii="Times New Roman" w:hAnsi="Times New Roman"/>
          <w:kern w:val="0"/>
          <w:sz w:val="24"/>
        </w:rPr>
        <w:t>], which provides a nice interface to access many machine-learning algorithms in R. Furthermore, it also provides a user-friendly framework for training different machine-learning models. We used parameter configurations of machine learning that were previously defined by Fernandez-Delgado et al [</w:t>
      </w:r>
      <w:r>
        <w:rPr>
          <w:rFonts w:ascii="Times New Roman" w:hAnsi="Times New Roman" w:hint="eastAsia"/>
          <w:kern w:val="0"/>
          <w:sz w:val="24"/>
        </w:rPr>
        <w:t>2</w:t>
      </w:r>
      <w:r>
        <w:rPr>
          <w:rFonts w:ascii="Times New Roman" w:hAnsi="Times New Roman"/>
          <w:kern w:val="0"/>
          <w:sz w:val="24"/>
        </w:rPr>
        <w:t xml:space="preserve">], and we have listed the classification methods along with their parameters and corresponding R packages. At last, we focused on and validated the </w:t>
      </w:r>
      <w:r w:rsidR="003E6AFB">
        <w:rPr>
          <w:rFonts w:ascii="Times New Roman" w:hAnsi="Times New Roman" w:hint="eastAsia"/>
          <w:kern w:val="0"/>
          <w:sz w:val="24"/>
        </w:rPr>
        <w:t>decision tree</w:t>
      </w:r>
      <w:r>
        <w:rPr>
          <w:rFonts w:ascii="Times New Roman" w:hAnsi="Times New Roman"/>
          <w:kern w:val="0"/>
          <w:sz w:val="24"/>
        </w:rPr>
        <w:t xml:space="preserve"> model because of its better performance and ease-to-use.</w:t>
      </w:r>
      <w:r>
        <w:rPr>
          <w:rFonts w:ascii="Times New Roman" w:hAnsi="Times New Roman" w:hint="eastAsia"/>
          <w:kern w:val="0"/>
          <w:sz w:val="24"/>
        </w:rPr>
        <w:t xml:space="preserve"> </w:t>
      </w:r>
      <w:r w:rsidRPr="00F92841">
        <w:rPr>
          <w:rFonts w:ascii="Times New Roman" w:hAnsi="Times New Roman" w:cs="Times New Roman"/>
          <w:sz w:val="24"/>
        </w:rPr>
        <w:t xml:space="preserve">The hyperparameter selection and cross validation of </w:t>
      </w:r>
      <w:r w:rsidR="003E6AFB">
        <w:rPr>
          <w:rFonts w:ascii="Times New Roman" w:hAnsi="Times New Roman" w:cs="Times New Roman" w:hint="eastAsia"/>
          <w:sz w:val="24"/>
        </w:rPr>
        <w:t>decision tree</w:t>
      </w:r>
      <w:r w:rsidRPr="00F92841">
        <w:rPr>
          <w:rFonts w:ascii="Times New Roman" w:hAnsi="Times New Roman" w:cs="Times New Roman"/>
          <w:sz w:val="24"/>
        </w:rPr>
        <w:t xml:space="preserve"> can be seen in Figure </w:t>
      </w:r>
      <w:r>
        <w:rPr>
          <w:rFonts w:ascii="Times New Roman" w:hAnsi="Times New Roman" w:cs="Times New Roman" w:hint="eastAsia"/>
          <w:sz w:val="24"/>
        </w:rPr>
        <w:t>S3.</w:t>
      </w:r>
    </w:p>
    <w:p w14:paraId="76E23374" w14:textId="77777777" w:rsidR="00DC6223" w:rsidRPr="007F02C1" w:rsidRDefault="00DC6223" w:rsidP="00DC6223">
      <w:pPr>
        <w:spacing w:line="360" w:lineRule="auto"/>
        <w:ind w:firstLineChars="200" w:firstLine="480"/>
        <w:rPr>
          <w:rFonts w:ascii="Times New Roman" w:hAnsi="Times New Roman"/>
          <w:kern w:val="0"/>
          <w:sz w:val="24"/>
        </w:rPr>
      </w:pPr>
    </w:p>
    <w:p w14:paraId="5EDCF089" w14:textId="77777777" w:rsidR="00DC6223" w:rsidRDefault="00DC6223" w:rsidP="00DC6223">
      <w:pPr>
        <w:spacing w:line="360" w:lineRule="auto"/>
        <w:jc w:val="left"/>
        <w:rPr>
          <w:rFonts w:ascii="Times New Roman" w:hAnsi="Times New Roman" w:cs="Times New Roman"/>
          <w:b/>
          <w:bCs/>
          <w:sz w:val="24"/>
        </w:rPr>
      </w:pPr>
      <w:r>
        <w:rPr>
          <w:rFonts w:ascii="Times New Roman" w:hAnsi="Times New Roman" w:cs="Times New Roman"/>
          <w:b/>
          <w:bCs/>
          <w:sz w:val="24"/>
        </w:rPr>
        <w:t xml:space="preserve">Decision tree (DT) </w:t>
      </w:r>
    </w:p>
    <w:p w14:paraId="5D049A4C" w14:textId="77777777" w:rsidR="00DC6223" w:rsidRDefault="00DC6223" w:rsidP="00DC6223">
      <w:pPr>
        <w:spacing w:line="360" w:lineRule="auto"/>
        <w:jc w:val="left"/>
        <w:rPr>
          <w:rFonts w:ascii="Times New Roman" w:hAnsi="Times New Roman" w:cs="Times New Roman"/>
          <w:sz w:val="24"/>
        </w:rPr>
      </w:pPr>
      <w:r>
        <w:rPr>
          <w:rFonts w:ascii="Times New Roman" w:hAnsi="Times New Roman" w:cs="Times New Roman"/>
          <w:sz w:val="24"/>
        </w:rPr>
        <w:lastRenderedPageBreak/>
        <w:t xml:space="preserve">A C5.0 decision </w:t>
      </w:r>
      <w:proofErr w:type="gramStart"/>
      <w:r>
        <w:rPr>
          <w:rFonts w:ascii="Times New Roman" w:hAnsi="Times New Roman" w:cs="Times New Roman"/>
          <w:sz w:val="24"/>
        </w:rPr>
        <w:t>tree based</w:t>
      </w:r>
      <w:proofErr w:type="gramEnd"/>
      <w:r>
        <w:rPr>
          <w:rFonts w:ascii="Times New Roman" w:hAnsi="Times New Roman" w:cs="Times New Roman"/>
          <w:sz w:val="24"/>
        </w:rPr>
        <w:t xml:space="preserve"> classification method was used in the analysis. C5.0 function of the “C50” package was used for creating classification trees with default parameter tuning under caret interface.</w:t>
      </w:r>
    </w:p>
    <w:p w14:paraId="69B60A22" w14:textId="77777777" w:rsidR="003E6AFB" w:rsidRPr="003E6AFB" w:rsidRDefault="003E6AFB" w:rsidP="003E6AFB">
      <w:pPr>
        <w:spacing w:line="360" w:lineRule="auto"/>
        <w:jc w:val="left"/>
        <w:rPr>
          <w:rFonts w:ascii="Times New Roman" w:hAnsi="Times New Roman" w:cs="Times New Roman" w:hint="eastAsia"/>
          <w:b/>
          <w:bCs/>
          <w:sz w:val="24"/>
        </w:rPr>
      </w:pPr>
      <w:r w:rsidRPr="003E6AFB">
        <w:rPr>
          <w:rFonts w:ascii="Times New Roman" w:hAnsi="Times New Roman" w:cs="Times New Roman" w:hint="eastAsia"/>
          <w:b/>
          <w:bCs/>
          <w:sz w:val="24"/>
        </w:rPr>
        <w:t>XGBoost (XGB)</w:t>
      </w:r>
    </w:p>
    <w:p w14:paraId="550FE11A" w14:textId="77777777" w:rsidR="003E6AFB" w:rsidRPr="003E6AFB" w:rsidRDefault="003E6AFB" w:rsidP="003E6AFB">
      <w:pPr>
        <w:spacing w:line="360" w:lineRule="auto"/>
        <w:rPr>
          <w:rFonts w:ascii="Times New Roman" w:hAnsi="Times New Roman" w:cs="Times New Roman"/>
          <w:sz w:val="24"/>
        </w:rPr>
      </w:pPr>
      <w:r w:rsidRPr="003E6AFB">
        <w:rPr>
          <w:rFonts w:ascii="Times New Roman" w:hAnsi="Times New Roman" w:cs="Times New Roman" w:hint="eastAsia"/>
          <w:sz w:val="24"/>
        </w:rPr>
        <w:t>R package "xgboost" with caret interface was used for the implementation of extreme gradient boosting classifier. Parameter nrounds was varied with values {50, 100, 150}, max_depth was set to range from 3 to 6, eta (learning rate) was varied with values {0.01, 0.1, 0.3}, and other parameters including gamma, colsample_bytree, and min_child_weight were tuned using default caret grid search.</w:t>
      </w:r>
    </w:p>
    <w:p w14:paraId="0B2E4B2C" w14:textId="77CED6B5" w:rsidR="00DC6223" w:rsidRDefault="00DC6223" w:rsidP="003E6AFB">
      <w:pPr>
        <w:spacing w:line="360" w:lineRule="auto"/>
        <w:jc w:val="left"/>
        <w:rPr>
          <w:rFonts w:ascii="Times New Roman" w:hAnsi="Times New Roman" w:cs="Times New Roman"/>
          <w:b/>
          <w:bCs/>
          <w:sz w:val="24"/>
        </w:rPr>
      </w:pPr>
      <w:r>
        <w:rPr>
          <w:rFonts w:ascii="Times New Roman" w:hAnsi="Times New Roman" w:cs="Times New Roman"/>
          <w:b/>
          <w:bCs/>
          <w:sz w:val="24"/>
        </w:rPr>
        <w:t xml:space="preserve">Random forest (RF) </w:t>
      </w:r>
    </w:p>
    <w:p w14:paraId="0A0689DD" w14:textId="77777777" w:rsidR="00DC6223" w:rsidRDefault="00DC6223" w:rsidP="00DC6223">
      <w:pPr>
        <w:spacing w:line="360" w:lineRule="auto"/>
        <w:jc w:val="left"/>
        <w:rPr>
          <w:rFonts w:ascii="Times New Roman" w:hAnsi="Times New Roman" w:cs="Times New Roman"/>
          <w:sz w:val="24"/>
        </w:rPr>
      </w:pPr>
      <w:r>
        <w:rPr>
          <w:rFonts w:ascii="Times New Roman" w:hAnsi="Times New Roman" w:cs="Times New Roman"/>
          <w:sz w:val="24"/>
        </w:rPr>
        <w:t>Random forest provides an improvement to bagging with a modification step of random sampling of predictors. R package “randomForest” with caret interface was used for the implementation. Parameter ntree was set to 500 and mtry was varied with values 2:3:29 (2 to 29 with an increment step of 3).</w:t>
      </w:r>
    </w:p>
    <w:p w14:paraId="37E3A393" w14:textId="77777777" w:rsidR="00DC6223" w:rsidRDefault="00DC6223" w:rsidP="00DC6223">
      <w:pPr>
        <w:spacing w:line="360" w:lineRule="auto"/>
        <w:jc w:val="left"/>
        <w:rPr>
          <w:rFonts w:ascii="Times New Roman" w:hAnsi="Times New Roman" w:cs="Times New Roman"/>
          <w:b/>
          <w:bCs/>
          <w:sz w:val="24"/>
        </w:rPr>
      </w:pPr>
      <w:r>
        <w:rPr>
          <w:rFonts w:ascii="Times New Roman" w:hAnsi="Times New Roman" w:cs="Times New Roman"/>
          <w:b/>
          <w:bCs/>
          <w:sz w:val="24"/>
        </w:rPr>
        <w:t xml:space="preserve">Support vector machine (SVM) </w:t>
      </w:r>
    </w:p>
    <w:p w14:paraId="33071266" w14:textId="77777777" w:rsidR="00DC6223" w:rsidRDefault="00DC6223" w:rsidP="00DC6223">
      <w:pPr>
        <w:spacing w:line="360" w:lineRule="auto"/>
        <w:jc w:val="left"/>
        <w:rPr>
          <w:rFonts w:ascii="Times New Roman" w:hAnsi="Times New Roman" w:cs="Times New Roman"/>
          <w:sz w:val="24"/>
        </w:rPr>
      </w:pPr>
      <w:r>
        <w:rPr>
          <w:rFonts w:ascii="Times New Roman" w:hAnsi="Times New Roman" w:cs="Times New Roman"/>
          <w:sz w:val="24"/>
        </w:rPr>
        <w:t>SVM, with Gaussian kernel function was implemented using a caret interface and R package kernlab. Cost parameter C was varied with values {2</w:t>
      </w:r>
      <w:r>
        <w:rPr>
          <w:rFonts w:ascii="Times New Roman" w:hAnsi="Times New Roman" w:cs="Times New Roman"/>
          <w:sz w:val="24"/>
          <w:vertAlign w:val="superscript"/>
        </w:rPr>
        <w:t>-</w:t>
      </w:r>
      <w:proofErr w:type="gramStart"/>
      <w:r>
        <w:rPr>
          <w:rFonts w:ascii="Times New Roman" w:hAnsi="Times New Roman" w:cs="Times New Roman"/>
          <w:sz w:val="24"/>
          <w:vertAlign w:val="superscript"/>
        </w:rPr>
        <w:t>2</w:t>
      </w:r>
      <w:r>
        <w:rPr>
          <w:rFonts w:ascii="Times New Roman" w:hAnsi="Times New Roman" w:cs="Times New Roman"/>
          <w:sz w:val="24"/>
        </w:rPr>
        <w:t xml:space="preserve"> ,</w:t>
      </w:r>
      <w:proofErr w:type="gramEnd"/>
      <w:r>
        <w:rPr>
          <w:rFonts w:ascii="Times New Roman" w:hAnsi="Times New Roman" w:cs="Times New Roman"/>
          <w:sz w:val="24"/>
        </w:rPr>
        <w:t xml:space="preserve"> 2</w:t>
      </w:r>
      <w:r>
        <w:rPr>
          <w:rFonts w:ascii="Times New Roman" w:hAnsi="Times New Roman" w:cs="Times New Roman"/>
          <w:sz w:val="24"/>
          <w:vertAlign w:val="superscript"/>
        </w:rPr>
        <w:t>-1</w:t>
      </w:r>
      <w:r>
        <w:rPr>
          <w:rFonts w:ascii="Times New Roman" w:hAnsi="Times New Roman" w:cs="Times New Roman"/>
          <w:sz w:val="24"/>
        </w:rPr>
        <w:t xml:space="preserve"> ,1, </w:t>
      </w:r>
      <w:proofErr w:type="gramStart"/>
      <w:r>
        <w:rPr>
          <w:rFonts w:ascii="Times New Roman" w:hAnsi="Times New Roman" w:cs="Times New Roman"/>
          <w:sz w:val="24"/>
        </w:rPr>
        <w:t>2</w:t>
      </w:r>
      <w:r>
        <w:rPr>
          <w:rFonts w:ascii="Times New Roman" w:hAnsi="Times New Roman" w:cs="Times New Roman"/>
          <w:sz w:val="24"/>
          <w:vertAlign w:val="superscript"/>
        </w:rPr>
        <w:t>1</w:t>
      </w:r>
      <w:r>
        <w:rPr>
          <w:rFonts w:ascii="Times New Roman" w:hAnsi="Times New Roman" w:cs="Times New Roman"/>
          <w:sz w:val="24"/>
        </w:rPr>
        <w:t xml:space="preserve"> ,</w:t>
      </w:r>
      <w:proofErr w:type="gramEnd"/>
      <w:r>
        <w:rPr>
          <w:rFonts w:ascii="Times New Roman" w:hAnsi="Times New Roman" w:cs="Times New Roman"/>
          <w:sz w:val="24"/>
        </w:rPr>
        <w:t xml:space="preserve"> </w:t>
      </w:r>
      <w:proofErr w:type="gramStart"/>
      <w:r>
        <w:rPr>
          <w:rFonts w:ascii="Times New Roman" w:hAnsi="Times New Roman" w:cs="Times New Roman"/>
          <w:sz w:val="24"/>
        </w:rPr>
        <w:t>2</w:t>
      </w:r>
      <w:r>
        <w:rPr>
          <w:rFonts w:ascii="Times New Roman" w:hAnsi="Times New Roman" w:cs="Times New Roman"/>
          <w:sz w:val="24"/>
          <w:vertAlign w:val="superscript"/>
        </w:rPr>
        <w:t>2</w:t>
      </w:r>
      <w:r>
        <w:rPr>
          <w:rFonts w:ascii="Times New Roman" w:hAnsi="Times New Roman" w:cs="Times New Roman"/>
          <w:sz w:val="24"/>
        </w:rPr>
        <w:t xml:space="preserve"> }</w:t>
      </w:r>
      <w:proofErr w:type="gramEnd"/>
      <w:r>
        <w:rPr>
          <w:rFonts w:ascii="Times New Roman" w:hAnsi="Times New Roman" w:cs="Times New Roman"/>
          <w:sz w:val="24"/>
        </w:rPr>
        <w:t xml:space="preserve"> and the parameter kernel spread was varied with values in {10</w:t>
      </w:r>
      <w:r>
        <w:rPr>
          <w:rFonts w:ascii="Times New Roman" w:hAnsi="Times New Roman" w:cs="Times New Roman"/>
          <w:sz w:val="24"/>
          <w:vertAlign w:val="superscript"/>
        </w:rPr>
        <w:t>-</w:t>
      </w:r>
      <w:proofErr w:type="gramStart"/>
      <w:r>
        <w:rPr>
          <w:rFonts w:ascii="Times New Roman" w:hAnsi="Times New Roman" w:cs="Times New Roman"/>
          <w:sz w:val="24"/>
          <w:vertAlign w:val="superscript"/>
        </w:rPr>
        <w:t>2</w:t>
      </w:r>
      <w:r>
        <w:rPr>
          <w:rFonts w:ascii="Times New Roman" w:hAnsi="Times New Roman" w:cs="Times New Roman"/>
          <w:sz w:val="24"/>
        </w:rPr>
        <w:t xml:space="preserve"> ,</w:t>
      </w:r>
      <w:proofErr w:type="gramEnd"/>
      <w:r>
        <w:rPr>
          <w:rFonts w:ascii="Times New Roman" w:hAnsi="Times New Roman" w:cs="Times New Roman"/>
          <w:sz w:val="24"/>
        </w:rPr>
        <w:t xml:space="preserve"> 10</w:t>
      </w:r>
      <w:r>
        <w:rPr>
          <w:rFonts w:ascii="Times New Roman" w:hAnsi="Times New Roman" w:cs="Times New Roman"/>
          <w:sz w:val="24"/>
          <w:vertAlign w:val="superscript"/>
        </w:rPr>
        <w:t>-</w:t>
      </w:r>
      <w:proofErr w:type="gramStart"/>
      <w:r>
        <w:rPr>
          <w:rFonts w:ascii="Times New Roman" w:hAnsi="Times New Roman" w:cs="Times New Roman"/>
          <w:sz w:val="24"/>
          <w:vertAlign w:val="superscript"/>
        </w:rPr>
        <w:t>1</w:t>
      </w:r>
      <w:r>
        <w:rPr>
          <w:rFonts w:ascii="Times New Roman" w:hAnsi="Times New Roman" w:cs="Times New Roman"/>
          <w:sz w:val="24"/>
        </w:rPr>
        <w:t xml:space="preserve"> ,</w:t>
      </w:r>
      <w:proofErr w:type="gramEnd"/>
      <w:r>
        <w:rPr>
          <w:rFonts w:ascii="Times New Roman" w:hAnsi="Times New Roman" w:cs="Times New Roman"/>
          <w:sz w:val="24"/>
        </w:rPr>
        <w:t xml:space="preserve"> 1, 10</w:t>
      </w:r>
      <w:r>
        <w:rPr>
          <w:rFonts w:ascii="Times New Roman" w:hAnsi="Times New Roman" w:cs="Times New Roman"/>
          <w:sz w:val="24"/>
          <w:vertAlign w:val="superscript"/>
        </w:rPr>
        <w:t>1</w:t>
      </w:r>
      <w:r>
        <w:rPr>
          <w:rFonts w:ascii="Times New Roman" w:hAnsi="Times New Roman" w:cs="Times New Roman"/>
          <w:sz w:val="24"/>
        </w:rPr>
        <w:t xml:space="preserve"> ,10</w:t>
      </w:r>
      <w:r>
        <w:rPr>
          <w:rFonts w:ascii="Times New Roman" w:hAnsi="Times New Roman" w:cs="Times New Roman"/>
          <w:sz w:val="24"/>
          <w:vertAlign w:val="superscript"/>
        </w:rPr>
        <w:t>2</w:t>
      </w:r>
      <w:r>
        <w:rPr>
          <w:rFonts w:ascii="Times New Roman" w:hAnsi="Times New Roman" w:cs="Times New Roman"/>
          <w:sz w:val="24"/>
        </w:rPr>
        <w:t>}.</w:t>
      </w:r>
    </w:p>
    <w:p w14:paraId="421AB4FF" w14:textId="77777777" w:rsidR="00DC6223" w:rsidRDefault="00DC6223" w:rsidP="00DC6223">
      <w:pPr>
        <w:spacing w:line="360" w:lineRule="auto"/>
        <w:jc w:val="left"/>
        <w:rPr>
          <w:rFonts w:ascii="Times New Roman" w:hAnsi="Times New Roman" w:cs="Times New Roman"/>
          <w:sz w:val="24"/>
        </w:rPr>
      </w:pPr>
    </w:p>
    <w:p w14:paraId="159E6C89" w14:textId="77777777" w:rsidR="00DC6223" w:rsidRPr="00F92841" w:rsidRDefault="00DC6223" w:rsidP="00DC6223">
      <w:pPr>
        <w:pStyle w:val="a8"/>
        <w:spacing w:before="0" w:line="360" w:lineRule="auto"/>
        <w:ind w:left="0"/>
        <w:jc w:val="center"/>
        <w:rPr>
          <w:rFonts w:eastAsia="宋体" w:cs="Times New Roman"/>
          <w:b/>
          <w:color w:val="FF0000"/>
          <w:sz w:val="24"/>
          <w:szCs w:val="24"/>
          <w14:ligatures w14:val="none"/>
        </w:rPr>
      </w:pPr>
      <w:r>
        <w:rPr>
          <w:noProof/>
        </w:rPr>
        <w:drawing>
          <wp:inline distT="0" distB="0" distL="0" distR="0" wp14:anchorId="6B1A3A40" wp14:editId="68399C90">
            <wp:extent cx="5274310" cy="1799590"/>
            <wp:effectExtent l="0" t="0" r="2540" b="0"/>
            <wp:docPr id="1305860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1596" name="图片 1376415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799590"/>
                    </a:xfrm>
                    <a:prstGeom prst="rect">
                      <a:avLst/>
                    </a:prstGeom>
                  </pic:spPr>
                </pic:pic>
              </a:graphicData>
            </a:graphic>
          </wp:inline>
        </w:drawing>
      </w:r>
    </w:p>
    <w:p w14:paraId="79B68BB3" w14:textId="517D68F8" w:rsidR="00DC6223" w:rsidRDefault="00DC6223" w:rsidP="00DC6223">
      <w:pPr>
        <w:pStyle w:val="a8"/>
        <w:spacing w:before="0" w:line="360" w:lineRule="auto"/>
        <w:ind w:left="0"/>
        <w:jc w:val="left"/>
        <w:rPr>
          <w:rFonts w:eastAsia="宋体" w:cs="Times New Roman"/>
          <w:bCs/>
          <w:sz w:val="24"/>
          <w:szCs w:val="24"/>
          <w14:ligatures w14:val="none"/>
        </w:rPr>
      </w:pPr>
      <w:r w:rsidRPr="000653BD">
        <w:rPr>
          <w:rFonts w:eastAsia="宋体" w:cs="Times New Roman" w:hint="eastAsia"/>
          <w:b/>
          <w:sz w:val="24"/>
          <w:szCs w:val="24"/>
          <w14:ligatures w14:val="none"/>
        </w:rPr>
        <w:t>Figure S</w:t>
      </w:r>
      <w:r>
        <w:rPr>
          <w:rFonts w:eastAsia="宋体" w:cs="Times New Roman" w:hint="eastAsia"/>
          <w:b/>
          <w:sz w:val="24"/>
          <w:szCs w:val="24"/>
          <w14:ligatures w14:val="none"/>
        </w:rPr>
        <w:t>3</w:t>
      </w:r>
      <w:r w:rsidRPr="000653BD">
        <w:rPr>
          <w:rFonts w:eastAsia="宋体" w:cs="Times New Roman" w:hint="eastAsia"/>
          <w:b/>
          <w:sz w:val="24"/>
          <w:szCs w:val="24"/>
          <w14:ligatures w14:val="none"/>
        </w:rPr>
        <w:t>.</w:t>
      </w:r>
      <w:r w:rsidRPr="000653BD">
        <w:rPr>
          <w:rFonts w:eastAsia="宋体" w:cs="Times New Roman"/>
          <w:b/>
          <w:sz w:val="24"/>
          <w:szCs w:val="24"/>
          <w14:ligatures w14:val="none"/>
        </w:rPr>
        <w:t xml:space="preserve"> </w:t>
      </w:r>
      <w:r w:rsidRPr="000653BD">
        <w:rPr>
          <w:rFonts w:eastAsia="宋体" w:cs="Times New Roman"/>
          <w:bCs/>
          <w:sz w:val="24"/>
          <w:szCs w:val="24"/>
          <w14:ligatures w14:val="none"/>
        </w:rPr>
        <w:t xml:space="preserve">The </w:t>
      </w:r>
      <w:proofErr w:type="gramStart"/>
      <w:r w:rsidRPr="000653BD">
        <w:rPr>
          <w:rFonts w:eastAsia="宋体" w:cs="Times New Roman"/>
          <w:bCs/>
          <w:sz w:val="24"/>
          <w:szCs w:val="24"/>
          <w14:ligatures w14:val="none"/>
        </w:rPr>
        <w:t>cross validation</w:t>
      </w:r>
      <w:proofErr w:type="gramEnd"/>
      <w:r w:rsidRPr="000653BD">
        <w:rPr>
          <w:rFonts w:eastAsia="宋体" w:cs="Times New Roman"/>
          <w:bCs/>
          <w:sz w:val="24"/>
          <w:szCs w:val="24"/>
          <w14:ligatures w14:val="none"/>
        </w:rPr>
        <w:t xml:space="preserve"> process of </w:t>
      </w:r>
      <w:r w:rsidRPr="00A635D5">
        <w:rPr>
          <w:rFonts w:cs="Times New Roman"/>
          <w:sz w:val="24"/>
        </w:rPr>
        <w:t>random forest</w:t>
      </w:r>
      <w:r w:rsidRPr="000653BD">
        <w:rPr>
          <w:rFonts w:eastAsia="宋体" w:cs="Times New Roman"/>
          <w:bCs/>
          <w:sz w:val="24"/>
          <w:szCs w:val="24"/>
          <w14:ligatures w14:val="none"/>
        </w:rPr>
        <w:t xml:space="preserve"> algorithm based on training queue</w:t>
      </w:r>
    </w:p>
    <w:p w14:paraId="571188ED" w14:textId="77777777" w:rsidR="001C60C4" w:rsidRPr="00DC6223" w:rsidRDefault="001C60C4">
      <w:pPr>
        <w:rPr>
          <w:rFonts w:ascii="Times New Roman" w:hAnsi="Times New Roman" w:cs="Times New Roman"/>
        </w:rPr>
      </w:pPr>
    </w:p>
    <w:p w14:paraId="710F8A99" w14:textId="77777777" w:rsidR="001C60C4" w:rsidRDefault="001C60C4">
      <w:pPr>
        <w:rPr>
          <w:rFonts w:ascii="Times New Roman" w:hAnsi="Times New Roman" w:cs="Times New Roman"/>
        </w:rPr>
      </w:pPr>
    </w:p>
    <w:p w14:paraId="5739F632" w14:textId="77777777" w:rsidR="001C60C4" w:rsidRDefault="001C60C4" w:rsidP="001C60C4">
      <w:pPr>
        <w:spacing w:line="360" w:lineRule="auto"/>
        <w:rPr>
          <w:rFonts w:ascii="Times New Roman" w:hAnsi="Times New Roman" w:cs="Times New Roman"/>
          <w:b/>
          <w:bCs/>
          <w:color w:val="000000"/>
          <w:kern w:val="0"/>
          <w:sz w:val="24"/>
          <w:lang w:bidi="ar"/>
        </w:rPr>
      </w:pPr>
    </w:p>
    <w:p w14:paraId="65A6AFA2" w14:textId="77777777" w:rsidR="001C60C4" w:rsidRDefault="001C60C4" w:rsidP="001C60C4">
      <w:pPr>
        <w:adjustRightInd w:val="0"/>
        <w:snapToGrid w:val="0"/>
        <w:spacing w:line="360" w:lineRule="auto"/>
        <w:ind w:firstLineChars="600" w:firstLine="1446"/>
        <w:jc w:val="left"/>
        <w:rPr>
          <w:rFonts w:ascii="Times New Roman" w:hAnsi="Times New Roman" w:cs="Times New Roman"/>
          <w:b/>
          <w:bCs/>
          <w:kern w:val="0"/>
          <w:sz w:val="24"/>
        </w:rPr>
      </w:pPr>
      <w:r>
        <w:rPr>
          <w:rFonts w:ascii="Times New Roman" w:eastAsia="宋体" w:hAnsi="Times New Roman" w:cs="Times New Roman"/>
          <w:b/>
          <w:bCs/>
          <w:color w:val="000000"/>
          <w:kern w:val="0"/>
          <w:sz w:val="24"/>
          <w:lang w:bidi="ar"/>
        </w:rPr>
        <w:t>T</w:t>
      </w:r>
      <w:r>
        <w:rPr>
          <w:rFonts w:ascii="Times New Roman" w:hAnsi="Times New Roman" w:cs="Times New Roman"/>
          <w:b/>
          <w:bCs/>
          <w:color w:val="000000"/>
          <w:kern w:val="0"/>
          <w:sz w:val="24"/>
          <w:lang w:bidi="ar"/>
        </w:rPr>
        <w:t>able S1. The information of radiomics features</w:t>
      </w:r>
    </w:p>
    <w:tbl>
      <w:tblPr>
        <w:tblW w:w="8522" w:type="dxa"/>
        <w:tblLayout w:type="fixed"/>
        <w:tblCellMar>
          <w:top w:w="15" w:type="dxa"/>
          <w:left w:w="15" w:type="dxa"/>
          <w:bottom w:w="15" w:type="dxa"/>
          <w:right w:w="15" w:type="dxa"/>
        </w:tblCellMar>
        <w:tblLook w:val="04A0" w:firstRow="1" w:lastRow="0" w:firstColumn="1" w:lastColumn="0" w:noHBand="0" w:noVBand="1"/>
      </w:tblPr>
      <w:tblGrid>
        <w:gridCol w:w="1664"/>
        <w:gridCol w:w="2783"/>
        <w:gridCol w:w="1559"/>
        <w:gridCol w:w="2516"/>
      </w:tblGrid>
      <w:tr w:rsidR="001C60C4" w14:paraId="635F503A" w14:textId="77777777" w:rsidTr="007F0EE7">
        <w:trPr>
          <w:trHeight w:val="285"/>
        </w:trPr>
        <w:tc>
          <w:tcPr>
            <w:tcW w:w="1664"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46ACC10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Feature Groups (N)</w:t>
            </w:r>
          </w:p>
        </w:tc>
        <w:tc>
          <w:tcPr>
            <w:tcW w:w="2783"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6C7607F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Feature names</w:t>
            </w:r>
          </w:p>
          <w:p w14:paraId="071BF06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55E1CA3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Feature Groups (N)</w:t>
            </w:r>
          </w:p>
        </w:tc>
        <w:tc>
          <w:tcPr>
            <w:tcW w:w="2516"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5217D8C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Feature names</w:t>
            </w:r>
          </w:p>
          <w:p w14:paraId="77E33B1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5E09CF34"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A959D9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8CC29A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firstorder_10Percentile</w:t>
            </w:r>
          </w:p>
        </w:tc>
        <w:tc>
          <w:tcPr>
            <w:tcW w:w="1559" w:type="dxa"/>
            <w:tcBorders>
              <w:top w:val="nil"/>
              <w:left w:val="nil"/>
              <w:bottom w:val="nil"/>
              <w:right w:val="nil"/>
            </w:tcBorders>
            <w:noWrap/>
            <w:tcMar>
              <w:top w:w="0" w:type="dxa"/>
              <w:left w:w="108" w:type="dxa"/>
              <w:bottom w:w="0" w:type="dxa"/>
              <w:right w:w="108" w:type="dxa"/>
            </w:tcMar>
            <w:vAlign w:val="center"/>
          </w:tcPr>
          <w:p w14:paraId="0B6716E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CE5917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glszm_GrayLevelNonUniformity</w:t>
            </w:r>
          </w:p>
        </w:tc>
      </w:tr>
      <w:tr w:rsidR="001C60C4" w14:paraId="7FD1118E"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95EE35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8447E9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firstorder_90Percentile</w:t>
            </w:r>
          </w:p>
        </w:tc>
        <w:tc>
          <w:tcPr>
            <w:tcW w:w="1559" w:type="dxa"/>
            <w:tcBorders>
              <w:top w:val="nil"/>
              <w:left w:val="nil"/>
              <w:bottom w:val="nil"/>
              <w:right w:val="nil"/>
            </w:tcBorders>
            <w:noWrap/>
            <w:tcMar>
              <w:top w:w="0" w:type="dxa"/>
              <w:left w:w="108" w:type="dxa"/>
              <w:bottom w:w="0" w:type="dxa"/>
              <w:right w:w="108" w:type="dxa"/>
            </w:tcMar>
            <w:vAlign w:val="center"/>
          </w:tcPr>
          <w:p w14:paraId="46B81AC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FE719A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glszm_GrayLevelNonUniformityNormalized</w:t>
            </w:r>
          </w:p>
        </w:tc>
      </w:tr>
      <w:tr w:rsidR="001C60C4" w14:paraId="6F2ED0E0"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29B83A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7315618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firstorder_Energy</w:t>
            </w:r>
          </w:p>
        </w:tc>
        <w:tc>
          <w:tcPr>
            <w:tcW w:w="1559" w:type="dxa"/>
            <w:tcBorders>
              <w:top w:val="nil"/>
              <w:left w:val="nil"/>
              <w:bottom w:val="nil"/>
              <w:right w:val="nil"/>
            </w:tcBorders>
            <w:noWrap/>
            <w:tcMar>
              <w:top w:w="0" w:type="dxa"/>
              <w:left w:w="108" w:type="dxa"/>
              <w:bottom w:w="0" w:type="dxa"/>
              <w:right w:w="108" w:type="dxa"/>
            </w:tcMar>
            <w:vAlign w:val="center"/>
          </w:tcPr>
          <w:p w14:paraId="164B27B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5C3EC59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glszm_GrayLevelVariance</w:t>
            </w:r>
          </w:p>
        </w:tc>
      </w:tr>
      <w:tr w:rsidR="001C60C4" w14:paraId="6D7EF13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721002D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B4A718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firstorder_Entropy</w:t>
            </w:r>
          </w:p>
        </w:tc>
        <w:tc>
          <w:tcPr>
            <w:tcW w:w="1559" w:type="dxa"/>
            <w:tcBorders>
              <w:top w:val="nil"/>
              <w:left w:val="nil"/>
              <w:bottom w:val="nil"/>
              <w:right w:val="nil"/>
            </w:tcBorders>
            <w:noWrap/>
            <w:tcMar>
              <w:top w:w="0" w:type="dxa"/>
              <w:left w:w="108" w:type="dxa"/>
              <w:bottom w:w="0" w:type="dxa"/>
              <w:right w:w="108" w:type="dxa"/>
            </w:tcMar>
            <w:vAlign w:val="center"/>
          </w:tcPr>
          <w:p w14:paraId="21F276D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DC65A3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glszm_HighGrayLevelZoneEmphasis</w:t>
            </w:r>
          </w:p>
        </w:tc>
      </w:tr>
      <w:tr w:rsidR="001C60C4" w14:paraId="7C1881D7"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9F824D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7FAA3AE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firstorder_InterquartileRange</w:t>
            </w:r>
          </w:p>
        </w:tc>
        <w:tc>
          <w:tcPr>
            <w:tcW w:w="1559" w:type="dxa"/>
            <w:tcBorders>
              <w:top w:val="nil"/>
              <w:left w:val="nil"/>
              <w:bottom w:val="nil"/>
              <w:right w:val="nil"/>
            </w:tcBorders>
            <w:noWrap/>
            <w:tcMar>
              <w:top w:w="0" w:type="dxa"/>
              <w:left w:w="108" w:type="dxa"/>
              <w:bottom w:w="0" w:type="dxa"/>
              <w:right w:w="108" w:type="dxa"/>
            </w:tcMar>
            <w:vAlign w:val="center"/>
          </w:tcPr>
          <w:p w14:paraId="40A3626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5701D36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glszm_LargeAreaEmphasis</w:t>
            </w:r>
          </w:p>
        </w:tc>
      </w:tr>
      <w:tr w:rsidR="001C60C4" w14:paraId="6643F985"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33A0A5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74AC9C5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firstorder_Kurtosis</w:t>
            </w:r>
          </w:p>
        </w:tc>
        <w:tc>
          <w:tcPr>
            <w:tcW w:w="1559" w:type="dxa"/>
            <w:tcBorders>
              <w:top w:val="nil"/>
              <w:left w:val="nil"/>
              <w:bottom w:val="nil"/>
              <w:right w:val="nil"/>
            </w:tcBorders>
            <w:noWrap/>
            <w:tcMar>
              <w:top w:w="0" w:type="dxa"/>
              <w:left w:w="108" w:type="dxa"/>
              <w:bottom w:w="0" w:type="dxa"/>
              <w:right w:w="108" w:type="dxa"/>
            </w:tcMar>
            <w:vAlign w:val="center"/>
          </w:tcPr>
          <w:p w14:paraId="1CF616B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7D30A6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glszm_LargeAreaHighGrayLevelEmphasis</w:t>
            </w:r>
          </w:p>
        </w:tc>
      </w:tr>
      <w:tr w:rsidR="001C60C4" w14:paraId="6FC8ECA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8C8622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1A6AF95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firstorder_Maximum</w:t>
            </w:r>
          </w:p>
        </w:tc>
        <w:tc>
          <w:tcPr>
            <w:tcW w:w="1559" w:type="dxa"/>
            <w:tcBorders>
              <w:top w:val="nil"/>
              <w:left w:val="nil"/>
              <w:bottom w:val="nil"/>
              <w:right w:val="nil"/>
            </w:tcBorders>
            <w:noWrap/>
            <w:tcMar>
              <w:top w:w="0" w:type="dxa"/>
              <w:left w:w="108" w:type="dxa"/>
              <w:bottom w:w="0" w:type="dxa"/>
              <w:right w:w="108" w:type="dxa"/>
            </w:tcMar>
            <w:vAlign w:val="center"/>
          </w:tcPr>
          <w:p w14:paraId="14EB6F4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718718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glszm_LargeAreaLowGrayLevelEmphasis</w:t>
            </w:r>
          </w:p>
        </w:tc>
      </w:tr>
      <w:tr w:rsidR="001C60C4" w14:paraId="05108410" w14:textId="77777777" w:rsidTr="007F0EE7">
        <w:trPr>
          <w:trHeight w:val="90"/>
        </w:trPr>
        <w:tc>
          <w:tcPr>
            <w:tcW w:w="1664" w:type="dxa"/>
            <w:tcBorders>
              <w:top w:val="nil"/>
              <w:left w:val="nil"/>
              <w:bottom w:val="nil"/>
              <w:right w:val="nil"/>
            </w:tcBorders>
            <w:noWrap/>
            <w:tcMar>
              <w:top w:w="0" w:type="dxa"/>
              <w:left w:w="108" w:type="dxa"/>
              <w:bottom w:w="0" w:type="dxa"/>
              <w:right w:w="108" w:type="dxa"/>
            </w:tcMar>
            <w:vAlign w:val="center"/>
          </w:tcPr>
          <w:p w14:paraId="0A2B0ED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 features (N = 18)</w:t>
            </w:r>
          </w:p>
        </w:tc>
        <w:tc>
          <w:tcPr>
            <w:tcW w:w="2783" w:type="dxa"/>
            <w:tcBorders>
              <w:top w:val="nil"/>
              <w:left w:val="nil"/>
              <w:bottom w:val="nil"/>
              <w:right w:val="nil"/>
            </w:tcBorders>
            <w:noWrap/>
            <w:tcMar>
              <w:top w:w="0" w:type="dxa"/>
              <w:left w:w="108" w:type="dxa"/>
              <w:bottom w:w="0" w:type="dxa"/>
              <w:right w:w="108" w:type="dxa"/>
            </w:tcMar>
            <w:vAlign w:val="center"/>
          </w:tcPr>
          <w:p w14:paraId="30E44D7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firstorder_MeanAbsoluteDeviation</w:t>
            </w:r>
          </w:p>
        </w:tc>
        <w:tc>
          <w:tcPr>
            <w:tcW w:w="1559" w:type="dxa"/>
            <w:tcBorders>
              <w:top w:val="nil"/>
              <w:left w:val="nil"/>
              <w:bottom w:val="nil"/>
              <w:right w:val="nil"/>
            </w:tcBorders>
            <w:noWrap/>
            <w:tcMar>
              <w:top w:w="0" w:type="dxa"/>
              <w:left w:w="108" w:type="dxa"/>
              <w:bottom w:w="0" w:type="dxa"/>
              <w:right w:w="108" w:type="dxa"/>
            </w:tcMar>
            <w:vAlign w:val="center"/>
          </w:tcPr>
          <w:p w14:paraId="417C39B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 texture features</w:t>
            </w:r>
          </w:p>
        </w:tc>
        <w:tc>
          <w:tcPr>
            <w:tcW w:w="2516" w:type="dxa"/>
            <w:tcBorders>
              <w:top w:val="nil"/>
              <w:left w:val="nil"/>
              <w:bottom w:val="nil"/>
              <w:right w:val="nil"/>
            </w:tcBorders>
            <w:noWrap/>
            <w:tcMar>
              <w:top w:w="0" w:type="dxa"/>
              <w:left w:w="108" w:type="dxa"/>
              <w:bottom w:w="0" w:type="dxa"/>
              <w:right w:w="108" w:type="dxa"/>
            </w:tcMar>
            <w:vAlign w:val="center"/>
          </w:tcPr>
          <w:p w14:paraId="55BE6AB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glszm_LowGrayLevelZoneEmphasis</w:t>
            </w:r>
          </w:p>
        </w:tc>
      </w:tr>
      <w:tr w:rsidR="001C60C4" w14:paraId="36D58927"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5A7194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56818CD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firstorder_Mean</w:t>
            </w:r>
          </w:p>
        </w:tc>
        <w:tc>
          <w:tcPr>
            <w:tcW w:w="1559" w:type="dxa"/>
            <w:tcBorders>
              <w:top w:val="nil"/>
              <w:left w:val="nil"/>
              <w:bottom w:val="nil"/>
              <w:right w:val="nil"/>
            </w:tcBorders>
            <w:noWrap/>
            <w:tcMar>
              <w:top w:w="0" w:type="dxa"/>
              <w:left w:w="108" w:type="dxa"/>
              <w:bottom w:w="0" w:type="dxa"/>
              <w:right w:w="108" w:type="dxa"/>
            </w:tcMar>
            <w:vAlign w:val="center"/>
          </w:tcPr>
          <w:p w14:paraId="4305CC7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 = 16)</w:t>
            </w:r>
          </w:p>
        </w:tc>
        <w:tc>
          <w:tcPr>
            <w:tcW w:w="2516" w:type="dxa"/>
            <w:tcBorders>
              <w:top w:val="nil"/>
              <w:left w:val="nil"/>
              <w:bottom w:val="nil"/>
              <w:right w:val="nil"/>
            </w:tcBorders>
            <w:noWrap/>
            <w:tcMar>
              <w:top w:w="0" w:type="dxa"/>
              <w:left w:w="108" w:type="dxa"/>
              <w:bottom w:w="0" w:type="dxa"/>
              <w:right w:w="108" w:type="dxa"/>
            </w:tcMar>
            <w:vAlign w:val="center"/>
          </w:tcPr>
          <w:p w14:paraId="50826E7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glszm_SizeZoneNonUniformity</w:t>
            </w:r>
          </w:p>
        </w:tc>
      </w:tr>
      <w:tr w:rsidR="001C60C4" w14:paraId="6DA18DDF"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8FB6B8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0598D3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firstorder_Median</w:t>
            </w:r>
          </w:p>
        </w:tc>
        <w:tc>
          <w:tcPr>
            <w:tcW w:w="1559" w:type="dxa"/>
            <w:tcBorders>
              <w:top w:val="nil"/>
              <w:left w:val="nil"/>
              <w:bottom w:val="nil"/>
              <w:right w:val="nil"/>
            </w:tcBorders>
            <w:noWrap/>
            <w:tcMar>
              <w:top w:w="0" w:type="dxa"/>
              <w:left w:w="108" w:type="dxa"/>
              <w:bottom w:w="0" w:type="dxa"/>
              <w:right w:w="108" w:type="dxa"/>
            </w:tcMar>
            <w:vAlign w:val="center"/>
          </w:tcPr>
          <w:p w14:paraId="268A2E2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E1A2F9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glszm_SizeZoneNonUniformityNormalized</w:t>
            </w:r>
          </w:p>
        </w:tc>
      </w:tr>
      <w:tr w:rsidR="001C60C4" w14:paraId="3515BC1E"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9CC9D2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9B66FE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firstorder_Minimum</w:t>
            </w:r>
          </w:p>
        </w:tc>
        <w:tc>
          <w:tcPr>
            <w:tcW w:w="1559" w:type="dxa"/>
            <w:tcBorders>
              <w:top w:val="nil"/>
              <w:left w:val="nil"/>
              <w:bottom w:val="nil"/>
              <w:right w:val="nil"/>
            </w:tcBorders>
            <w:noWrap/>
            <w:tcMar>
              <w:top w:w="0" w:type="dxa"/>
              <w:left w:w="108" w:type="dxa"/>
              <w:bottom w:w="0" w:type="dxa"/>
              <w:right w:w="108" w:type="dxa"/>
            </w:tcMar>
            <w:vAlign w:val="center"/>
          </w:tcPr>
          <w:p w14:paraId="16EF153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D0D5F8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glszm_SmallAreaEmphasis</w:t>
            </w:r>
          </w:p>
        </w:tc>
      </w:tr>
      <w:tr w:rsidR="001C60C4" w14:paraId="4A11B6D8"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DDEA63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19C35C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firstorder_Range</w:t>
            </w:r>
          </w:p>
        </w:tc>
        <w:tc>
          <w:tcPr>
            <w:tcW w:w="1559" w:type="dxa"/>
            <w:tcBorders>
              <w:top w:val="nil"/>
              <w:left w:val="nil"/>
              <w:bottom w:val="nil"/>
              <w:right w:val="nil"/>
            </w:tcBorders>
            <w:noWrap/>
            <w:tcMar>
              <w:top w:w="0" w:type="dxa"/>
              <w:left w:w="108" w:type="dxa"/>
              <w:bottom w:w="0" w:type="dxa"/>
              <w:right w:w="108" w:type="dxa"/>
            </w:tcMar>
            <w:vAlign w:val="center"/>
          </w:tcPr>
          <w:p w14:paraId="60C6B41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41F75F5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glszm_SmallAreaHighGrayLevelEmphasis</w:t>
            </w:r>
          </w:p>
        </w:tc>
      </w:tr>
      <w:tr w:rsidR="001C60C4" w14:paraId="3ECDF328"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4A04A5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44FFB1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firstorder_RobustMeanAbsoluteDeviation</w:t>
            </w:r>
          </w:p>
        </w:tc>
        <w:tc>
          <w:tcPr>
            <w:tcW w:w="1559" w:type="dxa"/>
            <w:tcBorders>
              <w:top w:val="nil"/>
              <w:left w:val="nil"/>
              <w:bottom w:val="nil"/>
              <w:right w:val="nil"/>
            </w:tcBorders>
            <w:noWrap/>
            <w:tcMar>
              <w:top w:w="0" w:type="dxa"/>
              <w:left w:w="108" w:type="dxa"/>
              <w:bottom w:w="0" w:type="dxa"/>
              <w:right w:w="108" w:type="dxa"/>
            </w:tcMar>
            <w:vAlign w:val="center"/>
          </w:tcPr>
          <w:p w14:paraId="7B5F756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82782B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glszm_SmallAreaLowGrayLevelEmphasis</w:t>
            </w:r>
          </w:p>
        </w:tc>
      </w:tr>
      <w:tr w:rsidR="001C60C4" w14:paraId="5032FF1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7DF60F1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3AE8D3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firstorder_RootMeanSquared</w:t>
            </w:r>
          </w:p>
        </w:tc>
        <w:tc>
          <w:tcPr>
            <w:tcW w:w="1559" w:type="dxa"/>
            <w:tcBorders>
              <w:top w:val="nil"/>
              <w:left w:val="nil"/>
              <w:bottom w:val="nil"/>
              <w:right w:val="nil"/>
            </w:tcBorders>
            <w:noWrap/>
            <w:tcMar>
              <w:top w:w="0" w:type="dxa"/>
              <w:left w:w="108" w:type="dxa"/>
              <w:bottom w:w="0" w:type="dxa"/>
              <w:right w:w="108" w:type="dxa"/>
            </w:tcMar>
            <w:vAlign w:val="center"/>
          </w:tcPr>
          <w:p w14:paraId="3A6D8F4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81DF45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glszm_ZoneEntropy</w:t>
            </w:r>
          </w:p>
        </w:tc>
      </w:tr>
      <w:tr w:rsidR="001C60C4" w14:paraId="3F0067D2"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4F705D7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lastRenderedPageBreak/>
              <w:t> </w:t>
            </w:r>
          </w:p>
        </w:tc>
        <w:tc>
          <w:tcPr>
            <w:tcW w:w="2783" w:type="dxa"/>
            <w:tcBorders>
              <w:top w:val="nil"/>
              <w:left w:val="nil"/>
              <w:bottom w:val="nil"/>
              <w:right w:val="nil"/>
            </w:tcBorders>
            <w:noWrap/>
            <w:tcMar>
              <w:top w:w="0" w:type="dxa"/>
              <w:left w:w="108" w:type="dxa"/>
              <w:bottom w:w="0" w:type="dxa"/>
              <w:right w:w="108" w:type="dxa"/>
            </w:tcMar>
            <w:vAlign w:val="center"/>
          </w:tcPr>
          <w:p w14:paraId="24BE3E6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firstorder_Skewness</w:t>
            </w:r>
          </w:p>
        </w:tc>
        <w:tc>
          <w:tcPr>
            <w:tcW w:w="1559" w:type="dxa"/>
            <w:tcBorders>
              <w:top w:val="nil"/>
              <w:left w:val="nil"/>
              <w:bottom w:val="nil"/>
              <w:right w:val="nil"/>
            </w:tcBorders>
            <w:noWrap/>
            <w:tcMar>
              <w:top w:w="0" w:type="dxa"/>
              <w:left w:w="108" w:type="dxa"/>
              <w:bottom w:w="0" w:type="dxa"/>
              <w:right w:w="108" w:type="dxa"/>
            </w:tcMar>
            <w:vAlign w:val="center"/>
          </w:tcPr>
          <w:p w14:paraId="316BBFC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DA99D3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glszm_ZonePercentage</w:t>
            </w:r>
          </w:p>
        </w:tc>
      </w:tr>
      <w:tr w:rsidR="001C60C4" w14:paraId="63FA476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0D9BC94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C8517B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firstorder_TotalEnergy</w:t>
            </w:r>
          </w:p>
        </w:tc>
        <w:tc>
          <w:tcPr>
            <w:tcW w:w="1559" w:type="dxa"/>
            <w:tcBorders>
              <w:top w:val="nil"/>
              <w:left w:val="nil"/>
              <w:bottom w:val="nil"/>
              <w:right w:val="nil"/>
            </w:tcBorders>
            <w:noWrap/>
            <w:tcMar>
              <w:top w:w="0" w:type="dxa"/>
              <w:left w:w="108" w:type="dxa"/>
              <w:bottom w:w="0" w:type="dxa"/>
              <w:right w:w="108" w:type="dxa"/>
            </w:tcMar>
            <w:vAlign w:val="center"/>
          </w:tcPr>
          <w:p w14:paraId="08EB6B1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4A77761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glszm_ZoneVariance</w:t>
            </w:r>
          </w:p>
        </w:tc>
      </w:tr>
      <w:tr w:rsidR="001C60C4" w14:paraId="4EBD6A8C" w14:textId="77777777" w:rsidTr="007F0EE7">
        <w:trPr>
          <w:trHeight w:val="285"/>
        </w:trPr>
        <w:tc>
          <w:tcPr>
            <w:tcW w:w="1664" w:type="dxa"/>
            <w:tcBorders>
              <w:top w:val="nil"/>
              <w:left w:val="nil"/>
              <w:bottom w:val="single" w:sz="8" w:space="0" w:color="auto"/>
              <w:right w:val="nil"/>
            </w:tcBorders>
            <w:noWrap/>
            <w:tcMar>
              <w:top w:w="0" w:type="dxa"/>
              <w:left w:w="108" w:type="dxa"/>
              <w:bottom w:w="0" w:type="dxa"/>
              <w:right w:w="108" w:type="dxa"/>
            </w:tcMar>
            <w:vAlign w:val="center"/>
          </w:tcPr>
          <w:p w14:paraId="13929F6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noWrap/>
            <w:tcMar>
              <w:top w:w="0" w:type="dxa"/>
              <w:left w:w="108" w:type="dxa"/>
              <w:bottom w:w="0" w:type="dxa"/>
              <w:right w:w="108" w:type="dxa"/>
            </w:tcMar>
            <w:vAlign w:val="center"/>
          </w:tcPr>
          <w:p w14:paraId="7AF9E97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firstorder_Uniformity</w:t>
            </w:r>
          </w:p>
        </w:tc>
        <w:tc>
          <w:tcPr>
            <w:tcW w:w="1559" w:type="dxa"/>
            <w:tcBorders>
              <w:top w:val="nil"/>
              <w:left w:val="nil"/>
              <w:bottom w:val="single" w:sz="8" w:space="0" w:color="auto"/>
              <w:right w:val="nil"/>
            </w:tcBorders>
            <w:noWrap/>
            <w:tcMar>
              <w:top w:w="0" w:type="dxa"/>
              <w:left w:w="108" w:type="dxa"/>
              <w:bottom w:w="0" w:type="dxa"/>
              <w:right w:w="108" w:type="dxa"/>
            </w:tcMar>
            <w:vAlign w:val="center"/>
          </w:tcPr>
          <w:p w14:paraId="607F4DA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noWrap/>
            <w:tcMar>
              <w:top w:w="0" w:type="dxa"/>
              <w:left w:w="108" w:type="dxa"/>
              <w:bottom w:w="0" w:type="dxa"/>
              <w:right w:w="108" w:type="dxa"/>
            </w:tcMar>
            <w:vAlign w:val="center"/>
          </w:tcPr>
          <w:p w14:paraId="0ED2F99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4E5F280C"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3AD572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BF521E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glrlm_GrayLevelNonUniformity</w:t>
            </w:r>
          </w:p>
        </w:tc>
        <w:tc>
          <w:tcPr>
            <w:tcW w:w="1559" w:type="dxa"/>
            <w:tcBorders>
              <w:top w:val="nil"/>
              <w:left w:val="nil"/>
              <w:bottom w:val="nil"/>
              <w:right w:val="nil"/>
            </w:tcBorders>
            <w:noWrap/>
            <w:tcMar>
              <w:top w:w="0" w:type="dxa"/>
              <w:left w:w="108" w:type="dxa"/>
              <w:bottom w:w="0" w:type="dxa"/>
              <w:right w:w="108" w:type="dxa"/>
            </w:tcMar>
            <w:vAlign w:val="center"/>
          </w:tcPr>
          <w:p w14:paraId="462341C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519EA65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glcm_Autocorrelation</w:t>
            </w:r>
          </w:p>
        </w:tc>
      </w:tr>
      <w:tr w:rsidR="001C60C4" w14:paraId="6753BD01"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3903E2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FAD70A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glrlm_GrayLevelNonUniformityNormalized</w:t>
            </w:r>
          </w:p>
        </w:tc>
        <w:tc>
          <w:tcPr>
            <w:tcW w:w="1559" w:type="dxa"/>
            <w:tcBorders>
              <w:top w:val="nil"/>
              <w:left w:val="nil"/>
              <w:bottom w:val="nil"/>
              <w:right w:val="nil"/>
            </w:tcBorders>
            <w:noWrap/>
            <w:tcMar>
              <w:top w:w="0" w:type="dxa"/>
              <w:left w:w="108" w:type="dxa"/>
              <w:bottom w:w="0" w:type="dxa"/>
              <w:right w:w="108" w:type="dxa"/>
            </w:tcMar>
            <w:vAlign w:val="center"/>
          </w:tcPr>
          <w:p w14:paraId="7BC794A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29DB5C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glcm_ClusterProminence</w:t>
            </w:r>
          </w:p>
        </w:tc>
      </w:tr>
      <w:tr w:rsidR="001C60C4" w14:paraId="12AB8FC0"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286B92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557A460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glrlm_GrayLevelVariance</w:t>
            </w:r>
          </w:p>
        </w:tc>
        <w:tc>
          <w:tcPr>
            <w:tcW w:w="1559" w:type="dxa"/>
            <w:tcBorders>
              <w:top w:val="nil"/>
              <w:left w:val="nil"/>
              <w:bottom w:val="nil"/>
              <w:right w:val="nil"/>
            </w:tcBorders>
            <w:noWrap/>
            <w:tcMar>
              <w:top w:w="0" w:type="dxa"/>
              <w:left w:w="108" w:type="dxa"/>
              <w:bottom w:w="0" w:type="dxa"/>
              <w:right w:w="108" w:type="dxa"/>
            </w:tcMar>
            <w:vAlign w:val="center"/>
          </w:tcPr>
          <w:p w14:paraId="4EDCE56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B59E4C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glcm_ClusterShade</w:t>
            </w:r>
          </w:p>
        </w:tc>
      </w:tr>
      <w:tr w:rsidR="001C60C4" w14:paraId="4472F454"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AB6753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4BBAF3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glrlm_HighGrayLevelRunEmphasis</w:t>
            </w:r>
          </w:p>
        </w:tc>
        <w:tc>
          <w:tcPr>
            <w:tcW w:w="1559" w:type="dxa"/>
            <w:tcBorders>
              <w:top w:val="nil"/>
              <w:left w:val="nil"/>
              <w:bottom w:val="nil"/>
              <w:right w:val="nil"/>
            </w:tcBorders>
            <w:noWrap/>
            <w:tcMar>
              <w:top w:w="0" w:type="dxa"/>
              <w:left w:w="108" w:type="dxa"/>
              <w:bottom w:w="0" w:type="dxa"/>
              <w:right w:w="108" w:type="dxa"/>
            </w:tcMar>
            <w:vAlign w:val="center"/>
          </w:tcPr>
          <w:p w14:paraId="4F3DFB4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7DE411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glcm_ClusterTendency</w:t>
            </w:r>
          </w:p>
        </w:tc>
      </w:tr>
      <w:tr w:rsidR="001C60C4" w14:paraId="5479760B"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09141B7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36ECC7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glrlm_LongRunEmphasis</w:t>
            </w:r>
          </w:p>
        </w:tc>
        <w:tc>
          <w:tcPr>
            <w:tcW w:w="1559" w:type="dxa"/>
            <w:tcBorders>
              <w:top w:val="nil"/>
              <w:left w:val="nil"/>
              <w:bottom w:val="nil"/>
              <w:right w:val="nil"/>
            </w:tcBorders>
            <w:noWrap/>
            <w:tcMar>
              <w:top w:w="0" w:type="dxa"/>
              <w:left w:w="108" w:type="dxa"/>
              <w:bottom w:w="0" w:type="dxa"/>
              <w:right w:w="108" w:type="dxa"/>
            </w:tcMar>
            <w:vAlign w:val="center"/>
          </w:tcPr>
          <w:p w14:paraId="2CA602F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77CB7CA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glcm_Contrast</w:t>
            </w:r>
          </w:p>
        </w:tc>
      </w:tr>
      <w:tr w:rsidR="001C60C4" w14:paraId="4BFDDD0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2B2758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 texture features</w:t>
            </w:r>
          </w:p>
        </w:tc>
        <w:tc>
          <w:tcPr>
            <w:tcW w:w="2783" w:type="dxa"/>
            <w:tcBorders>
              <w:top w:val="nil"/>
              <w:left w:val="nil"/>
              <w:bottom w:val="nil"/>
              <w:right w:val="nil"/>
            </w:tcBorders>
            <w:noWrap/>
            <w:tcMar>
              <w:top w:w="0" w:type="dxa"/>
              <w:left w:w="108" w:type="dxa"/>
              <w:bottom w:w="0" w:type="dxa"/>
              <w:right w:w="108" w:type="dxa"/>
            </w:tcMar>
            <w:vAlign w:val="center"/>
          </w:tcPr>
          <w:p w14:paraId="2353038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glrlm_LongRunHighGrayLevelEmphasis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42BBED5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 texture features</w:t>
            </w:r>
          </w:p>
        </w:tc>
        <w:tc>
          <w:tcPr>
            <w:tcW w:w="2516" w:type="dxa"/>
            <w:tcBorders>
              <w:top w:val="nil"/>
              <w:left w:val="nil"/>
              <w:bottom w:val="nil"/>
              <w:right w:val="nil"/>
            </w:tcBorders>
            <w:noWrap/>
            <w:tcMar>
              <w:top w:w="0" w:type="dxa"/>
              <w:left w:w="108" w:type="dxa"/>
              <w:bottom w:w="0" w:type="dxa"/>
              <w:right w:w="108" w:type="dxa"/>
            </w:tcMar>
            <w:vAlign w:val="center"/>
          </w:tcPr>
          <w:p w14:paraId="3E8D40D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glcm_Correlation</w:t>
            </w:r>
          </w:p>
        </w:tc>
      </w:tr>
      <w:tr w:rsidR="001C60C4" w14:paraId="48EF9C66"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514928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 = 16)</w:t>
            </w:r>
          </w:p>
        </w:tc>
        <w:tc>
          <w:tcPr>
            <w:tcW w:w="2783" w:type="dxa"/>
            <w:tcBorders>
              <w:top w:val="nil"/>
              <w:left w:val="nil"/>
              <w:bottom w:val="nil"/>
              <w:right w:val="nil"/>
            </w:tcBorders>
            <w:noWrap/>
            <w:tcMar>
              <w:top w:w="0" w:type="dxa"/>
              <w:left w:w="108" w:type="dxa"/>
              <w:bottom w:w="0" w:type="dxa"/>
              <w:right w:w="108" w:type="dxa"/>
            </w:tcMar>
            <w:vAlign w:val="center"/>
          </w:tcPr>
          <w:p w14:paraId="614742F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glrlm_LongRunLowGrayLevelEmphasis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05E05DA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 = 24)</w:t>
            </w:r>
          </w:p>
        </w:tc>
        <w:tc>
          <w:tcPr>
            <w:tcW w:w="2516" w:type="dxa"/>
            <w:tcBorders>
              <w:top w:val="nil"/>
              <w:left w:val="nil"/>
              <w:bottom w:val="nil"/>
              <w:right w:val="nil"/>
            </w:tcBorders>
            <w:noWrap/>
            <w:tcMar>
              <w:top w:w="0" w:type="dxa"/>
              <w:left w:w="108" w:type="dxa"/>
              <w:bottom w:w="0" w:type="dxa"/>
              <w:right w:w="108" w:type="dxa"/>
            </w:tcMar>
            <w:vAlign w:val="center"/>
          </w:tcPr>
          <w:p w14:paraId="0B76002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glcm_DifferenceAverage</w:t>
            </w:r>
          </w:p>
        </w:tc>
      </w:tr>
      <w:tr w:rsidR="001C60C4" w14:paraId="5647E87E"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B4FC78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EA7458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glrlm_LowGrayLevelRunEmphasis</w:t>
            </w:r>
          </w:p>
        </w:tc>
        <w:tc>
          <w:tcPr>
            <w:tcW w:w="1559" w:type="dxa"/>
            <w:tcBorders>
              <w:top w:val="nil"/>
              <w:left w:val="nil"/>
              <w:bottom w:val="nil"/>
              <w:right w:val="nil"/>
            </w:tcBorders>
            <w:noWrap/>
            <w:tcMar>
              <w:top w:w="0" w:type="dxa"/>
              <w:left w:w="108" w:type="dxa"/>
              <w:bottom w:w="0" w:type="dxa"/>
              <w:right w:w="108" w:type="dxa"/>
            </w:tcMar>
            <w:vAlign w:val="center"/>
          </w:tcPr>
          <w:p w14:paraId="6223866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7E77A3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glcm_DifferenceEntropy</w:t>
            </w:r>
          </w:p>
        </w:tc>
      </w:tr>
      <w:tr w:rsidR="001C60C4" w14:paraId="09610BFB"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FAF0E2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19BFBD7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glrlm_RunEntropy</w:t>
            </w:r>
          </w:p>
        </w:tc>
        <w:tc>
          <w:tcPr>
            <w:tcW w:w="1559" w:type="dxa"/>
            <w:tcBorders>
              <w:top w:val="nil"/>
              <w:left w:val="nil"/>
              <w:bottom w:val="nil"/>
              <w:right w:val="nil"/>
            </w:tcBorders>
            <w:noWrap/>
            <w:tcMar>
              <w:top w:w="0" w:type="dxa"/>
              <w:left w:w="108" w:type="dxa"/>
              <w:bottom w:w="0" w:type="dxa"/>
              <w:right w:w="108" w:type="dxa"/>
            </w:tcMar>
            <w:vAlign w:val="center"/>
          </w:tcPr>
          <w:p w14:paraId="6BD49EB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56DA224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glcm_DifferenceVariance</w:t>
            </w:r>
          </w:p>
        </w:tc>
      </w:tr>
      <w:tr w:rsidR="001C60C4" w14:paraId="59F39C2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B15530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C1F324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glrlm_RunLengthNonUniformity</w:t>
            </w:r>
          </w:p>
        </w:tc>
        <w:tc>
          <w:tcPr>
            <w:tcW w:w="1559" w:type="dxa"/>
            <w:tcBorders>
              <w:top w:val="nil"/>
              <w:left w:val="nil"/>
              <w:bottom w:val="nil"/>
              <w:right w:val="nil"/>
            </w:tcBorders>
            <w:noWrap/>
            <w:tcMar>
              <w:top w:w="0" w:type="dxa"/>
              <w:left w:w="108" w:type="dxa"/>
              <w:bottom w:w="0" w:type="dxa"/>
              <w:right w:w="108" w:type="dxa"/>
            </w:tcMar>
            <w:vAlign w:val="center"/>
          </w:tcPr>
          <w:p w14:paraId="43D77AB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C8BCAE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glcm_Id</w:t>
            </w:r>
          </w:p>
        </w:tc>
      </w:tr>
      <w:tr w:rsidR="001C60C4" w14:paraId="71CE9A66"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71BAE37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9B4BE1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glrlm_RunLengthNonUniformityNormalized</w:t>
            </w:r>
          </w:p>
        </w:tc>
        <w:tc>
          <w:tcPr>
            <w:tcW w:w="1559" w:type="dxa"/>
            <w:tcBorders>
              <w:top w:val="nil"/>
              <w:left w:val="nil"/>
              <w:bottom w:val="nil"/>
              <w:right w:val="nil"/>
            </w:tcBorders>
            <w:noWrap/>
            <w:tcMar>
              <w:top w:w="0" w:type="dxa"/>
              <w:left w:w="108" w:type="dxa"/>
              <w:bottom w:w="0" w:type="dxa"/>
              <w:right w:w="108" w:type="dxa"/>
            </w:tcMar>
            <w:vAlign w:val="center"/>
          </w:tcPr>
          <w:p w14:paraId="15EC85C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DD57AA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glcm_Idm</w:t>
            </w:r>
          </w:p>
        </w:tc>
      </w:tr>
      <w:tr w:rsidR="001C60C4" w14:paraId="1EC06307"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E063D6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706F80E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glrlm_RunPercentage_T2</w:t>
            </w:r>
          </w:p>
        </w:tc>
        <w:tc>
          <w:tcPr>
            <w:tcW w:w="1559" w:type="dxa"/>
            <w:tcBorders>
              <w:top w:val="nil"/>
              <w:left w:val="nil"/>
              <w:bottom w:val="nil"/>
              <w:right w:val="nil"/>
            </w:tcBorders>
            <w:noWrap/>
            <w:tcMar>
              <w:top w:w="0" w:type="dxa"/>
              <w:left w:w="108" w:type="dxa"/>
              <w:bottom w:w="0" w:type="dxa"/>
              <w:right w:w="108" w:type="dxa"/>
            </w:tcMar>
            <w:vAlign w:val="center"/>
          </w:tcPr>
          <w:p w14:paraId="00B0CC8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9A309E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glcm_Idmn</w:t>
            </w:r>
          </w:p>
        </w:tc>
      </w:tr>
      <w:tr w:rsidR="001C60C4" w14:paraId="020C0C3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5A3BCA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58A12B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glrlm_RunVariance</w:t>
            </w:r>
          </w:p>
        </w:tc>
        <w:tc>
          <w:tcPr>
            <w:tcW w:w="1559" w:type="dxa"/>
            <w:tcBorders>
              <w:top w:val="nil"/>
              <w:left w:val="nil"/>
              <w:bottom w:val="nil"/>
              <w:right w:val="nil"/>
            </w:tcBorders>
            <w:noWrap/>
            <w:tcMar>
              <w:top w:w="0" w:type="dxa"/>
              <w:left w:w="108" w:type="dxa"/>
              <w:bottom w:w="0" w:type="dxa"/>
              <w:right w:w="108" w:type="dxa"/>
            </w:tcMar>
            <w:vAlign w:val="center"/>
          </w:tcPr>
          <w:p w14:paraId="1CFD2B8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77AEE1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glcm_Idn</w:t>
            </w:r>
          </w:p>
        </w:tc>
      </w:tr>
      <w:tr w:rsidR="001C60C4" w14:paraId="1DEC9E0F"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33CA3F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86B37B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glrlm_ShortRunEmphasis</w:t>
            </w:r>
          </w:p>
        </w:tc>
        <w:tc>
          <w:tcPr>
            <w:tcW w:w="1559" w:type="dxa"/>
            <w:tcBorders>
              <w:top w:val="nil"/>
              <w:left w:val="nil"/>
              <w:bottom w:val="nil"/>
              <w:right w:val="nil"/>
            </w:tcBorders>
            <w:noWrap/>
            <w:tcMar>
              <w:top w:w="0" w:type="dxa"/>
              <w:left w:w="108" w:type="dxa"/>
              <w:bottom w:w="0" w:type="dxa"/>
              <w:right w:w="108" w:type="dxa"/>
            </w:tcMar>
            <w:vAlign w:val="center"/>
          </w:tcPr>
          <w:p w14:paraId="7445310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1D77F48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glcm_Imc1</w:t>
            </w:r>
          </w:p>
        </w:tc>
      </w:tr>
      <w:tr w:rsidR="001C60C4" w14:paraId="35E385B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978761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D567B7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glrlm_ShortRunHighGrayLevelEmphasis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39CB3F6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454CFF1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glcm_Imc2</w:t>
            </w:r>
          </w:p>
        </w:tc>
      </w:tr>
      <w:tr w:rsidR="001C60C4" w14:paraId="3528011E"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748DFF0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67D437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glrlm_ShortRunLowGrayLevelEmphasis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0E925F1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056989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glcm_InverseVariance</w:t>
            </w:r>
          </w:p>
        </w:tc>
      </w:tr>
      <w:tr w:rsidR="001C60C4" w14:paraId="5B88B387"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5ABF9AD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3A3F3C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43CB488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8A9F77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glcm_JointAverage</w:t>
            </w:r>
          </w:p>
        </w:tc>
      </w:tr>
      <w:tr w:rsidR="001C60C4" w14:paraId="3A458B4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65C2D9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94CE04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5543E98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96246D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glcm_JointEnergy</w:t>
            </w:r>
          </w:p>
        </w:tc>
      </w:tr>
      <w:tr w:rsidR="001C60C4" w14:paraId="167CA23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8FD6B2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4D0485C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418C9EC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4AB4D5D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glcm_JointEntropy</w:t>
            </w:r>
          </w:p>
        </w:tc>
      </w:tr>
      <w:tr w:rsidR="001C60C4" w14:paraId="1987010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46684DF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lastRenderedPageBreak/>
              <w:t> </w:t>
            </w:r>
          </w:p>
        </w:tc>
        <w:tc>
          <w:tcPr>
            <w:tcW w:w="2783" w:type="dxa"/>
            <w:tcBorders>
              <w:top w:val="nil"/>
              <w:left w:val="nil"/>
              <w:bottom w:val="nil"/>
              <w:right w:val="nil"/>
            </w:tcBorders>
            <w:noWrap/>
            <w:tcMar>
              <w:top w:w="0" w:type="dxa"/>
              <w:left w:w="108" w:type="dxa"/>
              <w:bottom w:w="0" w:type="dxa"/>
              <w:right w:w="108" w:type="dxa"/>
            </w:tcMar>
            <w:vAlign w:val="center"/>
          </w:tcPr>
          <w:p w14:paraId="2A8477E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36F83A4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BE05E1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glcm_MCC</w:t>
            </w:r>
          </w:p>
        </w:tc>
      </w:tr>
      <w:tr w:rsidR="001C60C4" w14:paraId="1AAB6057"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B3E836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5844639B"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52AE12F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7B19750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glcm_MaximumProbability</w:t>
            </w:r>
          </w:p>
        </w:tc>
      </w:tr>
      <w:tr w:rsidR="001C60C4" w14:paraId="05A6E8E6"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B9BB88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00210F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4A51C75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E595F3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glcm_SumAverage</w:t>
            </w:r>
          </w:p>
        </w:tc>
      </w:tr>
      <w:tr w:rsidR="001C60C4" w14:paraId="1D8A3FF9"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F41753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D3A27D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noWrap/>
            <w:tcMar>
              <w:top w:w="0" w:type="dxa"/>
              <w:left w:w="108" w:type="dxa"/>
              <w:bottom w:w="0" w:type="dxa"/>
              <w:right w:w="108" w:type="dxa"/>
            </w:tcMar>
            <w:vAlign w:val="center"/>
          </w:tcPr>
          <w:p w14:paraId="7B16C50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392B08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glcm_SumEntropy</w:t>
            </w:r>
          </w:p>
        </w:tc>
      </w:tr>
      <w:tr w:rsidR="001C60C4" w14:paraId="487A9C1B" w14:textId="77777777" w:rsidTr="007F0EE7">
        <w:trPr>
          <w:trHeight w:val="285"/>
        </w:trPr>
        <w:tc>
          <w:tcPr>
            <w:tcW w:w="1664" w:type="dxa"/>
            <w:tcBorders>
              <w:top w:val="nil"/>
              <w:left w:val="nil"/>
              <w:bottom w:val="single" w:sz="8" w:space="0" w:color="auto"/>
              <w:right w:val="nil"/>
            </w:tcBorders>
            <w:noWrap/>
            <w:tcMar>
              <w:top w:w="0" w:type="dxa"/>
              <w:left w:w="108" w:type="dxa"/>
              <w:bottom w:w="0" w:type="dxa"/>
              <w:right w:w="108" w:type="dxa"/>
            </w:tcMar>
            <w:vAlign w:val="center"/>
          </w:tcPr>
          <w:p w14:paraId="5BC4F7A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noWrap/>
            <w:tcMar>
              <w:top w:w="0" w:type="dxa"/>
              <w:left w:w="108" w:type="dxa"/>
              <w:bottom w:w="0" w:type="dxa"/>
              <w:right w:w="108" w:type="dxa"/>
            </w:tcMar>
            <w:vAlign w:val="center"/>
          </w:tcPr>
          <w:p w14:paraId="2E5D33A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single" w:sz="8" w:space="0" w:color="auto"/>
              <w:right w:val="nil"/>
            </w:tcBorders>
            <w:noWrap/>
            <w:tcMar>
              <w:top w:w="0" w:type="dxa"/>
              <w:left w:w="108" w:type="dxa"/>
              <w:bottom w:w="0" w:type="dxa"/>
              <w:right w:w="108" w:type="dxa"/>
            </w:tcMar>
            <w:vAlign w:val="center"/>
          </w:tcPr>
          <w:p w14:paraId="48938F2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noWrap/>
            <w:tcMar>
              <w:top w:w="0" w:type="dxa"/>
              <w:left w:w="108" w:type="dxa"/>
              <w:bottom w:w="0" w:type="dxa"/>
              <w:right w:w="108" w:type="dxa"/>
            </w:tcMar>
            <w:vAlign w:val="center"/>
          </w:tcPr>
          <w:p w14:paraId="5FE7537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glcm_SumSquares</w:t>
            </w:r>
          </w:p>
        </w:tc>
      </w:tr>
      <w:tr w:rsidR="001C60C4" w14:paraId="795D1D6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2C38C6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42EE280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gldm_DependenceEntropy</w:t>
            </w:r>
          </w:p>
        </w:tc>
        <w:tc>
          <w:tcPr>
            <w:tcW w:w="1559" w:type="dxa"/>
            <w:tcBorders>
              <w:top w:val="nil"/>
              <w:left w:val="nil"/>
              <w:bottom w:val="nil"/>
              <w:right w:val="nil"/>
            </w:tcBorders>
            <w:noWrap/>
            <w:tcMar>
              <w:top w:w="0" w:type="dxa"/>
              <w:left w:w="108" w:type="dxa"/>
              <w:bottom w:w="0" w:type="dxa"/>
              <w:right w:w="108" w:type="dxa"/>
            </w:tcMar>
            <w:vAlign w:val="center"/>
          </w:tcPr>
          <w:p w14:paraId="458281D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ABCD5A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ngtdm_Busyness</w:t>
            </w:r>
          </w:p>
        </w:tc>
      </w:tr>
      <w:tr w:rsidR="001C60C4" w14:paraId="6C9F1986"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043D683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42D496A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gldm_DependenceNonUniformity</w:t>
            </w:r>
          </w:p>
        </w:tc>
        <w:tc>
          <w:tcPr>
            <w:tcW w:w="1559" w:type="dxa"/>
            <w:tcBorders>
              <w:top w:val="nil"/>
              <w:left w:val="nil"/>
              <w:bottom w:val="nil"/>
              <w:right w:val="nil"/>
            </w:tcBorders>
            <w:noWrap/>
            <w:tcMar>
              <w:top w:w="0" w:type="dxa"/>
              <w:left w:w="108" w:type="dxa"/>
              <w:bottom w:w="0" w:type="dxa"/>
              <w:right w:w="108" w:type="dxa"/>
            </w:tcMar>
            <w:vAlign w:val="center"/>
          </w:tcPr>
          <w:p w14:paraId="70A4116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13C97F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ngtdm_Coarseness</w:t>
            </w:r>
          </w:p>
        </w:tc>
      </w:tr>
      <w:tr w:rsidR="001C60C4" w14:paraId="75FA3D1A"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EA3235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 texture features</w:t>
            </w:r>
          </w:p>
        </w:tc>
        <w:tc>
          <w:tcPr>
            <w:tcW w:w="2783" w:type="dxa"/>
            <w:tcBorders>
              <w:top w:val="nil"/>
              <w:left w:val="nil"/>
              <w:bottom w:val="nil"/>
              <w:right w:val="nil"/>
            </w:tcBorders>
            <w:noWrap/>
            <w:tcMar>
              <w:top w:w="0" w:type="dxa"/>
              <w:left w:w="108" w:type="dxa"/>
              <w:bottom w:w="0" w:type="dxa"/>
              <w:right w:w="108" w:type="dxa"/>
            </w:tcMar>
            <w:vAlign w:val="center"/>
          </w:tcPr>
          <w:p w14:paraId="4390800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gldm_DependenceNonUniformityNormalized</w:t>
            </w:r>
          </w:p>
        </w:tc>
        <w:tc>
          <w:tcPr>
            <w:tcW w:w="1559" w:type="dxa"/>
            <w:tcBorders>
              <w:top w:val="nil"/>
              <w:left w:val="nil"/>
              <w:bottom w:val="nil"/>
              <w:right w:val="nil"/>
            </w:tcBorders>
            <w:noWrap/>
            <w:tcMar>
              <w:top w:w="0" w:type="dxa"/>
              <w:left w:w="108" w:type="dxa"/>
              <w:bottom w:w="0" w:type="dxa"/>
              <w:right w:w="108" w:type="dxa"/>
            </w:tcMar>
            <w:vAlign w:val="center"/>
          </w:tcPr>
          <w:p w14:paraId="198C4CD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 texture features</w:t>
            </w:r>
          </w:p>
        </w:tc>
        <w:tc>
          <w:tcPr>
            <w:tcW w:w="2516" w:type="dxa"/>
            <w:tcBorders>
              <w:top w:val="nil"/>
              <w:left w:val="nil"/>
              <w:bottom w:val="nil"/>
              <w:right w:val="nil"/>
            </w:tcBorders>
            <w:noWrap/>
            <w:tcMar>
              <w:top w:w="0" w:type="dxa"/>
              <w:left w:w="108" w:type="dxa"/>
              <w:bottom w:w="0" w:type="dxa"/>
              <w:right w:w="108" w:type="dxa"/>
            </w:tcMar>
            <w:vAlign w:val="center"/>
          </w:tcPr>
          <w:p w14:paraId="366C5B6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ngtdm_Complexity</w:t>
            </w:r>
          </w:p>
        </w:tc>
      </w:tr>
      <w:tr w:rsidR="001C60C4" w14:paraId="3077CADF"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1C06F66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 = 14)</w:t>
            </w:r>
          </w:p>
        </w:tc>
        <w:tc>
          <w:tcPr>
            <w:tcW w:w="2783" w:type="dxa"/>
            <w:tcBorders>
              <w:top w:val="nil"/>
              <w:left w:val="nil"/>
              <w:bottom w:val="nil"/>
              <w:right w:val="nil"/>
            </w:tcBorders>
            <w:noWrap/>
            <w:tcMar>
              <w:top w:w="0" w:type="dxa"/>
              <w:left w:w="108" w:type="dxa"/>
              <w:bottom w:w="0" w:type="dxa"/>
              <w:right w:w="108" w:type="dxa"/>
            </w:tcMar>
            <w:vAlign w:val="center"/>
          </w:tcPr>
          <w:p w14:paraId="522671F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gldm_DependenceVariance</w:t>
            </w:r>
          </w:p>
        </w:tc>
        <w:tc>
          <w:tcPr>
            <w:tcW w:w="1559" w:type="dxa"/>
            <w:tcBorders>
              <w:top w:val="nil"/>
              <w:left w:val="nil"/>
              <w:bottom w:val="nil"/>
              <w:right w:val="nil"/>
            </w:tcBorders>
            <w:noWrap/>
            <w:tcMar>
              <w:top w:w="0" w:type="dxa"/>
              <w:left w:w="108" w:type="dxa"/>
              <w:bottom w:w="0" w:type="dxa"/>
              <w:right w:w="108" w:type="dxa"/>
            </w:tcMar>
            <w:vAlign w:val="center"/>
          </w:tcPr>
          <w:p w14:paraId="27EE768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 = 5)</w:t>
            </w:r>
          </w:p>
        </w:tc>
        <w:tc>
          <w:tcPr>
            <w:tcW w:w="2516" w:type="dxa"/>
            <w:tcBorders>
              <w:top w:val="nil"/>
              <w:left w:val="nil"/>
              <w:bottom w:val="nil"/>
              <w:right w:val="nil"/>
            </w:tcBorders>
            <w:noWrap/>
            <w:tcMar>
              <w:top w:w="0" w:type="dxa"/>
              <w:left w:w="108" w:type="dxa"/>
              <w:bottom w:w="0" w:type="dxa"/>
              <w:right w:w="108" w:type="dxa"/>
            </w:tcMar>
            <w:vAlign w:val="center"/>
          </w:tcPr>
          <w:p w14:paraId="02451D0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ngtdm_Contrast</w:t>
            </w:r>
          </w:p>
        </w:tc>
      </w:tr>
      <w:tr w:rsidR="001C60C4" w14:paraId="3ADDBFA3" w14:textId="77777777" w:rsidTr="007F0EE7">
        <w:trPr>
          <w:trHeight w:val="90"/>
        </w:trPr>
        <w:tc>
          <w:tcPr>
            <w:tcW w:w="1664" w:type="dxa"/>
            <w:tcBorders>
              <w:top w:val="nil"/>
              <w:left w:val="nil"/>
              <w:bottom w:val="nil"/>
              <w:right w:val="nil"/>
            </w:tcBorders>
            <w:noWrap/>
            <w:tcMar>
              <w:top w:w="0" w:type="dxa"/>
              <w:left w:w="108" w:type="dxa"/>
              <w:bottom w:w="0" w:type="dxa"/>
              <w:right w:w="108" w:type="dxa"/>
            </w:tcMar>
            <w:vAlign w:val="center"/>
          </w:tcPr>
          <w:p w14:paraId="7EAE965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0ACB7E5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gldm_GrayLevelNonUniformity</w:t>
            </w:r>
          </w:p>
        </w:tc>
        <w:tc>
          <w:tcPr>
            <w:tcW w:w="1559" w:type="dxa"/>
            <w:tcBorders>
              <w:top w:val="nil"/>
              <w:left w:val="nil"/>
              <w:bottom w:val="nil"/>
              <w:right w:val="nil"/>
            </w:tcBorders>
            <w:noWrap/>
            <w:tcMar>
              <w:top w:w="0" w:type="dxa"/>
              <w:left w:w="108" w:type="dxa"/>
              <w:bottom w:w="0" w:type="dxa"/>
              <w:right w:w="108" w:type="dxa"/>
            </w:tcMar>
            <w:vAlign w:val="center"/>
          </w:tcPr>
          <w:p w14:paraId="3BB9F87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87DBD8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ngtdm_Strength</w:t>
            </w:r>
          </w:p>
        </w:tc>
      </w:tr>
      <w:tr w:rsidR="001C60C4" w14:paraId="46E8C563"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80D9BE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6D22653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gldm_GrayLevelVariance</w:t>
            </w:r>
          </w:p>
        </w:tc>
        <w:tc>
          <w:tcPr>
            <w:tcW w:w="1559" w:type="dxa"/>
            <w:tcBorders>
              <w:top w:val="nil"/>
              <w:left w:val="nil"/>
              <w:bottom w:val="nil"/>
              <w:right w:val="nil"/>
            </w:tcBorders>
            <w:noWrap/>
            <w:tcMar>
              <w:top w:w="0" w:type="dxa"/>
              <w:left w:w="108" w:type="dxa"/>
              <w:bottom w:w="0" w:type="dxa"/>
              <w:right w:w="108" w:type="dxa"/>
            </w:tcMar>
            <w:vAlign w:val="center"/>
          </w:tcPr>
          <w:p w14:paraId="5B913A88"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D7F478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01653A2F"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6AE946C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124DE62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gldm_HighGrayLevelEmphasis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51839C0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41053F9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0BE0774C"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2375C4A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7805777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gldm_LargeDependenceEmphasis</w:t>
            </w:r>
          </w:p>
        </w:tc>
        <w:tc>
          <w:tcPr>
            <w:tcW w:w="1559" w:type="dxa"/>
            <w:tcBorders>
              <w:top w:val="nil"/>
              <w:left w:val="nil"/>
              <w:bottom w:val="nil"/>
              <w:right w:val="nil"/>
            </w:tcBorders>
            <w:noWrap/>
            <w:tcMar>
              <w:top w:w="0" w:type="dxa"/>
              <w:left w:w="108" w:type="dxa"/>
              <w:bottom w:w="0" w:type="dxa"/>
              <w:right w:w="108" w:type="dxa"/>
            </w:tcMar>
            <w:vAlign w:val="center"/>
          </w:tcPr>
          <w:p w14:paraId="04C4AB7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7F2E24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713471B4"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D4D517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5A3BE8B3"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gldm_LargeDependenceHighGrayLevelEmphasis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475AEF0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690846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6AC8B618"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03FB042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4FD9EB4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gldm_LargeDependenceLowGrayLevelEmphasis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76250B90"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063999AA"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17ED7FB6"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30FE9E6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331057B2"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gldm_LowGrayLevelEmphasis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150125ED"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6818BBE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227B9674"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0D49271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4A6D32C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gldm_SmallDependenceEmphasis</w:t>
            </w:r>
          </w:p>
        </w:tc>
        <w:tc>
          <w:tcPr>
            <w:tcW w:w="1559" w:type="dxa"/>
            <w:tcBorders>
              <w:top w:val="nil"/>
              <w:left w:val="nil"/>
              <w:bottom w:val="nil"/>
              <w:right w:val="nil"/>
            </w:tcBorders>
            <w:noWrap/>
            <w:tcMar>
              <w:top w:w="0" w:type="dxa"/>
              <w:left w:w="108" w:type="dxa"/>
              <w:bottom w:w="0" w:type="dxa"/>
              <w:right w:w="108" w:type="dxa"/>
            </w:tcMar>
            <w:vAlign w:val="center"/>
          </w:tcPr>
          <w:p w14:paraId="5A4220E9"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35F566F5"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22CDC758" w14:textId="77777777" w:rsidTr="007F0EE7">
        <w:trPr>
          <w:trHeight w:val="285"/>
        </w:trPr>
        <w:tc>
          <w:tcPr>
            <w:tcW w:w="1664" w:type="dxa"/>
            <w:tcBorders>
              <w:top w:val="nil"/>
              <w:left w:val="nil"/>
              <w:bottom w:val="nil"/>
              <w:right w:val="nil"/>
            </w:tcBorders>
            <w:noWrap/>
            <w:tcMar>
              <w:top w:w="0" w:type="dxa"/>
              <w:left w:w="108" w:type="dxa"/>
              <w:bottom w:w="0" w:type="dxa"/>
              <w:right w:w="108" w:type="dxa"/>
            </w:tcMar>
            <w:vAlign w:val="center"/>
          </w:tcPr>
          <w:p w14:paraId="7A47A49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noWrap/>
            <w:tcMar>
              <w:top w:w="0" w:type="dxa"/>
              <w:left w:w="108" w:type="dxa"/>
              <w:bottom w:w="0" w:type="dxa"/>
              <w:right w:w="108" w:type="dxa"/>
            </w:tcMar>
            <w:vAlign w:val="center"/>
          </w:tcPr>
          <w:p w14:paraId="298368B7"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gldm_SmallDependenceHighGrayLevelEmphasis</w:t>
            </w:r>
          </w:p>
        </w:tc>
        <w:tc>
          <w:tcPr>
            <w:tcW w:w="1559" w:type="dxa"/>
            <w:tcBorders>
              <w:top w:val="nil"/>
              <w:left w:val="nil"/>
              <w:bottom w:val="nil"/>
              <w:right w:val="nil"/>
            </w:tcBorders>
            <w:noWrap/>
            <w:tcMar>
              <w:top w:w="0" w:type="dxa"/>
              <w:left w:w="108" w:type="dxa"/>
              <w:bottom w:w="0" w:type="dxa"/>
              <w:right w:w="108" w:type="dxa"/>
            </w:tcMar>
            <w:vAlign w:val="center"/>
          </w:tcPr>
          <w:p w14:paraId="3154FF2F"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noWrap/>
            <w:tcMar>
              <w:top w:w="0" w:type="dxa"/>
              <w:left w:w="108" w:type="dxa"/>
              <w:bottom w:w="0" w:type="dxa"/>
              <w:right w:w="108" w:type="dxa"/>
            </w:tcMar>
            <w:vAlign w:val="center"/>
          </w:tcPr>
          <w:p w14:paraId="24CE8B96"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35F735BE" w14:textId="77777777" w:rsidTr="007F0EE7">
        <w:trPr>
          <w:trHeight w:val="285"/>
        </w:trPr>
        <w:tc>
          <w:tcPr>
            <w:tcW w:w="1664" w:type="dxa"/>
            <w:tcBorders>
              <w:top w:val="nil"/>
              <w:left w:val="nil"/>
              <w:bottom w:val="single" w:sz="8" w:space="0" w:color="auto"/>
              <w:right w:val="nil"/>
            </w:tcBorders>
            <w:noWrap/>
            <w:tcMar>
              <w:top w:w="0" w:type="dxa"/>
              <w:left w:w="108" w:type="dxa"/>
              <w:bottom w:w="0" w:type="dxa"/>
              <w:right w:w="108" w:type="dxa"/>
            </w:tcMar>
            <w:vAlign w:val="center"/>
          </w:tcPr>
          <w:p w14:paraId="4B654A3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noWrap/>
            <w:tcMar>
              <w:top w:w="0" w:type="dxa"/>
              <w:left w:w="108" w:type="dxa"/>
              <w:bottom w:w="0" w:type="dxa"/>
              <w:right w:w="108" w:type="dxa"/>
            </w:tcMar>
            <w:vAlign w:val="center"/>
          </w:tcPr>
          <w:p w14:paraId="07DE0D1C"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gldm_SmallDependenceLowGrayLevelEmphasis</w:t>
            </w:r>
          </w:p>
        </w:tc>
        <w:tc>
          <w:tcPr>
            <w:tcW w:w="1559" w:type="dxa"/>
            <w:tcBorders>
              <w:top w:val="nil"/>
              <w:left w:val="nil"/>
              <w:bottom w:val="single" w:sz="8" w:space="0" w:color="auto"/>
              <w:right w:val="nil"/>
            </w:tcBorders>
            <w:noWrap/>
            <w:tcMar>
              <w:top w:w="0" w:type="dxa"/>
              <w:left w:w="108" w:type="dxa"/>
              <w:bottom w:w="0" w:type="dxa"/>
              <w:right w:w="108" w:type="dxa"/>
            </w:tcMar>
            <w:vAlign w:val="center"/>
          </w:tcPr>
          <w:p w14:paraId="6CA9A3D1"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noWrap/>
            <w:tcMar>
              <w:top w:w="0" w:type="dxa"/>
              <w:left w:w="108" w:type="dxa"/>
              <w:bottom w:w="0" w:type="dxa"/>
              <w:right w:w="108" w:type="dxa"/>
            </w:tcMar>
            <w:vAlign w:val="center"/>
          </w:tcPr>
          <w:p w14:paraId="42FE6F0E"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 </w:t>
            </w:r>
          </w:p>
        </w:tc>
      </w:tr>
      <w:tr w:rsidR="001C60C4" w14:paraId="086F49A1" w14:textId="77777777" w:rsidTr="007F0EE7">
        <w:trPr>
          <w:trHeight w:val="285"/>
        </w:trPr>
        <w:tc>
          <w:tcPr>
            <w:tcW w:w="1664"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67D582B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lastRenderedPageBreak/>
              <w:t>Los features (N = 186)</w:t>
            </w:r>
          </w:p>
        </w:tc>
        <w:tc>
          <w:tcPr>
            <w:tcW w:w="2783"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05041494" w14:textId="77777777" w:rsidR="001C60C4" w:rsidRDefault="001C60C4" w:rsidP="007F0EE7">
            <w:pPr>
              <w:spacing w:line="360" w:lineRule="auto"/>
              <w:rPr>
                <w:rFonts w:ascii="Times New Roman" w:hAnsi="Times New Roman" w:cs="Times New Roman"/>
                <w:sz w:val="24"/>
              </w:rPr>
            </w:pPr>
            <w:r>
              <w:rPr>
                <w:rFonts w:ascii="Times New Roman" w:hAnsi="Times New Roman" w:cs="Times New Roman"/>
                <w:sz w:val="24"/>
              </w:rPr>
              <w:t>Log-sigma-1.0</w:t>
            </w:r>
            <w:r>
              <w:rPr>
                <w:rFonts w:ascii="Times New Roman" w:hAnsi="Times New Roman" w:cs="Times New Roman" w:hint="eastAsia"/>
                <w:sz w:val="24"/>
              </w:rPr>
              <w:t>，</w:t>
            </w:r>
            <w:r>
              <w:rPr>
                <w:rFonts w:ascii="Times New Roman" w:hAnsi="Times New Roman" w:cs="Times New Roman"/>
                <w:sz w:val="24"/>
              </w:rPr>
              <w:t>2.0_* (N =186)</w:t>
            </w:r>
          </w:p>
        </w:tc>
        <w:tc>
          <w:tcPr>
            <w:tcW w:w="1559"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0896156F" w14:textId="77777777" w:rsidR="001C60C4" w:rsidRDefault="001C60C4" w:rsidP="007F0EE7">
            <w:pPr>
              <w:spacing w:line="360" w:lineRule="auto"/>
              <w:rPr>
                <w:rFonts w:ascii="Times New Roman" w:hAnsi="Times New Roman" w:cs="Times New Roman"/>
                <w:sz w:val="24"/>
              </w:rPr>
            </w:pPr>
          </w:p>
        </w:tc>
        <w:tc>
          <w:tcPr>
            <w:tcW w:w="2516" w:type="dxa"/>
            <w:tcBorders>
              <w:top w:val="single" w:sz="8" w:space="0" w:color="auto"/>
              <w:left w:val="nil"/>
              <w:bottom w:val="single" w:sz="8" w:space="0" w:color="auto"/>
              <w:right w:val="nil"/>
            </w:tcBorders>
            <w:noWrap/>
            <w:tcMar>
              <w:top w:w="0" w:type="dxa"/>
              <w:left w:w="108" w:type="dxa"/>
              <w:bottom w:w="0" w:type="dxa"/>
              <w:right w:w="108" w:type="dxa"/>
            </w:tcMar>
            <w:vAlign w:val="center"/>
          </w:tcPr>
          <w:p w14:paraId="00C1087D" w14:textId="77777777" w:rsidR="001C60C4" w:rsidRDefault="001C60C4" w:rsidP="007F0EE7">
            <w:pPr>
              <w:spacing w:line="360" w:lineRule="auto"/>
              <w:rPr>
                <w:rFonts w:ascii="Times New Roman" w:hAnsi="Times New Roman" w:cs="Times New Roman"/>
                <w:sz w:val="24"/>
              </w:rPr>
            </w:pPr>
          </w:p>
        </w:tc>
      </w:tr>
    </w:tbl>
    <w:p w14:paraId="30684B08" w14:textId="77777777" w:rsidR="001C60C4" w:rsidRDefault="001C60C4" w:rsidP="001C60C4">
      <w:pPr>
        <w:spacing w:line="360" w:lineRule="auto"/>
        <w:rPr>
          <w:rFonts w:ascii="Times New Roman" w:hAnsi="Times New Roman" w:cs="Times New Roman"/>
          <w:sz w:val="24"/>
        </w:rPr>
      </w:pPr>
      <w:r>
        <w:rPr>
          <w:rFonts w:ascii="Times New Roman" w:hAnsi="Times New Roman" w:cs="Times New Roman"/>
          <w:sz w:val="24"/>
        </w:rPr>
        <w:t xml:space="preserve">Note: GLCM, Gray-level co-occurrence matrices; GLRLM, Gray-level run length matrix; GLSZM, Gray-level size zone matrix; GLDM, Gray-level dependence matrix. *The abbreviated representation of feature types </w:t>
      </w:r>
    </w:p>
    <w:p w14:paraId="7C879149" w14:textId="77777777" w:rsidR="001C60C4" w:rsidRDefault="001C60C4">
      <w:pPr>
        <w:rPr>
          <w:rFonts w:ascii="Times New Roman" w:hAnsi="Times New Roman" w:cs="Times New Roman"/>
        </w:rPr>
      </w:pPr>
    </w:p>
    <w:p w14:paraId="0BE194FE" w14:textId="77777777" w:rsidR="001C60C4" w:rsidRDefault="001C60C4">
      <w:pPr>
        <w:rPr>
          <w:rFonts w:ascii="Times New Roman" w:hAnsi="Times New Roman" w:cs="Times New Roman"/>
        </w:rPr>
      </w:pPr>
    </w:p>
    <w:p w14:paraId="501BA05A" w14:textId="77777777" w:rsidR="001C60C4" w:rsidRDefault="001C60C4">
      <w:pPr>
        <w:rPr>
          <w:rFonts w:ascii="Times New Roman" w:hAnsi="Times New Roman" w:cs="Times New Roman"/>
        </w:rPr>
      </w:pPr>
    </w:p>
    <w:p w14:paraId="08D3E599" w14:textId="77777777" w:rsidR="001C60C4" w:rsidRDefault="001C60C4">
      <w:pPr>
        <w:rPr>
          <w:rFonts w:ascii="Times New Roman" w:hAnsi="Times New Roman" w:cs="Times New Roman"/>
        </w:rPr>
      </w:pPr>
    </w:p>
    <w:p w14:paraId="7B47D041" w14:textId="77777777" w:rsidR="001C60C4" w:rsidRDefault="001C60C4">
      <w:pPr>
        <w:rPr>
          <w:rFonts w:ascii="Times New Roman" w:hAnsi="Times New Roman" w:cs="Times New Roman"/>
        </w:rPr>
      </w:pPr>
    </w:p>
    <w:p w14:paraId="1C509E8C" w14:textId="77777777" w:rsidR="001C60C4" w:rsidRDefault="001C60C4">
      <w:pPr>
        <w:rPr>
          <w:rFonts w:ascii="Times New Roman" w:hAnsi="Times New Roman" w:cs="Times New Roman"/>
        </w:rPr>
      </w:pPr>
    </w:p>
    <w:p w14:paraId="4E41916D" w14:textId="77777777" w:rsidR="001C60C4" w:rsidRDefault="001C60C4" w:rsidP="001C60C4">
      <w:pPr>
        <w:spacing w:line="360" w:lineRule="auto"/>
        <w:rPr>
          <w:rFonts w:ascii="Times New Roman" w:hAnsi="Times New Roman" w:cs="Times New Roman"/>
          <w:b/>
          <w:bCs/>
          <w:sz w:val="24"/>
        </w:rPr>
      </w:pPr>
      <w:r>
        <w:rPr>
          <w:rFonts w:ascii="Times New Roman" w:hAnsi="Times New Roman" w:cs="Times New Roman"/>
          <w:b/>
          <w:bCs/>
          <w:sz w:val="24"/>
        </w:rPr>
        <w:t>References</w:t>
      </w:r>
    </w:p>
    <w:p w14:paraId="4474F0F8" w14:textId="77777777" w:rsidR="001C60C4" w:rsidRDefault="001C60C4" w:rsidP="001C60C4">
      <w:pPr>
        <w:pStyle w:val="a3"/>
        <w:numPr>
          <w:ilvl w:val="0"/>
          <w:numId w:val="1"/>
        </w:numPr>
        <w:spacing w:line="360" w:lineRule="auto"/>
        <w:ind w:firstLineChars="0"/>
        <w:jc w:val="left"/>
        <w:rPr>
          <w:rFonts w:ascii="Times New Roman" w:hAnsi="Times New Roman" w:cs="Times New Roman"/>
          <w:szCs w:val="22"/>
        </w:rPr>
      </w:pPr>
      <w:r>
        <w:rPr>
          <w:rFonts w:ascii="Times New Roman" w:hAnsi="Times New Roman" w:cs="Times New Roman"/>
        </w:rPr>
        <w:t>Kuhn M. Building predictive models in R using the caret package. J Stat Softw. 2008, 28(5):1–26.</w:t>
      </w:r>
    </w:p>
    <w:p w14:paraId="554D22EC" w14:textId="77777777" w:rsidR="001C60C4" w:rsidRDefault="001C60C4" w:rsidP="001C60C4">
      <w:pPr>
        <w:pStyle w:val="a3"/>
        <w:numPr>
          <w:ilvl w:val="0"/>
          <w:numId w:val="1"/>
        </w:numPr>
        <w:spacing w:line="360" w:lineRule="auto"/>
        <w:ind w:firstLineChars="0"/>
        <w:jc w:val="left"/>
        <w:rPr>
          <w:rFonts w:ascii="Times New Roman" w:hAnsi="Times New Roman" w:cs="Times New Roman"/>
        </w:rPr>
      </w:pPr>
      <w:r>
        <w:rPr>
          <w:rFonts w:ascii="Times New Roman" w:hAnsi="Times New Roman" w:cs="Times New Roman"/>
          <w:color w:val="222222"/>
          <w:shd w:val="clear" w:color="auto" w:fill="FFFFFF"/>
        </w:rPr>
        <w:t>Fernández-Delgado, Cernadas, Barro, et al. Do we need hundreds of classifiers to solve real world classification problems? J. Mach. Learn. Res. 2014, 15:3133–3181.</w:t>
      </w:r>
    </w:p>
    <w:p w14:paraId="1C85A617" w14:textId="77777777" w:rsidR="001C60C4" w:rsidRPr="003067AD" w:rsidRDefault="001C60C4">
      <w:pPr>
        <w:rPr>
          <w:rFonts w:ascii="Times New Roman" w:hAnsi="Times New Roman" w:cs="Times New Roman"/>
        </w:rPr>
      </w:pPr>
    </w:p>
    <w:sectPr w:rsidR="001C60C4" w:rsidRPr="003067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56C0" w14:textId="77777777" w:rsidR="00493BC8" w:rsidRDefault="00493BC8" w:rsidP="00AF1738">
      <w:pPr>
        <w:rPr>
          <w:rFonts w:hint="eastAsia"/>
        </w:rPr>
      </w:pPr>
      <w:r>
        <w:separator/>
      </w:r>
    </w:p>
  </w:endnote>
  <w:endnote w:type="continuationSeparator" w:id="0">
    <w:p w14:paraId="70F8C5C2" w14:textId="77777777" w:rsidR="00493BC8" w:rsidRDefault="00493BC8" w:rsidP="00AF17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A24E" w14:textId="77777777" w:rsidR="00493BC8" w:rsidRDefault="00493BC8" w:rsidP="00AF1738">
      <w:pPr>
        <w:rPr>
          <w:rFonts w:hint="eastAsia"/>
        </w:rPr>
      </w:pPr>
      <w:r>
        <w:separator/>
      </w:r>
    </w:p>
  </w:footnote>
  <w:footnote w:type="continuationSeparator" w:id="0">
    <w:p w14:paraId="0CD9625C" w14:textId="77777777" w:rsidR="00493BC8" w:rsidRDefault="00493BC8" w:rsidP="00AF173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317710"/>
    <w:multiLevelType w:val="singleLevel"/>
    <w:tmpl w:val="82317710"/>
    <w:lvl w:ilvl="0">
      <w:start w:val="1"/>
      <w:numFmt w:val="decimal"/>
      <w:suff w:val="space"/>
      <w:lvlText w:val="%1."/>
      <w:lvlJc w:val="left"/>
    </w:lvl>
  </w:abstractNum>
  <w:abstractNum w:abstractNumId="1" w15:restartNumberingAfterBreak="0">
    <w:nsid w:val="7B5253DE"/>
    <w:multiLevelType w:val="hybridMultilevel"/>
    <w:tmpl w:val="499C4AC0"/>
    <w:lvl w:ilvl="0" w:tplc="DF204D48">
      <w:start w:val="1"/>
      <w:numFmt w:val="decimal"/>
      <w:lvlText w:val="%1."/>
      <w:lvlJc w:val="left"/>
      <w:pPr>
        <w:ind w:left="360" w:hanging="360"/>
      </w:pPr>
      <w:rPr>
        <w:rFonts w:asciiTheme="minorHAnsi" w:hAnsiTheme="minorHAnsi" w:cstheme="minorBidi" w:hint="default"/>
        <w:color w:val="auto"/>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16cid:durableId="648289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1960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AD"/>
    <w:rsid w:val="001C60C4"/>
    <w:rsid w:val="003067AD"/>
    <w:rsid w:val="003E6AFB"/>
    <w:rsid w:val="00443B9E"/>
    <w:rsid w:val="00473402"/>
    <w:rsid w:val="00493BC8"/>
    <w:rsid w:val="0062098C"/>
    <w:rsid w:val="00784E1F"/>
    <w:rsid w:val="00A36A8A"/>
    <w:rsid w:val="00A57034"/>
    <w:rsid w:val="00AE182C"/>
    <w:rsid w:val="00AF1738"/>
    <w:rsid w:val="00BA55A9"/>
    <w:rsid w:val="00BD5FD9"/>
    <w:rsid w:val="00BF71F0"/>
    <w:rsid w:val="00C96838"/>
    <w:rsid w:val="00CC55B7"/>
    <w:rsid w:val="00CD1D6B"/>
    <w:rsid w:val="00D828B7"/>
    <w:rsid w:val="00DA78AF"/>
    <w:rsid w:val="00DC6223"/>
    <w:rsid w:val="00DF7DD6"/>
    <w:rsid w:val="00E5268A"/>
    <w:rsid w:val="00FB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44389"/>
  <w15:chartTrackingRefBased/>
  <w15:docId w15:val="{DB96C1FA-3D1A-4475-8E2E-2A94EA97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7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qFormat/>
    <w:rsid w:val="001C60C4"/>
    <w:pPr>
      <w:ind w:firstLineChars="200" w:firstLine="420"/>
    </w:pPr>
    <w:rPr>
      <w:szCs w:val="24"/>
      <w14:ligatures w14:val="none"/>
    </w:rPr>
  </w:style>
  <w:style w:type="paragraph" w:styleId="a4">
    <w:name w:val="header"/>
    <w:basedOn w:val="a"/>
    <w:link w:val="a5"/>
    <w:uiPriority w:val="99"/>
    <w:unhideWhenUsed/>
    <w:rsid w:val="00AF1738"/>
    <w:pPr>
      <w:tabs>
        <w:tab w:val="center" w:pos="4153"/>
        <w:tab w:val="right" w:pos="8306"/>
      </w:tabs>
      <w:snapToGrid w:val="0"/>
      <w:jc w:val="center"/>
    </w:pPr>
    <w:rPr>
      <w:sz w:val="18"/>
      <w:szCs w:val="18"/>
    </w:rPr>
  </w:style>
  <w:style w:type="character" w:customStyle="1" w:styleId="a5">
    <w:name w:val="页眉 字符"/>
    <w:basedOn w:val="a0"/>
    <w:link w:val="a4"/>
    <w:uiPriority w:val="99"/>
    <w:rsid w:val="00AF1738"/>
    <w:rPr>
      <w:sz w:val="18"/>
      <w:szCs w:val="18"/>
    </w:rPr>
  </w:style>
  <w:style w:type="paragraph" w:styleId="a6">
    <w:name w:val="footer"/>
    <w:basedOn w:val="a"/>
    <w:link w:val="a7"/>
    <w:uiPriority w:val="99"/>
    <w:unhideWhenUsed/>
    <w:rsid w:val="00AF1738"/>
    <w:pPr>
      <w:tabs>
        <w:tab w:val="center" w:pos="4153"/>
        <w:tab w:val="right" w:pos="8306"/>
      </w:tabs>
      <w:snapToGrid w:val="0"/>
      <w:jc w:val="left"/>
    </w:pPr>
    <w:rPr>
      <w:sz w:val="18"/>
      <w:szCs w:val="18"/>
    </w:rPr>
  </w:style>
  <w:style w:type="character" w:customStyle="1" w:styleId="a7">
    <w:name w:val="页脚 字符"/>
    <w:basedOn w:val="a0"/>
    <w:link w:val="a6"/>
    <w:uiPriority w:val="99"/>
    <w:rsid w:val="00AF1738"/>
    <w:rPr>
      <w:sz w:val="18"/>
      <w:szCs w:val="18"/>
    </w:rPr>
  </w:style>
  <w:style w:type="paragraph" w:styleId="a8">
    <w:name w:val="Body Text"/>
    <w:basedOn w:val="a"/>
    <w:link w:val="a9"/>
    <w:uiPriority w:val="99"/>
    <w:unhideWhenUsed/>
    <w:qFormat/>
    <w:rsid w:val="00DC6223"/>
    <w:pPr>
      <w:widowControl/>
      <w:kinsoku w:val="0"/>
      <w:autoSpaceDE w:val="0"/>
      <w:autoSpaceDN w:val="0"/>
      <w:adjustRightInd w:val="0"/>
      <w:snapToGrid w:val="0"/>
      <w:spacing w:before="278" w:after="100" w:afterAutospacing="1" w:line="480" w:lineRule="auto"/>
      <w:ind w:left="38"/>
      <w:textAlignment w:val="baseline"/>
    </w:pPr>
    <w:rPr>
      <w:rFonts w:ascii="Times New Roman" w:hAnsi="Times New Roman"/>
      <w:sz w:val="20"/>
      <w:szCs w:val="20"/>
    </w:rPr>
  </w:style>
  <w:style w:type="character" w:customStyle="1" w:styleId="a9">
    <w:name w:val="正文文本 字符"/>
    <w:basedOn w:val="a0"/>
    <w:link w:val="a8"/>
    <w:uiPriority w:val="99"/>
    <w:qFormat/>
    <w:rsid w:val="00DC6223"/>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1332</Words>
  <Characters>7598</Characters>
  <Application>Microsoft Office Word</Application>
  <DocSecurity>0</DocSecurity>
  <Lines>63</Lines>
  <Paragraphs>17</Paragraphs>
  <ScaleCrop>false</ScaleCrop>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weee juy</dc:creator>
  <cp:keywords/>
  <dc:description/>
  <cp:lastModifiedBy>weee juy</cp:lastModifiedBy>
  <cp:revision>14</cp:revision>
  <dcterms:created xsi:type="dcterms:W3CDTF">2024-09-10T00:40:00Z</dcterms:created>
  <dcterms:modified xsi:type="dcterms:W3CDTF">2026-02-07T13:56:00Z</dcterms:modified>
</cp:coreProperties>
</file>