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6C94" w14:textId="6E2D4EA3" w:rsidR="00442AD5" w:rsidRDefault="00442AD5" w:rsidP="001A4CED">
      <w:pPr>
        <w:spacing w:line="360" w:lineRule="auto"/>
        <w:jc w:val="both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en-US"/>
        </w:rPr>
        <w:t xml:space="preserve">Supplementary </w:t>
      </w:r>
    </w:p>
    <w:p w14:paraId="23EB762D" w14:textId="67956833" w:rsidR="001A4CED" w:rsidRPr="001A4CED" w:rsidRDefault="001A4CED" w:rsidP="001A4CED">
      <w:pPr>
        <w:spacing w:line="360" w:lineRule="auto"/>
        <w:jc w:val="both"/>
        <w:rPr>
          <w:rFonts w:ascii="Calibri" w:hAnsi="Calibri" w:cs="Calibri"/>
          <w:b/>
          <w:bCs/>
          <w:lang w:val="en-US"/>
        </w:rPr>
      </w:pPr>
      <w:r w:rsidRPr="001A4CED">
        <w:rPr>
          <w:rFonts w:ascii="Calibri" w:hAnsi="Calibri" w:cs="Calibri"/>
          <w:b/>
          <w:bCs/>
          <w:lang w:val="en-US"/>
        </w:rPr>
        <w:t>Materials and methods</w:t>
      </w:r>
    </w:p>
    <w:p w14:paraId="6A81267B" w14:textId="1AEA6721" w:rsidR="001A4CED" w:rsidRPr="001A4CED" w:rsidRDefault="001A4CED" w:rsidP="001A4CED">
      <w:pPr>
        <w:spacing w:after="0" w:line="360" w:lineRule="auto"/>
        <w:jc w:val="both"/>
        <w:rPr>
          <w:rFonts w:ascii="Calibri" w:hAnsi="Calibri" w:cs="Calibri"/>
          <w:b/>
          <w:bCs/>
          <w:lang w:val="en-US"/>
        </w:rPr>
      </w:pPr>
      <w:r w:rsidRPr="001A4CED">
        <w:rPr>
          <w:rFonts w:ascii="Calibri" w:hAnsi="Calibri" w:cs="Calibri"/>
          <w:b/>
          <w:bCs/>
          <w:lang w:val="en-US"/>
        </w:rPr>
        <w:t xml:space="preserve">Histological and Histochemical Analysis </w:t>
      </w:r>
    </w:p>
    <w:p w14:paraId="77AE3E28" w14:textId="6D3B66FA" w:rsidR="001A4CED" w:rsidRPr="001A4CED" w:rsidRDefault="001A4CED" w:rsidP="001A4CED">
      <w:pPr>
        <w:spacing w:after="0" w:line="360" w:lineRule="auto"/>
        <w:jc w:val="both"/>
        <w:rPr>
          <w:rFonts w:ascii="Calibri" w:hAnsi="Calibri" w:cs="Calibri"/>
          <w:lang w:val="en-US"/>
        </w:rPr>
      </w:pPr>
      <w:r w:rsidRPr="001A4CED">
        <w:rPr>
          <w:rFonts w:ascii="Calibri" w:hAnsi="Calibri" w:cs="Calibri"/>
          <w:lang w:val="en-US"/>
        </w:rPr>
        <w:t xml:space="preserve">Tissue specimens were frozen in isopentane-cooled liquid nitrogen and processed according to standard techniques. For histological analysis, 8 µm-thick cryosections were picked and processed for routine staining with Hematoxylin and Eosin (H&amp;E), Modified Gomori Trichrome (MGT), myosin ATPase (pH 9.4-4.6-4.3), cytochrome c oxidase (COX), succinate dehydrogenase (SDH), phosphatase acid, NADH dehydrogenase, Oil Red O and Periodic Acid Schiff (PAS). Lillie’s stain was performed for iron detection. </w:t>
      </w:r>
    </w:p>
    <w:p w14:paraId="72937FEF" w14:textId="77777777" w:rsidR="001A4CED" w:rsidRPr="001A4CED" w:rsidRDefault="001A4CED" w:rsidP="001A4CED">
      <w:pPr>
        <w:spacing w:after="0" w:line="360" w:lineRule="auto"/>
        <w:jc w:val="both"/>
        <w:rPr>
          <w:rFonts w:ascii="Calibri" w:hAnsi="Calibri" w:cs="Calibri"/>
          <w:lang w:val="en-US"/>
        </w:rPr>
      </w:pPr>
    </w:p>
    <w:p w14:paraId="5752F76D" w14:textId="2D831C74" w:rsidR="001A4CED" w:rsidRPr="001A4CED" w:rsidRDefault="001A4CED" w:rsidP="001A4CED">
      <w:pPr>
        <w:spacing w:after="0" w:line="360" w:lineRule="auto"/>
        <w:jc w:val="both"/>
        <w:rPr>
          <w:rFonts w:ascii="Calibri" w:hAnsi="Calibri" w:cs="Calibri"/>
          <w:b/>
          <w:bCs/>
          <w:lang w:val="en-US"/>
        </w:rPr>
      </w:pPr>
      <w:r w:rsidRPr="001A4CED">
        <w:rPr>
          <w:rFonts w:ascii="Calibri" w:hAnsi="Calibri" w:cs="Calibri"/>
          <w:b/>
          <w:bCs/>
          <w:lang w:val="en-US"/>
        </w:rPr>
        <w:t xml:space="preserve">Genetic analysis </w:t>
      </w:r>
    </w:p>
    <w:p w14:paraId="24EAF00F" w14:textId="77777777" w:rsidR="001A4CED" w:rsidRPr="001A4CED" w:rsidRDefault="001A4CED" w:rsidP="001A4CED">
      <w:pPr>
        <w:spacing w:after="0" w:line="360" w:lineRule="auto"/>
        <w:jc w:val="both"/>
        <w:rPr>
          <w:rFonts w:ascii="Calibri" w:hAnsi="Calibri" w:cs="Calibri"/>
          <w:lang w:val="en-US"/>
        </w:rPr>
      </w:pPr>
      <w:r w:rsidRPr="001A4CED">
        <w:rPr>
          <w:rFonts w:ascii="Calibri" w:hAnsi="Calibri" w:cs="Calibri"/>
          <w:lang w:val="en-GB"/>
        </w:rPr>
        <w:t xml:space="preserve">A written informed consent was obtained from the proband and the examined family members. </w:t>
      </w:r>
      <w:r w:rsidRPr="001A4CED">
        <w:rPr>
          <w:rFonts w:ascii="Calibri" w:hAnsi="Calibri" w:cs="Calibri"/>
          <w:lang w:val="en-US"/>
        </w:rPr>
        <w:t xml:space="preserve">NGS library setup was performed by using the Agilent </w:t>
      </w:r>
      <w:proofErr w:type="spellStart"/>
      <w:r w:rsidRPr="001A4CED">
        <w:rPr>
          <w:rFonts w:ascii="Calibri" w:hAnsi="Calibri" w:cs="Calibri"/>
          <w:lang w:val="en-US"/>
        </w:rPr>
        <w:t>SureSelect</w:t>
      </w:r>
      <w:proofErr w:type="spellEnd"/>
      <w:r w:rsidRPr="001A4CED">
        <w:rPr>
          <w:rFonts w:ascii="Calibri" w:hAnsi="Calibri" w:cs="Calibri"/>
          <w:lang w:val="en-US"/>
        </w:rPr>
        <w:t xml:space="preserve"> protocol (Clinical Focused Exome) followed by sequencing run on the Illumina </w:t>
      </w:r>
      <w:proofErr w:type="spellStart"/>
      <w:r w:rsidRPr="001A4CED">
        <w:rPr>
          <w:rFonts w:ascii="Calibri" w:hAnsi="Calibri" w:cs="Calibri"/>
          <w:lang w:val="en-US"/>
        </w:rPr>
        <w:t>NextSeq</w:t>
      </w:r>
      <w:proofErr w:type="spellEnd"/>
      <w:r w:rsidRPr="001A4CED">
        <w:rPr>
          <w:rFonts w:ascii="Calibri" w:hAnsi="Calibri" w:cs="Calibri"/>
          <w:lang w:val="en-US"/>
        </w:rPr>
        <w:t xml:space="preserve"> 2000 platform (Illumina, San Diego, USA). The run yielded an average read depth of 140X, with ≥20X depth of target regions read at 99%. Variant alignment and prioritization were performed by using the Alissa Reporter and Interpret modules. The variants identified were validated by paired-end Sanger sequencing on an ABI Prism 3130 instrument (Applied Biosystems, Waltham, MA, USA). </w:t>
      </w:r>
    </w:p>
    <w:p w14:paraId="640832A8" w14:textId="77777777" w:rsidR="001A4CED" w:rsidRPr="001A4CED" w:rsidRDefault="001A4CED" w:rsidP="001A4CED">
      <w:pPr>
        <w:spacing w:after="0" w:line="360" w:lineRule="auto"/>
        <w:jc w:val="both"/>
        <w:rPr>
          <w:rFonts w:ascii="Calibri" w:hAnsi="Calibri" w:cs="Calibri"/>
          <w:b/>
          <w:bCs/>
          <w:lang w:val="en-US"/>
        </w:rPr>
      </w:pPr>
    </w:p>
    <w:p w14:paraId="0796CF00" w14:textId="19E76236" w:rsidR="001A4CED" w:rsidRPr="00442AD5" w:rsidRDefault="001A4CED" w:rsidP="001A4CED">
      <w:pPr>
        <w:spacing w:after="0" w:line="360" w:lineRule="auto"/>
        <w:jc w:val="both"/>
        <w:rPr>
          <w:rFonts w:ascii="Calibri" w:hAnsi="Calibri" w:cs="Calibri"/>
          <w:b/>
          <w:bCs/>
          <w:lang w:val="en-US"/>
        </w:rPr>
      </w:pPr>
      <w:r w:rsidRPr="001A4CED">
        <w:rPr>
          <w:rFonts w:ascii="Calibri" w:hAnsi="Calibri" w:cs="Calibri"/>
          <w:b/>
          <w:bCs/>
          <w:lang w:val="en-US"/>
        </w:rPr>
        <w:t>MHY2 transcripts evaluation</w:t>
      </w:r>
    </w:p>
    <w:p w14:paraId="3F8FDCCF" w14:textId="6513D0DE" w:rsidR="001A4CED" w:rsidRPr="001A4CED" w:rsidRDefault="001A4CED" w:rsidP="001A4CED">
      <w:pPr>
        <w:spacing w:after="0" w:line="360" w:lineRule="auto"/>
        <w:jc w:val="both"/>
        <w:rPr>
          <w:rFonts w:ascii="Calibri" w:hAnsi="Calibri" w:cs="Calibri"/>
          <w:color w:val="000000" w:themeColor="text1"/>
          <w:lang w:val="en-GB"/>
        </w:rPr>
      </w:pPr>
      <w:r w:rsidRPr="001A4CED">
        <w:rPr>
          <w:rFonts w:ascii="Calibri" w:hAnsi="Calibri" w:cs="Calibri"/>
          <w:color w:val="000000" w:themeColor="text1"/>
          <w:lang w:val="en-US"/>
        </w:rPr>
        <w:t xml:space="preserve">To determine the effect of </w:t>
      </w:r>
      <w:r w:rsidRPr="00511B36">
        <w:rPr>
          <w:rFonts w:ascii="Calibri" w:hAnsi="Calibri" w:cs="Calibri"/>
          <w:lang w:val="en-US"/>
        </w:rPr>
        <w:t xml:space="preserve">the variants </w:t>
      </w:r>
      <w:r w:rsidRPr="001A4CED">
        <w:rPr>
          <w:rFonts w:ascii="Calibri" w:hAnsi="Calibri" w:cs="Calibri"/>
          <w:color w:val="000000" w:themeColor="text1"/>
          <w:lang w:val="en-US"/>
        </w:rPr>
        <w:t>on </w:t>
      </w:r>
      <w:r w:rsidRPr="001A4CED">
        <w:rPr>
          <w:rFonts w:ascii="Calibri" w:hAnsi="Calibri" w:cs="Calibri"/>
          <w:i/>
          <w:iCs/>
          <w:color w:val="000000" w:themeColor="text1"/>
          <w:lang w:val="en-US"/>
        </w:rPr>
        <w:t>MYH2</w:t>
      </w:r>
      <w:r w:rsidRPr="001A4CED">
        <w:rPr>
          <w:rFonts w:ascii="Calibri" w:hAnsi="Calibri" w:cs="Calibri"/>
          <w:color w:val="000000" w:themeColor="text1"/>
          <w:lang w:val="en-US"/>
        </w:rPr>
        <w:t xml:space="preserve"> gene expression, analysis of the relative levels of expression of different isoforms of </w:t>
      </w:r>
      <w:proofErr w:type="spellStart"/>
      <w:r w:rsidRPr="001A4CED">
        <w:rPr>
          <w:rFonts w:ascii="Calibri" w:hAnsi="Calibri" w:cs="Calibri"/>
          <w:color w:val="000000" w:themeColor="text1"/>
          <w:lang w:val="en-US"/>
        </w:rPr>
        <w:t>MyHC</w:t>
      </w:r>
      <w:proofErr w:type="spellEnd"/>
      <w:r w:rsidRPr="001A4CED">
        <w:rPr>
          <w:rFonts w:ascii="Calibri" w:hAnsi="Calibri" w:cs="Calibri"/>
          <w:color w:val="000000" w:themeColor="text1"/>
          <w:lang w:val="en-US"/>
        </w:rPr>
        <w:t xml:space="preserve"> mRNA was performed by RT-PCR followed by cDNA fragments analysis according to a method previously </w:t>
      </w:r>
      <w:r w:rsidRPr="00246CDF">
        <w:rPr>
          <w:rFonts w:ascii="Calibri" w:hAnsi="Calibri" w:cs="Calibri"/>
          <w:color w:val="000000" w:themeColor="text1"/>
          <w:lang w:val="en-US"/>
        </w:rPr>
        <w:t xml:space="preserve">described </w:t>
      </w:r>
      <w:r w:rsidRPr="00246CDF">
        <w:rPr>
          <w:rFonts w:ascii="Calibri" w:hAnsi="Calibri" w:cs="Calibri"/>
          <w:lang w:val="en-GB"/>
        </w:rPr>
        <w:t>[</w:t>
      </w:r>
      <w:proofErr w:type="spellStart"/>
      <w:r w:rsidR="00246CDF" w:rsidRPr="00246CDF">
        <w:rPr>
          <w:rFonts w:ascii="Calibri" w:hAnsi="Calibri" w:cs="Calibri"/>
          <w:i/>
          <w:iCs/>
          <w:lang w:val="en-GB"/>
        </w:rPr>
        <w:t>Tajsharghi</w:t>
      </w:r>
      <w:proofErr w:type="spellEnd"/>
      <w:r w:rsidR="00246CDF" w:rsidRPr="00246CDF">
        <w:rPr>
          <w:rFonts w:ascii="Calibri" w:hAnsi="Calibri" w:cs="Calibri"/>
          <w:i/>
          <w:iCs/>
          <w:lang w:val="en-GB"/>
        </w:rPr>
        <w:t xml:space="preserve"> H, Thornell LE, Darin N, Martinsson T, </w:t>
      </w:r>
      <w:proofErr w:type="spellStart"/>
      <w:r w:rsidR="00246CDF" w:rsidRPr="00246CDF">
        <w:rPr>
          <w:rFonts w:ascii="Calibri" w:hAnsi="Calibri" w:cs="Calibri"/>
          <w:i/>
          <w:iCs/>
          <w:lang w:val="en-GB"/>
        </w:rPr>
        <w:t>Kyllerman</w:t>
      </w:r>
      <w:proofErr w:type="spellEnd"/>
      <w:r w:rsidR="00246CDF" w:rsidRPr="00246CDF">
        <w:rPr>
          <w:rFonts w:ascii="Calibri" w:hAnsi="Calibri" w:cs="Calibri"/>
          <w:i/>
          <w:iCs/>
          <w:lang w:val="en-GB"/>
        </w:rPr>
        <w:t xml:space="preserve"> M, </w:t>
      </w:r>
      <w:proofErr w:type="spellStart"/>
      <w:r w:rsidR="00246CDF" w:rsidRPr="00246CDF">
        <w:rPr>
          <w:rFonts w:ascii="Calibri" w:hAnsi="Calibri" w:cs="Calibri"/>
          <w:i/>
          <w:iCs/>
          <w:lang w:val="en-GB"/>
        </w:rPr>
        <w:t>Wahlström</w:t>
      </w:r>
      <w:proofErr w:type="spellEnd"/>
      <w:r w:rsidR="00246CDF" w:rsidRPr="00246CDF">
        <w:rPr>
          <w:rFonts w:ascii="Calibri" w:hAnsi="Calibri" w:cs="Calibri"/>
          <w:i/>
          <w:iCs/>
          <w:lang w:val="en-GB"/>
        </w:rPr>
        <w:t xml:space="preserve"> J, </w:t>
      </w:r>
      <w:proofErr w:type="spellStart"/>
      <w:r w:rsidR="00246CDF" w:rsidRPr="00246CDF">
        <w:rPr>
          <w:rFonts w:ascii="Calibri" w:hAnsi="Calibri" w:cs="Calibri"/>
          <w:i/>
          <w:iCs/>
          <w:lang w:val="en-GB"/>
        </w:rPr>
        <w:t>Oldfors</w:t>
      </w:r>
      <w:proofErr w:type="spellEnd"/>
      <w:r w:rsidR="00246CDF" w:rsidRPr="00246CDF">
        <w:rPr>
          <w:rFonts w:ascii="Calibri" w:hAnsi="Calibri" w:cs="Calibri"/>
          <w:i/>
          <w:iCs/>
          <w:lang w:val="en-GB"/>
        </w:rPr>
        <w:t xml:space="preserve"> A. Myosin heavy chain </w:t>
      </w:r>
      <w:proofErr w:type="spellStart"/>
      <w:r w:rsidR="00246CDF" w:rsidRPr="00246CDF">
        <w:rPr>
          <w:rFonts w:ascii="Calibri" w:hAnsi="Calibri" w:cs="Calibri"/>
          <w:i/>
          <w:iCs/>
          <w:lang w:val="en-GB"/>
        </w:rPr>
        <w:t>IIa</w:t>
      </w:r>
      <w:proofErr w:type="spellEnd"/>
      <w:r w:rsidR="00246CDF" w:rsidRPr="00246CDF">
        <w:rPr>
          <w:rFonts w:ascii="Calibri" w:hAnsi="Calibri" w:cs="Calibri"/>
          <w:i/>
          <w:iCs/>
          <w:lang w:val="en-GB"/>
        </w:rPr>
        <w:t xml:space="preserve"> gene mutation E706K is pathogenic and its expression increases with age. Neurology. 2002; </w:t>
      </w:r>
      <w:proofErr w:type="spellStart"/>
      <w:r w:rsidR="00246CDF" w:rsidRPr="00246CDF">
        <w:rPr>
          <w:rFonts w:ascii="Calibri" w:hAnsi="Calibri" w:cs="Calibri"/>
          <w:i/>
          <w:iCs/>
          <w:lang w:val="en-GB"/>
        </w:rPr>
        <w:t>doi</w:t>
      </w:r>
      <w:proofErr w:type="spellEnd"/>
      <w:r w:rsidR="00246CDF" w:rsidRPr="00246CDF">
        <w:rPr>
          <w:rFonts w:ascii="Calibri" w:hAnsi="Calibri" w:cs="Calibri"/>
          <w:i/>
          <w:iCs/>
          <w:lang w:val="en-GB"/>
        </w:rPr>
        <w:t>: 10.1212/wnl.58.5.780</w:t>
      </w:r>
      <w:r w:rsidRPr="00246CDF">
        <w:rPr>
          <w:rFonts w:ascii="Calibri" w:hAnsi="Calibri" w:cs="Calibri"/>
          <w:color w:val="000000" w:themeColor="text1"/>
          <w:lang w:val="en-GB"/>
        </w:rPr>
        <w:t>]</w:t>
      </w:r>
      <w:r w:rsidRPr="00246CDF">
        <w:rPr>
          <w:rFonts w:ascii="Calibri" w:hAnsi="Calibri" w:cs="Calibri"/>
          <w:color w:val="000000" w:themeColor="text1"/>
          <w:lang w:val="en-US"/>
        </w:rPr>
        <w:t>.</w:t>
      </w:r>
      <w:r w:rsidRPr="001A4CED">
        <w:rPr>
          <w:rFonts w:ascii="Calibri" w:hAnsi="Calibri" w:cs="Calibri"/>
          <w:color w:val="000000" w:themeColor="text1"/>
          <w:lang w:val="en-US"/>
        </w:rPr>
        <w:t xml:space="preserve"> </w:t>
      </w:r>
      <w:r w:rsidRPr="001A4CED">
        <w:rPr>
          <w:rFonts w:ascii="Calibri" w:hAnsi="Calibri" w:cs="Calibri"/>
          <w:color w:val="000000" w:themeColor="text1"/>
          <w:lang w:val="en-GB"/>
        </w:rPr>
        <w:t xml:space="preserve">Skeletal muscle mRNA was extracted from patient and control specimens of </w:t>
      </w:r>
      <w:r w:rsidRPr="001A4CED">
        <w:rPr>
          <w:rFonts w:ascii="Calibri" w:hAnsi="Calibri" w:cs="Calibri"/>
          <w:color w:val="000000" w:themeColor="text1"/>
          <w:lang w:val="en-US"/>
        </w:rPr>
        <w:t>vastus lateralis muscle</w:t>
      </w:r>
      <w:r w:rsidRPr="001A4CED">
        <w:rPr>
          <w:rFonts w:ascii="Calibri" w:hAnsi="Calibri" w:cs="Calibri"/>
          <w:color w:val="000000" w:themeColor="text1"/>
          <w:lang w:val="en-GB"/>
        </w:rPr>
        <w:t xml:space="preserve"> using </w:t>
      </w:r>
      <w:proofErr w:type="spellStart"/>
      <w:r w:rsidRPr="001A4CED">
        <w:rPr>
          <w:rFonts w:ascii="Calibri" w:hAnsi="Calibri" w:cs="Calibri"/>
          <w:color w:val="000000" w:themeColor="text1"/>
          <w:lang w:val="en-GB"/>
        </w:rPr>
        <w:t>ReliaPrep</w:t>
      </w:r>
      <w:r w:rsidRPr="001A4CED">
        <w:rPr>
          <w:rFonts w:ascii="Calibri" w:hAnsi="Calibri" w:cs="Calibri"/>
          <w:color w:val="000000" w:themeColor="text1"/>
          <w:vertAlign w:val="superscript"/>
          <w:lang w:val="en-GB"/>
        </w:rPr>
        <w:t>TM</w:t>
      </w:r>
      <w:proofErr w:type="spellEnd"/>
      <w:r w:rsidRPr="001A4CED">
        <w:rPr>
          <w:rFonts w:ascii="Calibri" w:hAnsi="Calibri" w:cs="Calibri"/>
          <w:color w:val="000000" w:themeColor="text1"/>
          <w:lang w:val="en-GB"/>
        </w:rPr>
        <w:t xml:space="preserve"> RNA Tissue Miniprep System (Promega, Madison, WI, USA) and was reverse transcribed (1 µg) using Ready-To-</w:t>
      </w:r>
      <w:proofErr w:type="spellStart"/>
      <w:r w:rsidRPr="001A4CED">
        <w:rPr>
          <w:rFonts w:ascii="Calibri" w:hAnsi="Calibri" w:cs="Calibri"/>
          <w:color w:val="000000" w:themeColor="text1"/>
          <w:lang w:val="en-GB"/>
        </w:rPr>
        <w:t>Go</w:t>
      </w:r>
      <w:r w:rsidRPr="001A4CED">
        <w:rPr>
          <w:rFonts w:ascii="Calibri" w:hAnsi="Calibri" w:cs="Calibri"/>
          <w:color w:val="000000" w:themeColor="text1"/>
          <w:vertAlign w:val="superscript"/>
          <w:lang w:val="en-GB"/>
        </w:rPr>
        <w:t>TM</w:t>
      </w:r>
      <w:proofErr w:type="spellEnd"/>
      <w:r w:rsidRPr="001A4CED">
        <w:rPr>
          <w:rFonts w:ascii="Calibri" w:hAnsi="Calibri" w:cs="Calibri"/>
          <w:color w:val="000000" w:themeColor="text1"/>
          <w:lang w:val="en-GB"/>
        </w:rPr>
        <w:t xml:space="preserve"> You-Prime First-Strand Beads (GE Healthcare, Little Chalfont, UK). PCR fragments were separated on an ABI PRISM 3130xl Genetic Analyzer (Applied Biosystem) and analysed using </w:t>
      </w:r>
      <w:proofErr w:type="spellStart"/>
      <w:r w:rsidRPr="001A4CED">
        <w:rPr>
          <w:rFonts w:ascii="Calibri" w:hAnsi="Calibri" w:cs="Calibri"/>
          <w:color w:val="000000" w:themeColor="text1"/>
          <w:lang w:val="en-GB"/>
        </w:rPr>
        <w:t>GeneMapper</w:t>
      </w:r>
      <w:proofErr w:type="spellEnd"/>
      <w:r w:rsidRPr="001A4CED">
        <w:rPr>
          <w:rFonts w:ascii="Calibri" w:hAnsi="Calibri" w:cs="Calibri"/>
          <w:color w:val="000000" w:themeColor="text1"/>
          <w:lang w:val="en-GB"/>
        </w:rPr>
        <w:t xml:space="preserve"> 5 (Applied Biosystem).</w:t>
      </w:r>
    </w:p>
    <w:p w14:paraId="0D16D8AE" w14:textId="77777777" w:rsidR="001A4CED" w:rsidRPr="001A4CED" w:rsidRDefault="001A4CED" w:rsidP="001A4CED">
      <w:pPr>
        <w:spacing w:after="0" w:line="360" w:lineRule="auto"/>
        <w:jc w:val="both"/>
        <w:rPr>
          <w:rFonts w:ascii="Calibri" w:hAnsi="Calibri" w:cs="Calibri"/>
          <w:b/>
          <w:bCs/>
          <w:lang w:val="en-US"/>
        </w:rPr>
      </w:pPr>
    </w:p>
    <w:p w14:paraId="0525A1D4" w14:textId="5CAF83D0" w:rsidR="001A4CED" w:rsidRPr="001A4CED" w:rsidRDefault="001A4CED" w:rsidP="001A4CED">
      <w:pPr>
        <w:spacing w:after="0" w:line="360" w:lineRule="auto"/>
        <w:jc w:val="both"/>
        <w:rPr>
          <w:rFonts w:ascii="Calibri" w:hAnsi="Calibri" w:cs="Calibri"/>
          <w:b/>
          <w:bCs/>
          <w:lang w:val="en-US"/>
        </w:rPr>
      </w:pPr>
      <w:r w:rsidRPr="001A4CED">
        <w:rPr>
          <w:rFonts w:ascii="Calibri" w:hAnsi="Calibri" w:cs="Calibri"/>
          <w:b/>
          <w:bCs/>
          <w:lang w:val="en-US"/>
        </w:rPr>
        <w:t xml:space="preserve">Muscle Section Immunofluorescence Staining </w:t>
      </w:r>
    </w:p>
    <w:p w14:paraId="0FBE07B4" w14:textId="77777777" w:rsidR="001A4CED" w:rsidRPr="001A4CED" w:rsidRDefault="001A4CED" w:rsidP="001A4CED">
      <w:pPr>
        <w:spacing w:after="0" w:line="360" w:lineRule="auto"/>
        <w:jc w:val="both"/>
        <w:rPr>
          <w:rFonts w:ascii="Calibri" w:hAnsi="Calibri" w:cs="Calibri"/>
          <w:lang w:val="en-US"/>
        </w:rPr>
      </w:pPr>
      <w:r w:rsidRPr="001A4CED">
        <w:rPr>
          <w:rFonts w:ascii="Calibri" w:hAnsi="Calibri" w:cs="Calibri"/>
          <w:lang w:val="en-US"/>
        </w:rPr>
        <w:t>Immunofluorescence staining was performed on 8 µm-thick cryostat sections using the following antibodies: anti-slow-</w:t>
      </w:r>
      <w:proofErr w:type="spellStart"/>
      <w:r w:rsidRPr="001A4CED">
        <w:rPr>
          <w:rFonts w:ascii="Calibri" w:hAnsi="Calibri" w:cs="Calibri"/>
          <w:lang w:val="en-US"/>
        </w:rPr>
        <w:t>MyHC</w:t>
      </w:r>
      <w:proofErr w:type="spellEnd"/>
      <w:r w:rsidRPr="001A4CED">
        <w:rPr>
          <w:rFonts w:ascii="Calibri" w:hAnsi="Calibri" w:cs="Calibri"/>
          <w:lang w:val="en-US"/>
        </w:rPr>
        <w:t xml:space="preserve"> (mouse monoclonal 1:100; Millipore, Burlington, MA, USA), </w:t>
      </w:r>
      <w:bookmarkStart w:id="0" w:name="_Hlk163478670"/>
      <w:r w:rsidRPr="001A4CED">
        <w:rPr>
          <w:rFonts w:ascii="Calibri" w:hAnsi="Calibri" w:cs="Calibri"/>
          <w:lang w:val="en-US"/>
        </w:rPr>
        <w:t>anti-</w:t>
      </w:r>
      <w:proofErr w:type="spellStart"/>
      <w:r w:rsidRPr="001A4CED">
        <w:rPr>
          <w:rFonts w:ascii="Calibri" w:hAnsi="Calibri" w:cs="Calibri"/>
          <w:color w:val="000000"/>
          <w:shd w:val="clear" w:color="auto" w:fill="FFFFFF"/>
          <w:lang w:val="en-US"/>
        </w:rPr>
        <w:t>MyHC</w:t>
      </w:r>
      <w:proofErr w:type="spellEnd"/>
      <w:r w:rsidRPr="001A4CED">
        <w:rPr>
          <w:rFonts w:ascii="Calibri" w:hAnsi="Calibri" w:cs="Calibri"/>
          <w:color w:val="000000"/>
          <w:shd w:val="clear" w:color="auto" w:fill="FFFFFF"/>
          <w:lang w:val="en-US"/>
        </w:rPr>
        <w:t>-</w:t>
      </w:r>
      <w:proofErr w:type="spellStart"/>
      <w:r w:rsidRPr="001A4CED">
        <w:rPr>
          <w:rFonts w:ascii="Calibri" w:hAnsi="Calibri" w:cs="Calibri"/>
          <w:color w:val="000000"/>
          <w:shd w:val="clear" w:color="auto" w:fill="FFFFFF"/>
          <w:lang w:val="en-US"/>
        </w:rPr>
        <w:t>IIa</w:t>
      </w:r>
      <w:proofErr w:type="spellEnd"/>
      <w:r w:rsidRPr="001A4CED">
        <w:rPr>
          <w:rFonts w:ascii="Calibri" w:hAnsi="Calibri" w:cs="Calibri"/>
          <w:lang w:val="en-US"/>
        </w:rPr>
        <w:t xml:space="preserve"> (mouse monoclonal, 1:50: Developmental Studies Hybridoma Bank DSHB, Iowa City, IA, USA</w:t>
      </w:r>
      <w:bookmarkEnd w:id="0"/>
      <w:r w:rsidRPr="001A4CED">
        <w:rPr>
          <w:rFonts w:ascii="Calibri" w:hAnsi="Calibri" w:cs="Calibri"/>
          <w:lang w:val="en-US"/>
        </w:rPr>
        <w:t xml:space="preserve">), anti-desmin (mouse monoclonal, 1:100; </w:t>
      </w:r>
      <w:proofErr w:type="spellStart"/>
      <w:r w:rsidRPr="001A4CED">
        <w:rPr>
          <w:rFonts w:ascii="Calibri" w:hAnsi="Calibri" w:cs="Calibri"/>
          <w:lang w:val="en-US"/>
        </w:rPr>
        <w:t>Chemicon</w:t>
      </w:r>
      <w:proofErr w:type="spellEnd"/>
      <w:r w:rsidRPr="001A4CED">
        <w:rPr>
          <w:rFonts w:ascii="Calibri" w:hAnsi="Calibri" w:cs="Calibri"/>
          <w:lang w:val="en-US"/>
        </w:rPr>
        <w:t xml:space="preserve">, Temecula, CA, USA), anti-myotilin (mouse monoclonal, 1:200; </w:t>
      </w:r>
      <w:proofErr w:type="spellStart"/>
      <w:r w:rsidRPr="001A4CED">
        <w:rPr>
          <w:rFonts w:ascii="Calibri" w:hAnsi="Calibri" w:cs="Calibri"/>
          <w:lang w:val="en-US"/>
        </w:rPr>
        <w:t>Novocastra</w:t>
      </w:r>
      <w:proofErr w:type="spellEnd"/>
      <w:r w:rsidRPr="001A4CED">
        <w:rPr>
          <w:rFonts w:ascii="Calibri" w:hAnsi="Calibri" w:cs="Calibri"/>
          <w:lang w:val="en-US"/>
        </w:rPr>
        <w:t xml:space="preserve">, </w:t>
      </w:r>
      <w:proofErr w:type="spellStart"/>
      <w:r w:rsidRPr="001A4CED">
        <w:rPr>
          <w:rFonts w:ascii="Calibri" w:hAnsi="Calibri" w:cs="Calibri"/>
          <w:lang w:val="en-US"/>
        </w:rPr>
        <w:t>Nussloch</w:t>
      </w:r>
      <w:proofErr w:type="spellEnd"/>
      <w:r w:rsidRPr="001A4CED">
        <w:rPr>
          <w:rFonts w:ascii="Calibri" w:hAnsi="Calibri" w:cs="Calibri"/>
          <w:lang w:val="en-US"/>
        </w:rPr>
        <w:t xml:space="preserve">, Germany), anti-titin (mouse monoclonal, 1:500; </w:t>
      </w:r>
      <w:proofErr w:type="spellStart"/>
      <w:r w:rsidRPr="001A4CED">
        <w:rPr>
          <w:rFonts w:ascii="Calibri" w:hAnsi="Calibri" w:cs="Calibri"/>
          <w:lang w:val="en-US"/>
        </w:rPr>
        <w:t>Chemicon</w:t>
      </w:r>
      <w:proofErr w:type="spellEnd"/>
      <w:r w:rsidRPr="001A4CED">
        <w:rPr>
          <w:rFonts w:ascii="Calibri" w:hAnsi="Calibri" w:cs="Calibri"/>
          <w:lang w:val="en-US"/>
        </w:rPr>
        <w:t xml:space="preserve">), anti-nebulin (mouse monoclonal, 1:100; Sigma, St. Louis , MO, USA), anti-α-actinin (1:100, mouse monoclonal; </w:t>
      </w:r>
      <w:proofErr w:type="spellStart"/>
      <w:r w:rsidRPr="001A4CED">
        <w:rPr>
          <w:rFonts w:ascii="Calibri" w:hAnsi="Calibri" w:cs="Calibri"/>
          <w:lang w:val="en-US"/>
        </w:rPr>
        <w:t>Chemicon</w:t>
      </w:r>
      <w:proofErr w:type="spellEnd"/>
      <w:r w:rsidRPr="001A4CED">
        <w:rPr>
          <w:rFonts w:ascii="Calibri" w:hAnsi="Calibri" w:cs="Calibri"/>
          <w:lang w:val="en-US"/>
        </w:rPr>
        <w:t xml:space="preserve">), anti-αB-crystallin </w:t>
      </w:r>
      <w:r w:rsidRPr="001A4CED">
        <w:rPr>
          <w:rFonts w:ascii="Calibri" w:hAnsi="Calibri" w:cs="Calibri"/>
          <w:lang w:val="en-US"/>
        </w:rPr>
        <w:lastRenderedPageBreak/>
        <w:t xml:space="preserve">(rabbit polyclonal, 1:100, </w:t>
      </w:r>
      <w:proofErr w:type="spellStart"/>
      <w:r w:rsidRPr="001A4CED">
        <w:rPr>
          <w:rFonts w:ascii="Calibri" w:hAnsi="Calibri" w:cs="Calibri"/>
          <w:lang w:val="en-US"/>
        </w:rPr>
        <w:t>Chemicon</w:t>
      </w:r>
      <w:proofErr w:type="spellEnd"/>
      <w:r w:rsidRPr="001A4CED">
        <w:rPr>
          <w:rFonts w:ascii="Calibri" w:hAnsi="Calibri" w:cs="Calibri"/>
          <w:lang w:val="en-US"/>
        </w:rPr>
        <w:t xml:space="preserve">), anti-p62 (1:100, rabbit polyclonal; Abcam, Cambridge, UK), anti-TDP43 (rabbit polyclonal, 1:100; </w:t>
      </w:r>
      <w:proofErr w:type="spellStart"/>
      <w:r w:rsidRPr="001A4CED">
        <w:rPr>
          <w:rFonts w:ascii="Calibri" w:hAnsi="Calibri" w:cs="Calibri"/>
          <w:lang w:val="en-US"/>
        </w:rPr>
        <w:t>Proteintech</w:t>
      </w:r>
      <w:proofErr w:type="spellEnd"/>
      <w:r w:rsidRPr="001A4CED">
        <w:rPr>
          <w:rFonts w:ascii="Calibri" w:hAnsi="Calibri" w:cs="Calibri"/>
          <w:lang w:val="en-US"/>
        </w:rPr>
        <w:t xml:space="preserve"> </w:t>
      </w:r>
      <w:proofErr w:type="spellStart"/>
      <w:r w:rsidRPr="001A4CED">
        <w:rPr>
          <w:rFonts w:ascii="Calibri" w:hAnsi="Calibri" w:cs="Calibri"/>
          <w:lang w:val="en-US"/>
        </w:rPr>
        <w:t>Planegg-Martinsried</w:t>
      </w:r>
      <w:proofErr w:type="spellEnd"/>
      <w:r w:rsidRPr="001A4CED">
        <w:rPr>
          <w:rFonts w:ascii="Calibri" w:hAnsi="Calibri" w:cs="Calibri"/>
          <w:lang w:val="en-US"/>
        </w:rPr>
        <w:t xml:space="preserve">, Germany). Anti-laminin-α2 (rabbit polyclonal, 1:200; ThermoFisher, Waltham, MA, USA) and anti-caveolin-3 (1:1000, mouse monoclonal; BD Transduction, East Rutherford, NJ, USA) were used for counterstaining fiber membranes. Slides were then incubated with the appropriate secondary antibody conjugated to Alexa 488 or Alexa 568 (1:1000, Invitrogen Life Technologies). Sections were mounted in </w:t>
      </w:r>
      <w:proofErr w:type="spellStart"/>
      <w:r w:rsidRPr="001A4CED">
        <w:rPr>
          <w:rFonts w:ascii="Calibri" w:hAnsi="Calibri" w:cs="Calibri"/>
          <w:lang w:val="en-US"/>
        </w:rPr>
        <w:t>Vectashield</w:t>
      </w:r>
      <w:proofErr w:type="spellEnd"/>
      <w:r w:rsidRPr="001A4CED">
        <w:rPr>
          <w:rFonts w:ascii="Calibri" w:hAnsi="Calibri" w:cs="Calibri"/>
          <w:lang w:val="en-US"/>
        </w:rPr>
        <w:t xml:space="preserve"> anti-fade mounting medium containing DAPI (Vector Laboratories, Burlingame, CA, USA) for counterstaining nuclei. Image fields were acquired using optical microscope Leica DM4000B equipped with camera (DFC420C; Leica, Wetzlar, Germany). </w:t>
      </w:r>
    </w:p>
    <w:p w14:paraId="083A3506" w14:textId="77777777" w:rsidR="001A4CED" w:rsidRPr="001A4CED" w:rsidRDefault="001A4CED" w:rsidP="001A4CED">
      <w:pPr>
        <w:spacing w:after="0" w:line="360" w:lineRule="auto"/>
        <w:jc w:val="both"/>
        <w:rPr>
          <w:rFonts w:ascii="Calibri" w:hAnsi="Calibri" w:cs="Calibri"/>
          <w:lang w:val="en-US"/>
        </w:rPr>
      </w:pPr>
    </w:p>
    <w:p w14:paraId="6CF79855" w14:textId="5460A65E" w:rsidR="001A4CED" w:rsidRPr="001A4CED" w:rsidRDefault="001A4CED" w:rsidP="001A4CED">
      <w:pPr>
        <w:spacing w:after="0" w:line="360" w:lineRule="auto"/>
        <w:jc w:val="both"/>
        <w:rPr>
          <w:rFonts w:ascii="Calibri" w:hAnsi="Calibri" w:cs="Calibri"/>
          <w:b/>
          <w:bCs/>
          <w:lang w:val="en-US"/>
        </w:rPr>
      </w:pPr>
      <w:r w:rsidRPr="001A4CED">
        <w:rPr>
          <w:rFonts w:ascii="Calibri" w:hAnsi="Calibri" w:cs="Calibri"/>
          <w:b/>
          <w:bCs/>
          <w:lang w:val="en-US"/>
        </w:rPr>
        <w:t>Western blot</w:t>
      </w:r>
    </w:p>
    <w:p w14:paraId="719BDB3A" w14:textId="77777777" w:rsidR="001A4CED" w:rsidRPr="001A4CED" w:rsidRDefault="001A4CED" w:rsidP="001A4CED">
      <w:pPr>
        <w:spacing w:after="0" w:line="360" w:lineRule="auto"/>
        <w:jc w:val="both"/>
        <w:rPr>
          <w:rFonts w:ascii="Calibri" w:hAnsi="Calibri" w:cs="Calibri"/>
          <w:lang w:val="en-GB"/>
        </w:rPr>
      </w:pPr>
      <w:r w:rsidRPr="001A4CED">
        <w:rPr>
          <w:rFonts w:ascii="Calibri" w:hAnsi="Calibri" w:cs="Calibri"/>
          <w:lang w:val="en-GB"/>
        </w:rPr>
        <w:t xml:space="preserve">Western blotting was performed on muscle homogenates from our patient and controls. 25 and 50 µg of samples were electrophoresed on Bolt Bis-Tris-Plus Mini Protein Gels (gradient 4-12%; ThermoFisher) and transferred onto LF-PVDF membranes (Bio-Rad, Hercules, CA, USA). Membrane was probed with </w:t>
      </w:r>
      <w:r w:rsidRPr="001A4CED">
        <w:rPr>
          <w:rFonts w:ascii="Calibri" w:hAnsi="Calibri" w:cs="Calibri"/>
          <w:lang w:val="en-US"/>
        </w:rPr>
        <w:t>anti-</w:t>
      </w:r>
      <w:proofErr w:type="spellStart"/>
      <w:r w:rsidRPr="001A4CED">
        <w:rPr>
          <w:rFonts w:ascii="Calibri" w:hAnsi="Calibri" w:cs="Calibri"/>
          <w:lang w:val="en-US"/>
        </w:rPr>
        <w:t>MyHC</w:t>
      </w:r>
      <w:proofErr w:type="spellEnd"/>
      <w:r w:rsidRPr="001A4CED">
        <w:rPr>
          <w:rFonts w:ascii="Calibri" w:hAnsi="Calibri" w:cs="Calibri"/>
          <w:lang w:val="en-US"/>
        </w:rPr>
        <w:t>-</w:t>
      </w:r>
      <w:proofErr w:type="spellStart"/>
      <w:r w:rsidRPr="001A4CED">
        <w:rPr>
          <w:rFonts w:ascii="Calibri" w:hAnsi="Calibri" w:cs="Calibri"/>
          <w:lang w:val="en-US"/>
        </w:rPr>
        <w:t>IIa</w:t>
      </w:r>
      <w:proofErr w:type="spellEnd"/>
      <w:r w:rsidRPr="001A4CED">
        <w:rPr>
          <w:rFonts w:ascii="Calibri" w:hAnsi="Calibri" w:cs="Calibri"/>
          <w:lang w:val="en-US"/>
        </w:rPr>
        <w:t xml:space="preserve"> (mouse monoclonal, 1:500; DSHB).</w:t>
      </w:r>
    </w:p>
    <w:p w14:paraId="03364512" w14:textId="77777777" w:rsidR="001A4CED" w:rsidRPr="001A4CED" w:rsidRDefault="001A4CED" w:rsidP="001A4CED">
      <w:pPr>
        <w:spacing w:after="0" w:line="360" w:lineRule="auto"/>
        <w:jc w:val="both"/>
        <w:rPr>
          <w:rFonts w:ascii="Calibri" w:hAnsi="Calibri" w:cs="Calibri"/>
          <w:i/>
          <w:iCs/>
          <w:lang w:val="en-GB"/>
        </w:rPr>
      </w:pPr>
      <w:r w:rsidRPr="001A4CED">
        <w:rPr>
          <w:rFonts w:ascii="Calibri" w:hAnsi="Calibri" w:cs="Calibri"/>
          <w:lang w:val="en-GB"/>
        </w:rPr>
        <w:t>Actin (monoclonal antibody, 1:4000 Sigma Aldrich) was used as indicator of protein loaded. The membranes were incubated with rabbit or mouse-HRP secondary antibodies</w:t>
      </w:r>
      <w:r w:rsidRPr="001A4CED">
        <w:rPr>
          <w:rFonts w:ascii="Calibri" w:hAnsi="Calibri" w:cs="Calibri"/>
          <w:i/>
          <w:iCs/>
          <w:lang w:val="en-GB"/>
        </w:rPr>
        <w:t xml:space="preserve"> </w:t>
      </w:r>
      <w:r w:rsidRPr="001A4CED">
        <w:rPr>
          <w:rFonts w:ascii="Calibri" w:hAnsi="Calibri" w:cs="Calibri"/>
          <w:lang w:val="en-GB"/>
        </w:rPr>
        <w:t>diluted</w:t>
      </w:r>
      <w:r w:rsidRPr="001A4CED">
        <w:rPr>
          <w:rFonts w:ascii="Calibri" w:hAnsi="Calibri" w:cs="Calibri"/>
          <w:i/>
          <w:iCs/>
          <w:lang w:val="en-GB"/>
        </w:rPr>
        <w:t xml:space="preserve"> </w:t>
      </w:r>
      <w:r w:rsidRPr="001A4CED">
        <w:rPr>
          <w:rFonts w:ascii="Calibri" w:hAnsi="Calibri" w:cs="Calibri"/>
          <w:lang w:val="en-GB"/>
        </w:rPr>
        <w:t>1:2000 for 75 min at RT</w:t>
      </w:r>
      <w:r w:rsidRPr="001A4CED">
        <w:rPr>
          <w:rFonts w:ascii="Calibri" w:hAnsi="Calibri" w:cs="Calibri"/>
          <w:i/>
          <w:iCs/>
          <w:lang w:val="en-GB"/>
        </w:rPr>
        <w:t xml:space="preserve"> </w:t>
      </w:r>
      <w:r w:rsidRPr="001A4CED">
        <w:rPr>
          <w:rFonts w:ascii="Calibri" w:hAnsi="Calibri" w:cs="Calibri"/>
          <w:lang w:val="en-GB"/>
        </w:rPr>
        <w:t>(ThermoFisher).</w:t>
      </w:r>
      <w:r w:rsidRPr="001A4CED">
        <w:rPr>
          <w:rFonts w:ascii="Calibri" w:hAnsi="Calibri" w:cs="Calibri"/>
          <w:i/>
          <w:iCs/>
          <w:lang w:val="en-GB"/>
        </w:rPr>
        <w:t xml:space="preserve"> </w:t>
      </w:r>
      <w:r w:rsidRPr="001A4CED">
        <w:rPr>
          <w:rFonts w:ascii="Calibri" w:hAnsi="Calibri" w:cs="Calibri"/>
          <w:lang w:val="en-GB"/>
        </w:rPr>
        <w:t>Immunoreactive bands were developed with Super Signal West Femto Substrate (ThermoFisher) for 5 min at RT</w:t>
      </w:r>
      <w:r w:rsidRPr="001A4CED">
        <w:rPr>
          <w:rFonts w:ascii="Calibri" w:hAnsi="Calibri" w:cs="Calibri"/>
          <w:i/>
          <w:iCs/>
          <w:lang w:val="en-GB"/>
        </w:rPr>
        <w:t>.</w:t>
      </w:r>
      <w:r w:rsidRPr="001A4CED">
        <w:rPr>
          <w:rFonts w:ascii="Calibri" w:hAnsi="Calibri" w:cs="Calibri"/>
          <w:lang w:val="en-GB"/>
        </w:rPr>
        <w:t xml:space="preserve"> </w:t>
      </w:r>
    </w:p>
    <w:p w14:paraId="540486E6" w14:textId="77777777" w:rsidR="001A4CED" w:rsidRPr="001A4CED" w:rsidRDefault="001A4CED" w:rsidP="001A4CED">
      <w:pPr>
        <w:spacing w:after="0" w:line="360" w:lineRule="auto"/>
        <w:jc w:val="both"/>
        <w:rPr>
          <w:rFonts w:ascii="Calibri" w:hAnsi="Calibri" w:cs="Calibri"/>
          <w:lang w:val="en-US"/>
        </w:rPr>
      </w:pPr>
    </w:p>
    <w:p w14:paraId="4B7FBAD6" w14:textId="1ADB3BE4" w:rsidR="001A4CED" w:rsidRPr="001A4CED" w:rsidRDefault="001A4CED" w:rsidP="001A4CED">
      <w:pPr>
        <w:spacing w:after="0" w:line="360" w:lineRule="auto"/>
        <w:jc w:val="both"/>
        <w:rPr>
          <w:rFonts w:ascii="Calibri" w:hAnsi="Calibri" w:cs="Calibri"/>
          <w:b/>
          <w:bCs/>
          <w:lang w:val="en-US"/>
        </w:rPr>
      </w:pPr>
      <w:r w:rsidRPr="001A4CED">
        <w:rPr>
          <w:rFonts w:ascii="Calibri" w:hAnsi="Calibri" w:cs="Calibri"/>
          <w:b/>
          <w:bCs/>
          <w:lang w:val="en-US"/>
        </w:rPr>
        <w:t>Electron Microscopy</w:t>
      </w:r>
    </w:p>
    <w:p w14:paraId="7E2F91F5" w14:textId="77777777" w:rsidR="001A4CED" w:rsidRPr="001A4CED" w:rsidRDefault="001A4CED" w:rsidP="001A4CED">
      <w:pPr>
        <w:spacing w:line="360" w:lineRule="auto"/>
        <w:jc w:val="both"/>
        <w:rPr>
          <w:rFonts w:ascii="Calibri" w:hAnsi="Calibri" w:cs="Calibri"/>
          <w:color w:val="3A7C22" w:themeColor="accent6" w:themeShade="BF"/>
          <w:lang w:val="en-US"/>
        </w:rPr>
      </w:pPr>
      <w:r w:rsidRPr="001A4CED">
        <w:rPr>
          <w:rFonts w:ascii="Calibri" w:hAnsi="Calibri" w:cs="Calibri"/>
          <w:lang w:val="en-US"/>
        </w:rPr>
        <w:t xml:space="preserve">For ultrastructural examination, a small part of muscle sample was fixed in 2.5% glutaraldehyde (pH 7.4) (Electron Microscopy Sciences EMS, Hatfield, PA, USA), for 1 h at room temperature and O.N. at 4 °C, the specimens were washed in 0.1 M, pH 7.4 cacodylate buffer (EMS), post-fixed for 1 h in 2% osmium tetroxide (EMS). Samples were then rinsed again with the cacodylate buffer (4 for 5 min). Next, the specimens were dehydrated using a graded series of ethyl alcohol and twice with oxide propylene (Sigma-Aldrich); after dehydration, the samples were embedded in </w:t>
      </w:r>
      <w:proofErr w:type="spellStart"/>
      <w:r w:rsidRPr="001A4CED">
        <w:rPr>
          <w:rFonts w:ascii="Calibri" w:hAnsi="Calibri" w:cs="Calibri"/>
          <w:lang w:val="en-US"/>
        </w:rPr>
        <w:t>Epon’s</w:t>
      </w:r>
      <w:proofErr w:type="spellEnd"/>
      <w:r w:rsidRPr="001A4CED">
        <w:rPr>
          <w:rFonts w:ascii="Calibri" w:hAnsi="Calibri" w:cs="Calibri"/>
          <w:lang w:val="en-US"/>
        </w:rPr>
        <w:t xml:space="preserve"> resin (EMS). Finally, ultrathin sections (80 nm thick slices) were prepared using an ultramicrotome Power Tome XL (RMC, Tucson, AZ, USA). The grids, stained with 0.5% lead citrate (EMS) and uranyl acetate replacement/methanol 1:1 (EMS), were examined with Zeiss EM109 transmission electron microscope (Carl Zeiss, </w:t>
      </w:r>
      <w:proofErr w:type="spellStart"/>
      <w:r w:rsidRPr="001A4CED">
        <w:rPr>
          <w:rFonts w:ascii="Calibri" w:hAnsi="Calibri" w:cs="Calibri"/>
          <w:lang w:val="en-US"/>
        </w:rPr>
        <w:t>Oberkochen</w:t>
      </w:r>
      <w:proofErr w:type="spellEnd"/>
      <w:r w:rsidRPr="001A4CED">
        <w:rPr>
          <w:rFonts w:ascii="Calibri" w:hAnsi="Calibri" w:cs="Calibri"/>
          <w:lang w:val="en-US"/>
        </w:rPr>
        <w:t>, Germany).</w:t>
      </w:r>
    </w:p>
    <w:p w14:paraId="41C39AD8" w14:textId="77777777" w:rsidR="001A4CED" w:rsidRPr="001A4CED" w:rsidRDefault="001A4CED">
      <w:pPr>
        <w:rPr>
          <w:lang w:val="en-US"/>
        </w:rPr>
      </w:pPr>
    </w:p>
    <w:sectPr w:rsidR="001A4CED" w:rsidRPr="001A4C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A0F11"/>
    <w:multiLevelType w:val="hybridMultilevel"/>
    <w:tmpl w:val="B842488A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660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ED"/>
    <w:rsid w:val="001A4CED"/>
    <w:rsid w:val="00246CDF"/>
    <w:rsid w:val="00442AD5"/>
    <w:rsid w:val="00511B36"/>
    <w:rsid w:val="00560176"/>
    <w:rsid w:val="00BA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5CE63"/>
  <w15:chartTrackingRefBased/>
  <w15:docId w15:val="{88871390-F7AD-4C4B-89AD-E55B3170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4CED"/>
    <w:pPr>
      <w:suppressAutoHyphens/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4CED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4CED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4CED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A4CED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4CED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4CED"/>
    <w:pPr>
      <w:keepNext/>
      <w:keepLines/>
      <w:suppressAutoHyphens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4CED"/>
    <w:pPr>
      <w:keepNext/>
      <w:keepLines/>
      <w:suppressAutoHyphens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4CED"/>
    <w:pPr>
      <w:keepNext/>
      <w:keepLines/>
      <w:suppressAutoHyphens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4CED"/>
    <w:pPr>
      <w:keepNext/>
      <w:keepLines/>
      <w:suppressAutoHyphens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4C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4C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4C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A4CE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4CE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4C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A4C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4C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4C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4CED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A4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4CED"/>
    <w:pPr>
      <w:numPr>
        <w:ilvl w:val="1"/>
      </w:numPr>
      <w:suppressAutoHyphens w:val="0"/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4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A4CED"/>
    <w:pPr>
      <w:suppressAutoHyphens w:val="0"/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A4C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A4CED"/>
    <w:pPr>
      <w:suppressAutoHyphens w:val="0"/>
      <w:spacing w:line="278" w:lineRule="auto"/>
      <w:ind w:left="720"/>
      <w:contextualSpacing/>
    </w:pPr>
    <w:rPr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1A4CE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A4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A4CE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A4C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780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 Muscolare</dc:creator>
  <cp:keywords/>
  <dc:description/>
  <cp:lastModifiedBy>Lab Muscolare</cp:lastModifiedBy>
  <cp:revision>4</cp:revision>
  <dcterms:created xsi:type="dcterms:W3CDTF">2025-11-05T10:22:00Z</dcterms:created>
  <dcterms:modified xsi:type="dcterms:W3CDTF">2025-11-13T12:11:00Z</dcterms:modified>
</cp:coreProperties>
</file>